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E1" w:rsidRDefault="00D72DE1" w:rsidP="00D72DE1">
      <w:pPr>
        <w:ind w:left="424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Załącznik </w:t>
      </w:r>
      <w:r w:rsidR="001B4395">
        <w:rPr>
          <w:i/>
          <w:color w:val="000000"/>
          <w:sz w:val="18"/>
          <w:szCs w:val="18"/>
        </w:rPr>
        <w:t>nr 1</w:t>
      </w:r>
      <w:r>
        <w:rPr>
          <w:i/>
          <w:color w:val="000000"/>
          <w:sz w:val="18"/>
          <w:szCs w:val="18"/>
        </w:rPr>
        <w:t xml:space="preserve">b do umowy projekt </w:t>
      </w:r>
      <w:bookmarkStart w:id="0" w:name="_Hlk143691075"/>
      <w:r>
        <w:rPr>
          <w:i/>
          <w:color w:val="000000"/>
          <w:sz w:val="18"/>
          <w:szCs w:val="18"/>
        </w:rPr>
        <w:t xml:space="preserve">dla zadania nr </w:t>
      </w:r>
      <w:bookmarkEnd w:id="0"/>
      <w:r>
        <w:rPr>
          <w:i/>
          <w:color w:val="000000"/>
          <w:sz w:val="18"/>
          <w:szCs w:val="18"/>
        </w:rPr>
        <w:t>2</w:t>
      </w:r>
    </w:p>
    <w:p w:rsidR="00D72DE1" w:rsidRDefault="00D72DE1" w:rsidP="00D72DE1">
      <w:pPr>
        <w:rPr>
          <w:rFonts w:ascii="Liberation Sans" w:hAnsi="Liberation Sans" w:cs="Liberation Sans"/>
        </w:rPr>
      </w:pPr>
    </w:p>
    <w:p w:rsidR="00D72DE1" w:rsidRDefault="001F6E4F" w:rsidP="00D72DE1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FORMULARZ RZECZOWY</w:t>
      </w:r>
    </w:p>
    <w:p w:rsidR="00D72DE1" w:rsidRDefault="00D72DE1" w:rsidP="00D72DE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72DE1" w:rsidRDefault="00D72DE1" w:rsidP="00D72DE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CF5B73">
        <w:rPr>
          <w:rFonts w:ascii="Tahoma" w:hAnsi="Tahoma" w:cs="Tahoma"/>
          <w:b/>
          <w:bCs/>
          <w:sz w:val="16"/>
          <w:szCs w:val="16"/>
        </w:rPr>
        <w:t>OPIS OFEROWANEGO PRZEDMIOTU ZAMÓWIENIA</w:t>
      </w:r>
    </w:p>
    <w:p w:rsidR="00D72DE1" w:rsidRPr="00857D9B" w:rsidRDefault="00D72DE1" w:rsidP="00D72DE1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Zadanie 2</w:t>
      </w:r>
    </w:p>
    <w:p w:rsidR="00D72DE1" w:rsidRPr="005870B4" w:rsidRDefault="00D72DE1" w:rsidP="00D72DE1">
      <w:pPr>
        <w:rPr>
          <w:rFonts w:ascii="Tahoma" w:hAnsi="Tahoma" w:cs="Tahoma"/>
          <w:sz w:val="18"/>
          <w:szCs w:val="18"/>
        </w:rPr>
      </w:pPr>
    </w:p>
    <w:p w:rsidR="00D72DE1" w:rsidRDefault="00D72DE1" w:rsidP="00D72DE1"/>
    <w:tbl>
      <w:tblPr>
        <w:tblStyle w:val="Tabela-Siatka"/>
        <w:tblpPr w:leftFromText="141" w:rightFromText="141" w:vertAnchor="text" w:tblpXSpec="center" w:tblpY="1"/>
        <w:tblOverlap w:val="never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131"/>
        <w:gridCol w:w="1455"/>
        <w:gridCol w:w="4661"/>
        <w:gridCol w:w="1878"/>
      </w:tblGrid>
      <w:tr w:rsidR="00D72DE1" w:rsidRPr="005870B4" w:rsidTr="001049CF">
        <w:tc>
          <w:tcPr>
            <w:tcW w:w="399" w:type="dxa"/>
            <w:shd w:val="clear" w:color="auto" w:fill="F2F2F2" w:themeFill="background1" w:themeFillShade="F2"/>
          </w:tcPr>
          <w:p w:rsidR="00D72DE1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</w:tcPr>
          <w:p w:rsidR="00D72DE1" w:rsidRPr="00B51587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Urządzenie</w:t>
            </w:r>
          </w:p>
        </w:tc>
        <w:tc>
          <w:tcPr>
            <w:tcW w:w="4661" w:type="dxa"/>
            <w:shd w:val="clear" w:color="auto" w:fill="F2F2F2" w:themeFill="background1" w:themeFillShade="F2"/>
            <w:vAlign w:val="center"/>
          </w:tcPr>
          <w:p w:rsidR="00D72DE1" w:rsidRPr="00B51587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Wymagane </w:t>
            </w:r>
            <w:r w:rsidRPr="005870B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minimalne *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:rsidR="00D72DE1" w:rsidRDefault="00D72DE1" w:rsidP="001049C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Oferowane parametry</w:t>
            </w:r>
          </w:p>
          <w:p w:rsidR="00D72DE1" w:rsidRPr="005870B4" w:rsidRDefault="00D72DE1" w:rsidP="001049C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WYPEŁNIA WYKONAWCA</w:t>
            </w:r>
          </w:p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c>
          <w:tcPr>
            <w:tcW w:w="399" w:type="dxa"/>
            <w:vMerge w:val="restart"/>
            <w:shd w:val="clear" w:color="auto" w:fill="F2F2F2"/>
          </w:tcPr>
          <w:p w:rsidR="00D72DE1" w:rsidRPr="00C6793E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1" w:type="dxa"/>
            <w:vMerge w:val="restart"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>Urządzenie do kompleksowej ochrony poczty elektronicznej</w:t>
            </w: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Wymagania Ogólne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B51587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 xml:space="preserve">System ochrony poczty musi zapewniać kompleksową ochronę antyspamową, antywirusową oraz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antyspyware’ową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 bez limitu licencyjnego na ilość chronionych kont użytkowników.</w:t>
            </w:r>
          </w:p>
          <w:p w:rsidR="00D72DE1" w:rsidRPr="00B51587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 xml:space="preserve">Dopuszcza się, aby poszczególne elementy wchodzące w skład systemu ochrony były zrealizowane w postaci osobnych, komercyjnych platform wirtualnych lub komercyjnych aplikacji instalowanych na platformach ogólnego przeznaczenia w środowisku wirtualnym. W przypadku implementacji programowej dostawca musi zapewnić platformę w postaci odpowiednio zabezpieczonego systemu operacyjnego, na którym będzie instalowane rozwiązanie. Platformy muszą mieć możliwość uruchomienia na co najmniej następujących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hypervisorach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 ESX/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ESXi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 5.0/5.1/5.5/6.0/6.5/7.0, Microsoft Hyper-V 2008 R2/2012/2012 R2/2016,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Citrix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XenServer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 6.0+, Open Source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Xen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 xml:space="preserve"> 4.1+, KVM, AWS (Amazon Web Services), Microsoft </w:t>
            </w:r>
            <w:proofErr w:type="spellStart"/>
            <w:r w:rsidRPr="00B51587">
              <w:rPr>
                <w:rFonts w:ascii="Tahoma" w:hAnsi="Tahoma" w:cs="Tahoma"/>
                <w:sz w:val="18"/>
                <w:szCs w:val="18"/>
              </w:rPr>
              <w:t>Azure</w:t>
            </w:r>
            <w:proofErr w:type="spellEnd"/>
            <w:r w:rsidRPr="00B5158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72DE1" w:rsidRPr="00B51587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 xml:space="preserve">Dla zapewnienia wysokiej sprawności i skuteczności działania rozwiązanie musi pracować w oparciu o komercyjne bazy zabezpieczeń. </w:t>
            </w:r>
          </w:p>
          <w:p w:rsidR="00D72DE1" w:rsidRPr="00B51587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Dostarczone rozwiązanie musi mieć możliwość pracy w każdym z trybów:</w:t>
            </w:r>
          </w:p>
          <w:p w:rsidR="00D72DE1" w:rsidRPr="00B51587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1.Tryb Gateway.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2.Tryb transparentny (nie wymaga rekonfiguracji istniejącego systemu poczty elektronicznej).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Parametry fizyczne systemu antyspamowego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System musi obsługiwać co najmniej 4 interfejsy sieciowe oraz wspierać powierzchnię dyskową o pojemności, co najmniej 1 TB.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906DDC">
              <w:rPr>
                <w:rFonts w:ascii="Tahoma" w:hAnsi="Tahoma" w:cs="Tahoma"/>
                <w:sz w:val="18"/>
                <w:szCs w:val="18"/>
              </w:rPr>
              <w:t>erwer poczty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W ramach oferowanego systemu musi zostać dostarczony moduł realizujący funkcję serwera poczty umożliwiający zdefiniowanie co najmniej 150 lokalnych skrzynek pocztowych. Moduł serwera poczty musi integrować się z serwerem LDAP obsługując tym samym pełną listę zdefiniowanych tam użytkowników i przypisanych do nich kont pocztowych.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Funkcje serwera poczty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W tym zakresie dostarczony system musi zapewniać: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1.Obsługę serwisów pocztowych: SMTP, POP3, IMAP.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2.Wsparcie szyfrowania komunikacji: SMTP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over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SSL (w tym zakresie musi wspierać protokoły: SSL, TLS 1.0, TLS 1.1 oraz TLS 1.2).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3.Definiowanie powierzchni dyskowej dedykowanej dla poszczególnych użytkowników.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4.Szyfrowany dostęp do poczty poprzez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WebMail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– z wykorzystaniem protokołu SSL (w tym zakresie musi </w:t>
            </w:r>
            <w:r w:rsidRPr="00906DDC">
              <w:rPr>
                <w:rFonts w:ascii="Tahoma" w:hAnsi="Tahoma" w:cs="Tahoma"/>
                <w:sz w:val="18"/>
                <w:szCs w:val="18"/>
              </w:rPr>
              <w:lastRenderedPageBreak/>
              <w:t>wspierać protokoły: SSL, TLS 1.0, TLS 1.1, TLS 1.2 oraz TLS 1.3).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5.Polski interfejs użytkownika przy dostępie przez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WebMail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6.Lokalne konta użytkowników oraz możliwość czerpania kont pocztowych z zewnętrznego serwera LDAP.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7.Uwierzytelnianie użytkowników w oparciu o: bazę lokalną, zewnętrzny LDAP, Radius oraz protokoły: SMTP, POP3, IMAP.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Ogólne funkcje systemu ochrony poczty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Dostarczany system obsługi i ochrony poczty musi zapewniać poniższe funkcje: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1.Wsparcie dla co najmniej 20 domen pocztowych.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2.System musi realizować skanowanie antyspamowe i antywirusowe z wydajnością min. 25 tys. wiadomości/godzinę.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3.Polityki filtrowania poczty tworzone co najmniej w oparciu o: adresy mailowe, nazwy domenowe, adresy IP (w szczególności powinna być możliwość definiowania reguł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all-all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4.Email routing w oparciu o reguły lokalne lub w oparciu o zewnętrzny serwer LDAP.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5.Zarządzanie kolejkami wiadomości (np. reguły opóźniania dostarczenia wiadomości).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6.Możliwość ograniczenia ilości poczty wychodzącej do chronionych domen w oparciu o nie mniej niż: ilość jednoczesnych sesji, maksymalną liczbę wiadomości w ramach sesji, maksymalną liczbę odbiorców w zadanym czasie.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7.Ochrona i analiza zarówno poczty przychodzącej jak i wychodzącej.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8.Szczegółowe, wielowarstwowe polityki wykrywania spamu oraz wirusów.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9.Możliwość tworzenia polityk kontroli Antywirusowej oraz Antyspamowej w oparciu o użytkownika i atrybuty zwracane z zewnętrznego serwera LDAP.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10.Kwarantanna poczty z dziennym podsumowaniem dla użytkownika z możliwością samodzielnego zwalniania bądź usuwania wiadomości z kwarantanny przez użytkownika.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11.Możliwość poddania ponownemu skanowaniu (antywirus,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) wiadomości w momencie uwalniania ich z kwarantanny użytkownika lub administratora.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12.Dostęp do kwarantanny użytkownika możliwy poprzez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WebMail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13.Archiwizacja poczty przychodzącej i wychodzącej w oparciu o polityki.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14.Możliwość przechowywania poczty oraz jej backup realizowany lokalnie na dysku systemu oraz na zewnętrznych zasobach, co najmniej: NFS,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iSCSI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15.Białe i czarne listy adresów mailowych definiowane globalnie oraz dla domen wskazanych przez administratora systemu.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16.Białe i czarne listy adresów mailowych dla poszczególnych użytkowników.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17.Skanowanie załączników zaszyfrowanych. Odszyfrowywanie ich w oparciu o nie mniej niż: słowa zawarte w wiadomości pocztowej, wbudowaną listę haseł, listę haseł zdefiniowaną przez użytkownika.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Kontrola antywirusowa i ochrona przed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W tym zakresie dostarczony system ochrony poczty musi zapewniać: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1.Skanowanie antywirusowe wiadomości SMTP.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2.Kwarantannę dla zainfekowanych plików.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3.Skanowanie załączników skompresowanych. 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4.Definiowanie komunikatów powiadomień w języku polskim.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5.Blokowanie załączników w oparciu o typ pliku.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6.Możliwość zdefiniowania nie mniej niż 60 polityk kontroli antywirusowej.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7.Moduł kontroli antywirusowej musi mieć możliwość współpracy z dedykowaną, komercyjną platformą (sprzętową lub wirtualną) lub usługą w chmurze typu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w celu rozpoznawania nieznanych dotąd zagrożeń. Rozwiązanie musi umożliwiać zatrzymanie poczty w dedykowanej kolejce wiadomości do momentu otrzymania werdyktu.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8.Definiowanie różnych akcji dla poszczególnych metod wykrywania wirusów i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malware'u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. Powinny one obejmować co najmniej: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tagowanie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wiadomości, dodanie nowego nagłówka, zastąpienie podejrzanej treści lub załącznika, akcje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discard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reject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, dostarczenie do innego serwera, powiadomienie administratora.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9.Ochronę typu wirus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outbrake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Kontrola antyspamowa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System musi zapewniać poniższe funkcje i metody filtrowania spamu: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1.Reputacja adresów źródłowych IP oraz domen pocztowych w oparciu o bazy producenta.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2.Filtrowanie poczty w oparciu o sumy kontrolne wiadomości dostarczane przez producenta rozwiązania.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3.Szczegółowa kontrola nagłówka wiadomości. 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4.Analiza Heurystyczna.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5.Współpraca z zewnętrznymi serwerami RBL, SURBL.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6.Filtrowanie w oparciu o filtry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Bayes’a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z możliwością uczenia przez administratora globalnie dla całego systemu lub dla poszczególnych chronionych domen.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7.Możliwością dostrajania filtrów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Bayes’a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przez poszczególnych użytkowników.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8.Wykrywanie spamu w oparciu o analizę plików graficznych oraz plików PDF. 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9.Kontrola w oparciu o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Greylisting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oraz SPF.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10.Filtrowanie treści wiadomości i załączników.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11.Kwarantanna zarówno użytkowników jak i systemowa z możliwością edycji nagłówka wiadomości.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12.Możliwość zdefiniowania nie mniej niż 60 polityk kontroli antyspamowej.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13.Ochrona typu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outbrake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14.Filtrowanie poczty w oparciu o kategorie URL (co najmniej: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hacking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). 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15.Definiowanie różnych akcji dla poszczególnych metod wykrywania spamu. Powinny one obejmować co najmniej: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tagowanie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wiadomości, dodanie nowego nagłówka, akcje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discard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reject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, dostarczenie do innego serwera, powiadomienie administratora.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Ochrona przed atakami na usługę poczty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System musi zapewniać poniższe funkcje i metody filtrowania: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1.Ochrona przed atakami na adres odbiorcy (m.in. email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bombing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2.Definiowanie maksymalnej ilości wiadomości pocztowych otrzymywanych w jednostce czasu. 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lastRenderedPageBreak/>
              <w:t>3.Definiowanie maksymalnej liczby jednoczesnych sesji SMTP w jednostce czasu.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4.Kontrola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Reverse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DNS (ochrona przed Anty-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Spoofing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).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5.Weryfikacja poprawności adresu e-mail nadawcy.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Funkcje logowania i raportowania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W tym zakresie dostarczony system ochrony poczty musi zapewniać: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1.Logowanie do zewnętrznego serwera SYSLOG.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2.Logowanie zmian konfiguracji oraz krytycznych zdarzeń systemowych np. w przypadku przepełnienia dysku.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3.Logowanie informacji na temat spamu oraz niedozwolonych załączników.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4.Możliwość podglądu logów w czasie rzeczywistym jak również danych historycznych.</w:t>
            </w:r>
          </w:p>
          <w:p w:rsidR="00D72DE1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5.Możliwość analizy przebiegu sesji SMTP.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6.Powiadamianie administratora systemu w przypadku wykrycia wirusów w przesyłanych wiadomościach pocztowych.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7.Predefiniowane szablony raportów oraz możliwość ich edycji przez administratora systemu. 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8.Możliwość generowania raportów zgodnie z harmonogramem lub na żądanie administratora systemu.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Funkcje pracy w trybie wysokiej dostępności (HA)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System ochrony poczty musi zapewniać poniższe funkcje: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1.Konfigurację HA w każdym z trybów: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gateway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, transparent.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2.Tryb synchronizacji konfiguracji dla scenariuszy, gdy każde z urządzeń występuje pod innym adresem IP.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3.Wykrywanie awarii poszczególnych urządzeń oraz powiadamianie administratora systemu.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4.Monitorowanie stanu pracy klastra.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Aktualizacje sygnatur, dostęp do bazy spamu 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W tym zakresie dostarczony system ochrony poczty musi zapewniać: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1.Pracę w oparciu o bazę spamu oraz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url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uaktualniane w czasie rzeczywistym.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2.Planowanie aktualizacji szczepionek antywirusowych zgodnie z harmonogramem co najmniej raz na godzinę.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Zarządzanie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System ochrony poczty musi zapewniać poniższe funkcje: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1.System musi mieć możliwość zarządzania lokalnego z wykorzystaniem protokołów: HTTPS oraz SSH.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2.Możliwość modyfikowania wyglądu interfejsu zarządzania oraz interfejsu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WebMail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z opcją wstawienia własnego logo firmy.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3.Powinna istnieć możliwość zdefiniowania co najmniej 4 lokalnych kont administracyjnych.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_Hlk143512862"/>
            <w:r>
              <w:rPr>
                <w:rFonts w:ascii="Tahoma" w:hAnsi="Tahoma" w:cs="Tahoma"/>
                <w:sz w:val="18"/>
                <w:szCs w:val="18"/>
              </w:rPr>
              <w:t>Asysta techniczna on-line</w:t>
            </w:r>
            <w:bookmarkEnd w:id="1"/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>Asysta techniczna przy w</w:t>
            </w:r>
            <w:r w:rsidRPr="00906DDC">
              <w:rPr>
                <w:rFonts w:ascii="Tahoma" w:hAnsi="Tahoma" w:cs="Tahoma"/>
                <w:sz w:val="18"/>
                <w:szCs w:val="18"/>
              </w:rPr>
              <w:t>drożeni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906DDC">
              <w:rPr>
                <w:rFonts w:ascii="Tahoma" w:hAnsi="Tahoma" w:cs="Tahoma"/>
                <w:sz w:val="18"/>
                <w:szCs w:val="18"/>
              </w:rPr>
              <w:t xml:space="preserve"> będzie wykonan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906DDC">
              <w:rPr>
                <w:rFonts w:ascii="Tahoma" w:hAnsi="Tahoma" w:cs="Tahoma"/>
                <w:sz w:val="18"/>
                <w:szCs w:val="18"/>
              </w:rPr>
              <w:t xml:space="preserve"> przez inżyniera z certyfikatem producenta.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2.Zakres działań podczas wdrożenia: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•Przygotowanie środowiska (rejestracja i instalacja maszyny wirtualnej, aktualizacja oprogramowania).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•Konfiguracja ustawień antywirusowych, przygotowanie polityk, ustawienie IP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reputation</w:t>
            </w:r>
            <w:proofErr w:type="spellEnd"/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•Weryfikacja poprawności implementacji (testy akceptacyjne).</w:t>
            </w:r>
          </w:p>
          <w:p w:rsidR="00D72DE1" w:rsidRPr="00906DDC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•Kopia bezpieczeństwa konfiguracji wdrożonych urządzeń.</w:t>
            </w:r>
          </w:p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•Instruktarz obsługi urządzenia poprzez GUI (co najmniej 2 godziny) przeprowadzony przez inżyniera.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>Certyfikaty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06DDC">
              <w:rPr>
                <w:rFonts w:ascii="Tahoma" w:hAnsi="Tahoma" w:cs="Tahoma"/>
                <w:sz w:val="18"/>
                <w:szCs w:val="18"/>
              </w:rPr>
              <w:t xml:space="preserve">Dostarczony system powinien posiadać co najmniej dwie z poniższych certyfikacji: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VBSpam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, VB100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rated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Common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Criteria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 xml:space="preserve"> NDPP, FIPS 140-2 </w:t>
            </w:r>
            <w:proofErr w:type="spellStart"/>
            <w:r w:rsidRPr="00906DDC">
              <w:rPr>
                <w:rFonts w:ascii="Tahoma" w:hAnsi="Tahoma" w:cs="Tahoma"/>
                <w:sz w:val="18"/>
                <w:szCs w:val="18"/>
              </w:rPr>
              <w:t>Certified</w:t>
            </w:r>
            <w:proofErr w:type="spellEnd"/>
            <w:r w:rsidRPr="00906DD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78" w:type="dxa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5209" w:rsidRPr="005870B4" w:rsidTr="00A15209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A15209" w:rsidRPr="0045552B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A15209" w:rsidRPr="0045552B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A15209" w:rsidRPr="005870B4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>Serwisy i licencje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A15209" w:rsidRPr="00C6793E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>System musi być dostarczony w modelu „na własność” tj. niewykupienie odnowienia licencji wsparcia technicznego dla rozwiązania nie spowoduje zablokowania funkcjonowania systemu a jedynie pozbawi możliwości pobierania aktualizacji oprogramowania.</w:t>
            </w:r>
          </w:p>
          <w:p w:rsidR="00A15209" w:rsidRPr="00C6793E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>W ramach postępowania powinny zostać dostarczone licencje upoważniające do korzystania z aktualnych baz funkcji ochronnych producenta i serwisów. Powinny one obejmować:</w:t>
            </w:r>
          </w:p>
          <w:p w:rsidR="00A15209" w:rsidRPr="005870B4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 xml:space="preserve">Kontrola </w:t>
            </w:r>
            <w:proofErr w:type="spellStart"/>
            <w:r w:rsidRPr="00C6793E">
              <w:rPr>
                <w:rFonts w:ascii="Tahoma" w:hAnsi="Tahoma" w:cs="Tahoma"/>
                <w:sz w:val="18"/>
                <w:szCs w:val="18"/>
              </w:rPr>
              <w:t>Antyspam</w:t>
            </w:r>
            <w:proofErr w:type="spellEnd"/>
            <w:r w:rsidRPr="00C6793E">
              <w:rPr>
                <w:rFonts w:ascii="Tahoma" w:hAnsi="Tahoma" w:cs="Tahoma"/>
                <w:sz w:val="18"/>
                <w:szCs w:val="18"/>
              </w:rPr>
              <w:t xml:space="preserve">, URL </w:t>
            </w:r>
            <w:proofErr w:type="spellStart"/>
            <w:r w:rsidRPr="00C6793E">
              <w:rPr>
                <w:rFonts w:ascii="Tahoma" w:hAnsi="Tahoma" w:cs="Tahoma"/>
                <w:sz w:val="18"/>
                <w:szCs w:val="18"/>
              </w:rPr>
              <w:t>Filtering</w:t>
            </w:r>
            <w:proofErr w:type="spellEnd"/>
            <w:r w:rsidRPr="00C6793E">
              <w:rPr>
                <w:rFonts w:ascii="Tahoma" w:hAnsi="Tahoma" w:cs="Tahoma"/>
                <w:sz w:val="18"/>
                <w:szCs w:val="18"/>
              </w:rPr>
              <w:t xml:space="preserve">, kontrola antywirusowa, ochrona typu </w:t>
            </w:r>
            <w:proofErr w:type="spellStart"/>
            <w:r w:rsidRPr="00C6793E">
              <w:rPr>
                <w:rFonts w:ascii="Tahoma" w:hAnsi="Tahoma" w:cs="Tahoma"/>
                <w:sz w:val="18"/>
                <w:szCs w:val="18"/>
              </w:rPr>
              <w:t>Virus</w:t>
            </w:r>
            <w:proofErr w:type="spellEnd"/>
            <w:r w:rsidRPr="00C679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6793E">
              <w:rPr>
                <w:rFonts w:ascii="Tahoma" w:hAnsi="Tahoma" w:cs="Tahoma"/>
                <w:sz w:val="18"/>
                <w:szCs w:val="18"/>
              </w:rPr>
              <w:t>Outbrake</w:t>
            </w:r>
            <w:proofErr w:type="spellEnd"/>
            <w:r w:rsidRPr="00C6793E">
              <w:rPr>
                <w:rFonts w:ascii="Tahoma" w:hAnsi="Tahoma" w:cs="Tahoma"/>
                <w:sz w:val="18"/>
                <w:szCs w:val="18"/>
              </w:rPr>
              <w:t xml:space="preserve"> na okres </w:t>
            </w:r>
            <w:r>
              <w:rPr>
                <w:rFonts w:ascii="Tahoma" w:hAnsi="Tahoma" w:cs="Tahoma"/>
                <w:sz w:val="18"/>
                <w:szCs w:val="18"/>
              </w:rPr>
              <w:t>wskazany w ofercie</w:t>
            </w:r>
            <w:r w:rsidRPr="00C6793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A15209" w:rsidRPr="00A15209" w:rsidRDefault="00A15209" w:rsidP="00EA0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5209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A15209" w:rsidRPr="00A15209" w:rsidRDefault="00A15209" w:rsidP="001049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15209">
              <w:rPr>
                <w:rFonts w:ascii="Tahoma" w:hAnsi="Tahoma" w:cs="Tahoma"/>
                <w:b/>
                <w:sz w:val="16"/>
                <w:szCs w:val="16"/>
              </w:rPr>
              <w:t>na okres …. miesięcy</w:t>
            </w:r>
          </w:p>
          <w:p w:rsidR="00A15209" w:rsidRPr="00A15209" w:rsidRDefault="00A15209" w:rsidP="0026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5209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(wpisać to samo co </w:t>
            </w:r>
            <w:r w:rsidRPr="00A15209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br/>
              <w:t xml:space="preserve"> w pkt 4 oferty </w:t>
            </w:r>
            <w:r w:rsidRPr="00A15209">
              <w:rPr>
                <w:rFonts w:ascii="Tahoma" w:hAnsi="Tahoma" w:cs="Tahoma"/>
                <w:i/>
                <w:iCs/>
                <w:color w:val="808080" w:themeColor="background1" w:themeShade="80"/>
                <w:sz w:val="16"/>
                <w:szCs w:val="16"/>
              </w:rPr>
              <w:t>i)</w:t>
            </w:r>
          </w:p>
        </w:tc>
      </w:tr>
      <w:tr w:rsidR="00A15209" w:rsidRPr="005870B4" w:rsidTr="00A15209">
        <w:trPr>
          <w:trHeight w:val="1134"/>
        </w:trPr>
        <w:tc>
          <w:tcPr>
            <w:tcW w:w="399" w:type="dxa"/>
            <w:vMerge/>
            <w:shd w:val="clear" w:color="auto" w:fill="F2F2F2"/>
          </w:tcPr>
          <w:p w:rsidR="00A15209" w:rsidRPr="0045552B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A15209" w:rsidRPr="0045552B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A15209" w:rsidRPr="00C6793E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>Gwarancja oraz wsparcie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A15209" w:rsidRPr="00C6793E" w:rsidRDefault="00A15209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C6793E">
              <w:rPr>
                <w:rFonts w:ascii="Tahoma" w:hAnsi="Tahoma" w:cs="Tahoma"/>
                <w:sz w:val="18"/>
                <w:szCs w:val="18"/>
              </w:rPr>
              <w:t xml:space="preserve">System musi być objęty serwisem producenta przez okres </w:t>
            </w:r>
            <w:r>
              <w:rPr>
                <w:rFonts w:ascii="Tahoma" w:hAnsi="Tahoma" w:cs="Tahoma"/>
                <w:sz w:val="18"/>
                <w:szCs w:val="18"/>
              </w:rPr>
              <w:t>wskazany w ofercie</w:t>
            </w:r>
            <w:r w:rsidRPr="00C6793E">
              <w:rPr>
                <w:rFonts w:ascii="Tahoma" w:hAnsi="Tahoma" w:cs="Tahoma"/>
                <w:sz w:val="18"/>
                <w:szCs w:val="18"/>
              </w:rPr>
              <w:t>, upoważniającym do aktualizacji oprogramowania oraz wsparcia technicznego w trybie 24x7.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A15209" w:rsidRPr="005870B4" w:rsidRDefault="00A15209" w:rsidP="00E265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DE1" w:rsidRPr="005870B4" w:rsidTr="001049CF">
        <w:trPr>
          <w:trHeight w:val="693"/>
        </w:trPr>
        <w:tc>
          <w:tcPr>
            <w:tcW w:w="399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D72DE1" w:rsidRPr="0045552B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D72DE1" w:rsidRPr="005870B4" w:rsidRDefault="00D72DE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Oferowany model Urządzenia </w:t>
            </w:r>
            <w:r w:rsidRPr="00326F3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(wymienić również wszystkie oferowane z urządzeniem licencje i serwisy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:rsidR="00D72DE1" w:rsidRPr="005870B4" w:rsidRDefault="00D72DE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2DE1" w:rsidRPr="00A15209" w:rsidRDefault="00D72DE1" w:rsidP="00D72DE1">
      <w:pPr>
        <w:rPr>
          <w:rFonts w:ascii="Tahoma" w:hAnsi="Tahoma" w:cs="Tahoma"/>
          <w:sz w:val="16"/>
          <w:szCs w:val="16"/>
        </w:rPr>
      </w:pPr>
      <w:r w:rsidRPr="005870B4">
        <w:rPr>
          <w:rFonts w:ascii="Tahoma" w:hAnsi="Tahoma" w:cs="Tahoma"/>
        </w:rPr>
        <w:br w:type="textWrapping" w:clear="all"/>
      </w:r>
      <w:r w:rsidRPr="0045552B">
        <w:rPr>
          <w:rFonts w:ascii="Tahoma" w:hAnsi="Tahoma" w:cs="Tahoma"/>
          <w:sz w:val="16"/>
          <w:szCs w:val="16"/>
        </w:rPr>
        <w:t>* W Załączniku zawarto minimalne wymagania odnośnie produktów objętych zamówieni</w:t>
      </w:r>
      <w:r>
        <w:rPr>
          <w:rFonts w:ascii="Tahoma" w:hAnsi="Tahoma" w:cs="Tahoma"/>
          <w:sz w:val="16"/>
          <w:szCs w:val="16"/>
        </w:rPr>
        <w:t>em</w:t>
      </w:r>
      <w:r w:rsidRPr="0045552B">
        <w:rPr>
          <w:rFonts w:ascii="Tahoma" w:hAnsi="Tahoma" w:cs="Tahoma"/>
          <w:sz w:val="16"/>
          <w:szCs w:val="16"/>
        </w:rPr>
        <w:t xml:space="preserve"> co oznacza, że Wykonawca może zaoferować przedmiot zamówienia charakteryzujący się lepszymi parametrami </w:t>
      </w:r>
      <w:r w:rsidRPr="00A15209">
        <w:rPr>
          <w:rFonts w:ascii="Tahoma" w:hAnsi="Tahoma" w:cs="Tahoma"/>
          <w:sz w:val="16"/>
          <w:szCs w:val="16"/>
        </w:rPr>
        <w:t xml:space="preserve">technicznymi lub użytkowymi. </w:t>
      </w:r>
    </w:p>
    <w:p w:rsidR="00CB4486" w:rsidRPr="00CB4486" w:rsidRDefault="00CB4486" w:rsidP="00CB4486">
      <w:pPr>
        <w:rPr>
          <w:rFonts w:ascii="Tahoma" w:hAnsi="Tahoma" w:cs="Tahoma"/>
          <w:sz w:val="16"/>
          <w:szCs w:val="16"/>
        </w:rPr>
      </w:pPr>
      <w:bookmarkStart w:id="2" w:name="_Hlk143511380"/>
      <w:r w:rsidRPr="00CB4486">
        <w:rPr>
          <w:rFonts w:ascii="Tahoma" w:hAnsi="Tahoma" w:cs="Tahoma"/>
          <w:sz w:val="16"/>
          <w:szCs w:val="16"/>
        </w:rPr>
        <w:t xml:space="preserve">UWAGA: Niespełnienie wymagań minimalnych określonych w </w:t>
      </w:r>
      <w:r w:rsidR="00FD5830" w:rsidRPr="00A15209">
        <w:rPr>
          <w:rFonts w:ascii="Tahoma" w:hAnsi="Tahoma" w:cs="Tahoma"/>
          <w:sz w:val="16"/>
          <w:szCs w:val="16"/>
        </w:rPr>
        <w:t xml:space="preserve">powyższym </w:t>
      </w:r>
      <w:r w:rsidRPr="00CB4486">
        <w:rPr>
          <w:rFonts w:ascii="Tahoma" w:hAnsi="Tahoma" w:cs="Tahoma"/>
          <w:sz w:val="16"/>
          <w:szCs w:val="16"/>
        </w:rPr>
        <w:t xml:space="preserve">formularzu </w:t>
      </w:r>
      <w:r w:rsidR="00FD5830" w:rsidRPr="00A15209">
        <w:rPr>
          <w:rFonts w:ascii="Tahoma" w:hAnsi="Tahoma" w:cs="Tahoma"/>
          <w:sz w:val="16"/>
          <w:szCs w:val="16"/>
        </w:rPr>
        <w:t>s</w:t>
      </w:r>
      <w:r w:rsidRPr="00CB4486">
        <w:rPr>
          <w:rFonts w:ascii="Tahoma" w:hAnsi="Tahoma" w:cs="Tahoma"/>
          <w:sz w:val="16"/>
          <w:szCs w:val="16"/>
        </w:rPr>
        <w:t xml:space="preserve">kutkować będzie odrzuceniem oferty </w:t>
      </w:r>
      <w:r w:rsidRPr="00CB4486">
        <w:rPr>
          <w:rFonts w:ascii="Tahoma" w:hAnsi="Tahoma" w:cs="Tahoma"/>
          <w:sz w:val="16"/>
          <w:szCs w:val="16"/>
        </w:rPr>
        <w:br w:type="textWrapping" w:clear="all"/>
      </w:r>
      <w:bookmarkStart w:id="3" w:name="_GoBack"/>
      <w:bookmarkEnd w:id="3"/>
    </w:p>
    <w:p w:rsidR="00D72DE1" w:rsidRPr="0099693B" w:rsidRDefault="00D72DE1" w:rsidP="00D72DE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Wykonawca wypełnia tylko pola w kolorze białym, ze szczególnym uwzględnieniem pól dotyczących serwisów, licencji, gwarancji oraz wsparcia, gzie koniecznie musi podać tylko jed</w:t>
      </w:r>
      <w:r w:rsidR="00F66C9B">
        <w:rPr>
          <w:rFonts w:ascii="Tahoma" w:hAnsi="Tahoma" w:cs="Tahoma"/>
          <w:sz w:val="16"/>
          <w:szCs w:val="16"/>
        </w:rPr>
        <w:t xml:space="preserve">en </w:t>
      </w:r>
      <w:r>
        <w:rPr>
          <w:rFonts w:ascii="Tahoma" w:hAnsi="Tahoma" w:cs="Tahoma"/>
          <w:sz w:val="16"/>
          <w:szCs w:val="16"/>
        </w:rPr>
        <w:t xml:space="preserve">okres </w:t>
      </w:r>
      <w:r w:rsidR="00A15209">
        <w:rPr>
          <w:rFonts w:ascii="Tahoma" w:hAnsi="Tahoma" w:cs="Tahoma"/>
          <w:sz w:val="16"/>
          <w:szCs w:val="16"/>
        </w:rPr>
        <w:t>(</w:t>
      </w:r>
      <w:r w:rsidR="00F66C9B">
        <w:rPr>
          <w:rFonts w:ascii="Tahoma" w:hAnsi="Tahoma" w:cs="Tahoma"/>
          <w:sz w:val="16"/>
          <w:szCs w:val="16"/>
        </w:rPr>
        <w:t xml:space="preserve"> np. </w:t>
      </w:r>
      <w:r>
        <w:rPr>
          <w:rFonts w:ascii="Tahoma" w:hAnsi="Tahoma" w:cs="Tahoma"/>
          <w:sz w:val="16"/>
          <w:szCs w:val="16"/>
        </w:rPr>
        <w:t>12 miesięcy</w:t>
      </w:r>
      <w:r w:rsidR="00A15209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. Inne zapisy będą interpretowane jako niespełnienie wymagań oraz spowodują odrzucenie oferty. </w:t>
      </w:r>
    </w:p>
    <w:bookmarkEnd w:id="2"/>
    <w:p w:rsidR="00D72DE1" w:rsidRDefault="00D72DE1" w:rsidP="00D72DE1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D72DE1" w:rsidRPr="00D71DB1" w:rsidRDefault="00D72DE1" w:rsidP="00D72DE1">
      <w:pPr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D71DB1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</w:t>
      </w:r>
      <w:r w:rsidR="00D71DB1">
        <w:rPr>
          <w:rFonts w:ascii="Tahoma" w:hAnsi="Tahoma" w:cs="Tahoma"/>
          <w:color w:val="000000" w:themeColor="text1"/>
          <w:sz w:val="20"/>
          <w:szCs w:val="20"/>
        </w:rPr>
        <w:t>…………………</w:t>
      </w:r>
      <w:r w:rsidRPr="00D71DB1">
        <w:rPr>
          <w:rFonts w:ascii="Tahoma" w:hAnsi="Tahoma" w:cs="Tahoma"/>
          <w:color w:val="000000" w:themeColor="text1"/>
          <w:sz w:val="20"/>
          <w:szCs w:val="20"/>
        </w:rPr>
        <w:t>…….</w:t>
      </w:r>
    </w:p>
    <w:p w:rsidR="00D72DE1" w:rsidRDefault="00D71DB1" w:rsidP="00D72DE1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D71DB1" w:rsidRPr="00D71DB1" w:rsidRDefault="00D72DE1" w:rsidP="00D71DB1">
      <w:pPr>
        <w:shd w:val="clear" w:color="auto" w:fill="FFFFFF"/>
        <w:suppressAutoHyphens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Data,</w:t>
      </w:r>
      <w:r w:rsidR="00D71DB1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71DB1"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ELEKTRONICZNY PODPIS WYKONAWCY lub </w:t>
      </w:r>
    </w:p>
    <w:p w:rsidR="00D71DB1" w:rsidRPr="00D71DB1" w:rsidRDefault="00D71DB1" w:rsidP="00D71DB1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osoby uprawnionej do składania oświadczeń woli </w:t>
      </w:r>
    </w:p>
    <w:p w:rsidR="00D71DB1" w:rsidRPr="00D71DB1" w:rsidRDefault="00D71DB1" w:rsidP="00D71DB1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w imieniu Wykonawcy, w postaci:</w:t>
      </w:r>
    </w:p>
    <w:p w:rsidR="00D71DB1" w:rsidRPr="00D71DB1" w:rsidRDefault="00D71DB1" w:rsidP="00D71DB1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>- kwalifikowanego podpisu elektronicznego,</w:t>
      </w:r>
    </w:p>
    <w:p w:rsidR="00D72DE1" w:rsidRPr="005870B4" w:rsidRDefault="00D71DB1" w:rsidP="00D71DB1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D71DB1">
        <w:rPr>
          <w:rFonts w:ascii="Arial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zaufanego, - </w:t>
      </w:r>
      <w:r w:rsidRPr="00D71DB1">
        <w:rPr>
          <w:rFonts w:ascii="Arial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osobistego e-dowód.</w:t>
      </w:r>
    </w:p>
    <w:p w:rsidR="00216D9E" w:rsidRDefault="00216D9E"/>
    <w:sectPr w:rsidR="00216D9E" w:rsidSect="00E702D9">
      <w:headerReference w:type="even" r:id="rId6"/>
      <w:headerReference w:type="default" r:id="rId7"/>
      <w:footerReference w:type="default" r:id="rId8"/>
      <w:pgSz w:w="11906" w:h="16838"/>
      <w:pgMar w:top="1702" w:right="992" w:bottom="1644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34" w:rsidRDefault="00542C34">
      <w:r>
        <w:separator/>
      </w:r>
    </w:p>
  </w:endnote>
  <w:endnote w:type="continuationSeparator" w:id="0">
    <w:p w:rsidR="00542C34" w:rsidRDefault="0054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542C34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34" w:rsidRDefault="00542C34">
      <w:r>
        <w:separator/>
      </w:r>
    </w:p>
  </w:footnote>
  <w:footnote w:type="continuationSeparator" w:id="0">
    <w:p w:rsidR="00542C34" w:rsidRDefault="0054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3B" w:rsidRDefault="001F6E4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C1" w:rsidRPr="005269D1" w:rsidRDefault="001F6E4F" w:rsidP="005269D1">
    <w:pPr>
      <w:pStyle w:val="Nagwek"/>
      <w:rPr>
        <w:rFonts w:eastAsia="Ubuntu"/>
      </w:rPr>
    </w:pPr>
    <w:bookmarkStart w:id="4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6383431" wp14:editId="45372D78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9D1">
      <w:t xml:space="preserve"> 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E1"/>
    <w:rsid w:val="001B4395"/>
    <w:rsid w:val="001F6E4F"/>
    <w:rsid w:val="00216D9E"/>
    <w:rsid w:val="00542C34"/>
    <w:rsid w:val="00A15209"/>
    <w:rsid w:val="00CB4486"/>
    <w:rsid w:val="00D71DB1"/>
    <w:rsid w:val="00D72DE1"/>
    <w:rsid w:val="00D95775"/>
    <w:rsid w:val="00E265E2"/>
    <w:rsid w:val="00EA0C32"/>
    <w:rsid w:val="00F66831"/>
    <w:rsid w:val="00F66C9B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A2A1-496C-45BC-B95E-246F3226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2D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72D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72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7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1633</Words>
  <Characters>10390</Characters>
  <Application>Microsoft Office Word</Application>
  <DocSecurity>0</DocSecurity>
  <Lines>196</Lines>
  <Paragraphs>75</Paragraphs>
  <ScaleCrop>false</ScaleCrop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11</cp:revision>
  <dcterms:created xsi:type="dcterms:W3CDTF">2023-08-25T07:11:00Z</dcterms:created>
  <dcterms:modified xsi:type="dcterms:W3CDTF">2023-08-25T09:40:00Z</dcterms:modified>
</cp:coreProperties>
</file>