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5A" w:rsidRPr="00494E9B" w:rsidRDefault="0001765A" w:rsidP="00F478FD">
      <w:pPr>
        <w:tabs>
          <w:tab w:val="left" w:pos="0"/>
          <w:tab w:val="left" w:pos="360"/>
        </w:tabs>
        <w:jc w:val="center"/>
        <w:rPr>
          <w:rFonts w:ascii="Calibri" w:hAnsi="Calibri" w:cs="Calibri"/>
          <w:b/>
          <w:sz w:val="24"/>
        </w:rPr>
      </w:pPr>
      <w:r w:rsidRPr="00494E9B">
        <w:rPr>
          <w:rFonts w:ascii="Calibri" w:hAnsi="Calibri" w:cs="Calibri"/>
          <w:b/>
          <w:sz w:val="24"/>
        </w:rPr>
        <w:t xml:space="preserve">Załącznik Nr </w:t>
      </w:r>
      <w:r w:rsidR="008B64AD" w:rsidRPr="00494E9B">
        <w:rPr>
          <w:rFonts w:ascii="Calibri" w:hAnsi="Calibri" w:cs="Calibri"/>
          <w:b/>
          <w:sz w:val="24"/>
        </w:rPr>
        <w:t>2</w:t>
      </w:r>
      <w:r w:rsidRPr="00494E9B">
        <w:rPr>
          <w:rFonts w:ascii="Calibri" w:hAnsi="Calibri" w:cs="Calibri"/>
          <w:b/>
          <w:sz w:val="24"/>
        </w:rPr>
        <w:t xml:space="preserve"> </w:t>
      </w:r>
      <w:r w:rsidR="008B64AD" w:rsidRPr="00494E9B">
        <w:rPr>
          <w:rFonts w:ascii="Calibri" w:hAnsi="Calibri" w:cs="Calibri"/>
          <w:b/>
          <w:sz w:val="24"/>
        </w:rPr>
        <w:t>- OPZ</w:t>
      </w:r>
    </w:p>
    <w:p w:rsidR="0001765A" w:rsidRPr="00494E9B" w:rsidRDefault="0001765A" w:rsidP="0001765A">
      <w:pPr>
        <w:tabs>
          <w:tab w:val="left" w:pos="10080"/>
        </w:tabs>
        <w:ind w:right="-9980"/>
        <w:rPr>
          <w:rFonts w:ascii="Calibri" w:hAnsi="Calibri" w:cs="Calibri"/>
        </w:rPr>
      </w:pP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b/>
          <w:color w:val="000000"/>
          <w:sz w:val="24"/>
          <w:szCs w:val="24"/>
        </w:rPr>
        <w:t>1. Ogólny opis przedmiotu zamówienia:</w:t>
      </w:r>
    </w:p>
    <w:p w:rsidR="00640F09" w:rsidRPr="00494E9B" w:rsidRDefault="00640F09" w:rsidP="00640F09">
      <w:pPr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Przedmiotem zamówienia jest 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>dostawa, dzierżawa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i utrzymanie 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>obsługa serwisowa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urządzeń drukujących 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>w siedzibie Zamawiającego.</w:t>
      </w:r>
    </w:p>
    <w:p w:rsidR="00F478FD" w:rsidRPr="00494E9B" w:rsidRDefault="00F478FD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478FD" w:rsidRPr="00494E9B" w:rsidRDefault="00F478FD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W ramach realizacji zamówienia, Wykonawca będzie miał za zadanie:</w:t>
      </w:r>
    </w:p>
    <w:p w:rsidR="00640F09" w:rsidRPr="00494E9B" w:rsidRDefault="00640F09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478FD" w:rsidRPr="00494E9B" w:rsidRDefault="006C4988" w:rsidP="00640F09">
      <w:pPr>
        <w:pStyle w:val="Akapitzlist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- własnym kosztem, ryzykiem i transportem dostarczyć do siedziby Zamawiającego kompletu urządzeń drukujących;</w:t>
      </w:r>
    </w:p>
    <w:p w:rsidR="006C4988" w:rsidRPr="00494E9B" w:rsidRDefault="006C4988" w:rsidP="00640F09">
      <w:pPr>
        <w:pStyle w:val="Akapitzlist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- uruchomienie i instruktaż obsługi urządzeń;</w:t>
      </w:r>
    </w:p>
    <w:p w:rsidR="00640F09" w:rsidRPr="00494E9B" w:rsidRDefault="006C4988" w:rsidP="00640F09">
      <w:pPr>
        <w:pStyle w:val="Akapitzlist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zapewnienie ciągłości pracy urządzeń drukujących użyczonych Zamawiającemu przez Wykonawcę, w tym ich naprawy, konserwacje i przeglądy;</w:t>
      </w:r>
    </w:p>
    <w:p w:rsidR="00640F09" w:rsidRPr="00494E9B" w:rsidRDefault="006C4988" w:rsidP="00640F09">
      <w:pPr>
        <w:pStyle w:val="Akapitzlist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udostępnienie i prowadzenie przez Wykonawcę, w oparciu o jego serwery, serwisu umożliwiającego:</w:t>
      </w:r>
    </w:p>
    <w:p w:rsidR="00640F09" w:rsidRPr="00494E9B" w:rsidRDefault="006C4988" w:rsidP="000F51CE">
      <w:pPr>
        <w:pStyle w:val="Akapitzlist"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zdalne monitorowanie stanu zużycia materiałów ekspl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oatacyjnych dla poszczególnych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urządzeń drukujących z wykorzystaniem oprogramowania (agentów) zainstalowanego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ab/>
        <w:t>u Zamawiającego, na które Wykonawca udziela Zamawiającemu prawa użytkowania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– podsystem monitorowania;</w:t>
      </w:r>
    </w:p>
    <w:p w:rsidR="00640F09" w:rsidRPr="00494E9B" w:rsidRDefault="006C4988" w:rsidP="000F51CE">
      <w:pPr>
        <w:spacing w:line="276" w:lineRule="auto"/>
        <w:ind w:left="708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b)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raportowanie ilości wydruków dla poszczególnych ur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ządzeń drukujących – podsystem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raportowy;</w:t>
      </w:r>
    </w:p>
    <w:p w:rsidR="00640F09" w:rsidRPr="00494E9B" w:rsidRDefault="006C4988" w:rsidP="000F51CE">
      <w:pPr>
        <w:spacing w:line="276" w:lineRule="auto"/>
        <w:ind w:left="708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c)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zgłaszanie i zarządzanie zdarzeniami dotyczącymi eksploatacji monito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rowanych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urządzeń drukujących i ich historią - podsystem serwisowy;</w:t>
      </w:r>
    </w:p>
    <w:p w:rsidR="00640F09" w:rsidRPr="00494E9B" w:rsidRDefault="009E1064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-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 śledzenie i analizowanie przez Wykonawcę stanów zużycia materiałów eksploatacyjnych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(tusze, tonery, bębny)</w:t>
      </w:r>
      <w:r w:rsidR="006C4988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urządzeń drukujących Zamawiającego oraz </w:t>
      </w:r>
      <w:r w:rsidRPr="00494E9B">
        <w:rPr>
          <w:rFonts w:ascii="Calibri" w:hAnsi="Calibri" w:cs="Calibri"/>
          <w:color w:val="000000"/>
          <w:sz w:val="24"/>
          <w:szCs w:val="24"/>
        </w:rPr>
        <w:t>płynną, sukcesywną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ich dostawę;</w:t>
      </w:r>
    </w:p>
    <w:p w:rsidR="00640F09" w:rsidRPr="00494E9B" w:rsidRDefault="000F51CE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trike/>
          <w:color w:val="FF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sz w:val="24"/>
          <w:szCs w:val="24"/>
        </w:rPr>
        <w:t>Zamawiający wymaga stosowania</w:t>
      </w:r>
      <w:r w:rsidR="00640F09" w:rsidRPr="00494E9B">
        <w:rPr>
          <w:rFonts w:ascii="Calibri" w:hAnsi="Calibri" w:cs="Calibri"/>
          <w:sz w:val="24"/>
          <w:szCs w:val="24"/>
        </w:rPr>
        <w:t xml:space="preserve"> materiałów eksploatacyjnych</w:t>
      </w:r>
      <w:r w:rsidR="007571F8">
        <w:rPr>
          <w:rFonts w:ascii="Calibri" w:hAnsi="Calibri" w:cs="Calibri"/>
          <w:sz w:val="24"/>
          <w:szCs w:val="24"/>
        </w:rPr>
        <w:t xml:space="preserve"> (w tym tonerów)</w:t>
      </w:r>
      <w:r w:rsidR="00640F09" w:rsidRPr="00494E9B">
        <w:rPr>
          <w:rFonts w:ascii="Calibri" w:hAnsi="Calibri" w:cs="Calibri"/>
          <w:sz w:val="24"/>
          <w:szCs w:val="24"/>
        </w:rPr>
        <w:t xml:space="preserve"> zalecanych przez producenta urządzeń drukujących.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2F49" w:rsidRDefault="006C4988" w:rsidP="00C42F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="00BD1405" w:rsidRPr="00494E9B">
        <w:rPr>
          <w:rFonts w:ascii="Calibri" w:hAnsi="Calibri" w:cs="Calibri"/>
          <w:color w:val="000000"/>
          <w:sz w:val="24"/>
          <w:szCs w:val="24"/>
        </w:rPr>
        <w:t>Parametry urządzeń:</w:t>
      </w:r>
    </w:p>
    <w:p w:rsidR="00BD1405" w:rsidRPr="00C42F49" w:rsidRDefault="00BD1405" w:rsidP="00C42F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C42F49">
        <w:rPr>
          <w:rFonts w:ascii="Calibri" w:hAnsi="Calibri" w:cs="Calibri"/>
          <w:b/>
          <w:sz w:val="22"/>
          <w:szCs w:val="24"/>
        </w:rPr>
        <w:t xml:space="preserve">Urządzenia drukujące wielofunkcyjne (2 szt.) </w:t>
      </w:r>
      <w:r w:rsidR="009E1064" w:rsidRPr="00C42F49">
        <w:rPr>
          <w:rFonts w:ascii="Calibri" w:hAnsi="Calibri" w:cs="Calibri"/>
          <w:b/>
          <w:sz w:val="22"/>
          <w:szCs w:val="24"/>
        </w:rPr>
        <w:t>mono-kolor</w:t>
      </w:r>
    </w:p>
    <w:p w:rsidR="00BD1405" w:rsidRPr="00494E9B" w:rsidRDefault="00BD1405" w:rsidP="00BD1405">
      <w:pPr>
        <w:pStyle w:val="Akapitzlist"/>
        <w:autoSpaceDE w:val="0"/>
        <w:spacing w:line="276" w:lineRule="auto"/>
        <w:ind w:left="720"/>
        <w:rPr>
          <w:rFonts w:ascii="Calibri" w:hAnsi="Calibri" w:cs="Calibri"/>
          <w:sz w:val="22"/>
          <w:szCs w:val="24"/>
        </w:rPr>
      </w:pPr>
    </w:p>
    <w:tbl>
      <w:tblPr>
        <w:tblStyle w:val="Tabela-Siatka"/>
        <w:tblW w:w="10121" w:type="dxa"/>
        <w:tblInd w:w="-318" w:type="dxa"/>
        <w:tblLayout w:type="fixed"/>
        <w:tblLook w:val="04A0"/>
      </w:tblPr>
      <w:tblGrid>
        <w:gridCol w:w="873"/>
        <w:gridCol w:w="5649"/>
        <w:gridCol w:w="3599"/>
      </w:tblGrid>
      <w:tr w:rsidR="00BD1405" w:rsidRPr="00494E9B" w:rsidTr="00BD1405">
        <w:trPr>
          <w:trHeight w:val="128"/>
        </w:trPr>
        <w:tc>
          <w:tcPr>
            <w:tcW w:w="873" w:type="dxa"/>
            <w:shd w:val="pct10" w:color="auto" w:fill="auto"/>
          </w:tcPr>
          <w:p w:rsidR="00BD1405" w:rsidRPr="00494E9B" w:rsidRDefault="00BD1405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E9B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649" w:type="dxa"/>
            <w:shd w:val="pct10" w:color="auto" w:fill="auto"/>
          </w:tcPr>
          <w:p w:rsidR="00BD1405" w:rsidRPr="00494E9B" w:rsidRDefault="00BD1405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E9B">
              <w:rPr>
                <w:rFonts w:ascii="Calibri" w:hAnsi="Calibri" w:cs="Calibri"/>
                <w:sz w:val="18"/>
                <w:szCs w:val="18"/>
              </w:rPr>
              <w:t>Parametr</w:t>
            </w:r>
          </w:p>
        </w:tc>
        <w:tc>
          <w:tcPr>
            <w:tcW w:w="3599" w:type="dxa"/>
            <w:shd w:val="pct10" w:color="auto" w:fill="auto"/>
          </w:tcPr>
          <w:p w:rsidR="00BD1405" w:rsidRPr="00494E9B" w:rsidRDefault="00BD1405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E9B">
              <w:rPr>
                <w:rFonts w:ascii="Calibri" w:hAnsi="Calibri" w:cs="Calibri"/>
                <w:sz w:val="18"/>
                <w:szCs w:val="18"/>
              </w:rPr>
              <w:t>Minimalne wymagania</w:t>
            </w:r>
          </w:p>
        </w:tc>
      </w:tr>
      <w:tr w:rsidR="00BD1405" w:rsidRPr="00494E9B" w:rsidTr="00BD1405">
        <w:trPr>
          <w:trHeight w:val="12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drukarki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BD1405" w:rsidRPr="00494E9B" w:rsidTr="00BD1405">
        <w:trPr>
          <w:trHeight w:val="12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skanera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BD1405" w:rsidRPr="00494E9B" w:rsidTr="00BD1405">
        <w:trPr>
          <w:trHeight w:val="269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Format arkuszy do wydruku (minimum)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A5-SRA3 </w:t>
            </w:r>
          </w:p>
        </w:tc>
      </w:tr>
      <w:tr w:rsidR="00BD1405" w:rsidRPr="00494E9B" w:rsidTr="00BD1405">
        <w:trPr>
          <w:trHeight w:val="307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Prędkość wydruku str./min (minimum)</w:t>
            </w:r>
          </w:p>
        </w:tc>
        <w:tc>
          <w:tcPr>
            <w:tcW w:w="3599" w:type="dxa"/>
          </w:tcPr>
          <w:p w:rsidR="00BD1405" w:rsidRPr="00494E9B" w:rsidRDefault="00BD1405" w:rsidP="00C42F49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42F4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kolorze i mono (A4)</w:t>
            </w:r>
          </w:p>
        </w:tc>
      </w:tr>
      <w:tr w:rsidR="00BD1405" w:rsidRPr="00494E9B" w:rsidTr="00BD1405">
        <w:trPr>
          <w:trHeight w:val="44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Czas wydruku pierwszej strony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. 10 sek. w kolorze i mono</w:t>
            </w:r>
          </w:p>
        </w:tc>
      </w:tr>
      <w:tr w:rsidR="00BD1405" w:rsidRPr="00494E9B" w:rsidTr="00BD1405">
        <w:trPr>
          <w:trHeight w:val="44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Rozdzielczość druku</w:t>
            </w:r>
            <w:r w:rsidR="00F53A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(minimum)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Odpowiednik 9600x600dpi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USB, LAN 10/100/1000 (Ethernet RJ-45)</w:t>
            </w:r>
          </w:p>
        </w:tc>
      </w:tr>
      <w:tr w:rsidR="00BD1405" w:rsidRPr="00494E9B" w:rsidTr="00BD1405">
        <w:trPr>
          <w:trHeight w:val="213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Sterowniki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Sterowniki do Windows 7, 8, 8.1, 10, 11</w:t>
            </w:r>
            <w:r w:rsidR="00F53A9E">
              <w:rPr>
                <w:rFonts w:ascii="Calibri" w:hAnsi="Calibri" w:cs="Calibri"/>
                <w:color w:val="000000"/>
                <w:sz w:val="18"/>
                <w:szCs w:val="18"/>
              </w:rPr>
              <w:t>, Windows Server min. 20.12 oraz Linux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Pamięć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Min. 5GB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Język druku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Emulacje PCL5e, PCL6</w:t>
            </w:r>
          </w:p>
        </w:tc>
      </w:tr>
      <w:tr w:rsidR="00BD1405" w:rsidRPr="00494E9B" w:rsidTr="00BD1405">
        <w:trPr>
          <w:trHeight w:val="382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Obsługiwana gramatura nośników</w:t>
            </w:r>
            <w:r w:rsidR="00D422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(minimum)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60-300 g/m2</w:t>
            </w:r>
          </w:p>
        </w:tc>
      </w:tr>
      <w:tr w:rsidR="00BD1405" w:rsidRPr="00494E9B" w:rsidTr="00BD1405">
        <w:trPr>
          <w:trHeight w:val="671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Miejsce docelowe 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skanu</w:t>
            </w:r>
            <w:proofErr w:type="spellEnd"/>
          </w:p>
        </w:tc>
        <w:tc>
          <w:tcPr>
            <w:tcW w:w="3599" w:type="dxa"/>
          </w:tcPr>
          <w:p w:rsidR="00BD1405" w:rsidRPr="00494E9B" w:rsidRDefault="00BD1405" w:rsidP="0008200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e-mail, pulpit, serwer FTP,</w:t>
            </w:r>
          </w:p>
          <w:p w:rsidR="00BD1405" w:rsidRPr="00494E9B" w:rsidRDefault="00BD1405" w:rsidP="0008200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do folderu sieciowego (SMB), do pamięci USB, na dysk</w:t>
            </w:r>
          </w:p>
          <w:p w:rsidR="00BD1405" w:rsidRPr="00494E9B" w:rsidRDefault="00BD1405" w:rsidP="00F53A9E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twardy, URL</w:t>
            </w:r>
          </w:p>
        </w:tc>
      </w:tr>
      <w:tr w:rsidR="00BD1405" w:rsidRPr="00494E9B" w:rsidTr="00BD1405">
        <w:trPr>
          <w:trHeight w:val="44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podajnik org. 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Min. 150 arkuszy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Kolorowy min. 10”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Wydruk poufny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BD1405" w:rsidRPr="00494E9B" w:rsidTr="00BD1405">
        <w:trPr>
          <w:trHeight w:val="448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Prędkość kopiowania (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Mono – 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. 5 sekund do uzyskania pierwszej kopii</w:t>
            </w:r>
          </w:p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Kolor – 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. 7 sekund do uzyskania pierwszej kopii</w:t>
            </w:r>
          </w:p>
        </w:tc>
      </w:tr>
      <w:tr w:rsidR="00BD1405" w:rsidRPr="00494E9B" w:rsidTr="00BD1405">
        <w:trPr>
          <w:trHeight w:val="671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Prędkość skanowania 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[ob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r./min]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80 jednostronne</w:t>
            </w:r>
          </w:p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20 dwustronne</w:t>
            </w:r>
          </w:p>
        </w:tc>
      </w:tr>
      <w:tr w:rsidR="00BD1405" w:rsidRPr="00494E9B" w:rsidTr="00BD1405">
        <w:trPr>
          <w:trHeight w:val="26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Kasety na papier (min.)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2 x 500 ark.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Zużycie energii</w:t>
            </w:r>
            <w:r w:rsidR="000F15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(max)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(220-240 V)</w:t>
            </w:r>
          </w:p>
        </w:tc>
      </w:tr>
      <w:tr w:rsidR="00BD1405" w:rsidRPr="00494E9B" w:rsidTr="00BD1405">
        <w:trPr>
          <w:trHeight w:val="224"/>
        </w:trPr>
        <w:tc>
          <w:tcPr>
            <w:tcW w:w="873" w:type="dxa"/>
          </w:tcPr>
          <w:p w:rsidR="00BD1405" w:rsidRPr="00494E9B" w:rsidRDefault="00BD1405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Podstawa jezdna</w:t>
            </w:r>
          </w:p>
        </w:tc>
        <w:tc>
          <w:tcPr>
            <w:tcW w:w="3599" w:type="dxa"/>
          </w:tcPr>
          <w:p w:rsidR="00BD1405" w:rsidRPr="00494E9B" w:rsidRDefault="00BD1405" w:rsidP="0008200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4E9B">
              <w:rPr>
                <w:rFonts w:ascii="Calibri" w:hAnsi="Calibri" w:cs="Calibri"/>
                <w:color w:val="000000"/>
                <w:sz w:val="18"/>
                <w:szCs w:val="18"/>
              </w:rPr>
              <w:t>Oryginalna producenta</w:t>
            </w:r>
          </w:p>
        </w:tc>
      </w:tr>
      <w:tr w:rsidR="00F53A9E" w:rsidRPr="00494E9B" w:rsidTr="00BD1405">
        <w:trPr>
          <w:trHeight w:val="224"/>
        </w:trPr>
        <w:tc>
          <w:tcPr>
            <w:tcW w:w="873" w:type="dxa"/>
          </w:tcPr>
          <w:p w:rsidR="00F53A9E" w:rsidRPr="00494E9B" w:rsidRDefault="00F53A9E" w:rsidP="0008200B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49" w:type="dxa"/>
          </w:tcPr>
          <w:p w:rsidR="00F53A9E" w:rsidRPr="00494E9B" w:rsidRDefault="00F53A9E" w:rsidP="0008200B">
            <w:pPr>
              <w:pStyle w:val="Akapitzlist"/>
              <w:spacing w:line="276" w:lineRule="auto"/>
              <w:ind w:left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Kontrola wydruku na poziomie użytkownika (karty, konta etc).</w:t>
            </w:r>
          </w:p>
        </w:tc>
        <w:tc>
          <w:tcPr>
            <w:tcW w:w="3599" w:type="dxa"/>
          </w:tcPr>
          <w:p w:rsidR="00F53A9E" w:rsidRPr="00494E9B" w:rsidRDefault="000F152A" w:rsidP="000F152A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:rsidR="00BD1405" w:rsidRPr="00494E9B" w:rsidRDefault="00BD1405" w:rsidP="00BD1405">
      <w:pPr>
        <w:pStyle w:val="Akapitzlist"/>
        <w:autoSpaceDE w:val="0"/>
        <w:spacing w:line="276" w:lineRule="auto"/>
        <w:ind w:left="720"/>
        <w:rPr>
          <w:rFonts w:ascii="Calibri" w:hAnsi="Calibri" w:cs="Calibri"/>
          <w:sz w:val="22"/>
          <w:szCs w:val="24"/>
        </w:rPr>
      </w:pPr>
    </w:p>
    <w:p w:rsidR="00BD1405" w:rsidRPr="00494E9B" w:rsidRDefault="00BD1405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4E9B">
        <w:rPr>
          <w:rFonts w:ascii="Calibri" w:hAnsi="Calibri" w:cs="Calibri"/>
          <w:b/>
          <w:color w:val="000000"/>
          <w:sz w:val="24"/>
          <w:szCs w:val="24"/>
        </w:rPr>
        <w:t xml:space="preserve">2. </w:t>
      </w:r>
      <w:r w:rsidR="000F51CE" w:rsidRPr="00494E9B">
        <w:rPr>
          <w:rFonts w:ascii="Calibri" w:hAnsi="Calibri" w:cs="Calibri"/>
          <w:b/>
          <w:color w:val="000000"/>
          <w:sz w:val="24"/>
          <w:szCs w:val="24"/>
        </w:rPr>
        <w:t>Informacje</w:t>
      </w:r>
      <w:r w:rsidRPr="00494E9B">
        <w:rPr>
          <w:rFonts w:ascii="Calibri" w:hAnsi="Calibri" w:cs="Calibri"/>
          <w:b/>
          <w:color w:val="000000"/>
          <w:sz w:val="24"/>
          <w:szCs w:val="24"/>
        </w:rPr>
        <w:t xml:space="preserve"> ogólne: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3CBC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Pr="00494E9B">
        <w:rPr>
          <w:rFonts w:ascii="Calibri" w:hAnsi="Calibri" w:cs="Calibri"/>
          <w:sz w:val="24"/>
          <w:szCs w:val="24"/>
        </w:rPr>
        <w:t>. Szacowana ilość stron wydruku w ramach realizacji przedmiotu zamówienia:</w:t>
      </w:r>
    </w:p>
    <w:p w:rsidR="00B63CBC" w:rsidRPr="00494E9B" w:rsidRDefault="00B63CBC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494E9B">
        <w:rPr>
          <w:rFonts w:ascii="Calibri" w:hAnsi="Calibri" w:cs="Calibri"/>
          <w:b/>
          <w:sz w:val="24"/>
          <w:szCs w:val="24"/>
        </w:rPr>
        <w:t xml:space="preserve">Urządzenia wielofunkcyjne (nr 1) - </w:t>
      </w:r>
      <w:r w:rsidR="002A471B">
        <w:rPr>
          <w:rFonts w:ascii="Calibri" w:hAnsi="Calibri" w:cs="Calibri"/>
          <w:b/>
          <w:sz w:val="24"/>
          <w:szCs w:val="24"/>
        </w:rPr>
        <w:t>7500</w:t>
      </w:r>
      <w:r w:rsidRPr="00494E9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94E9B">
        <w:rPr>
          <w:rFonts w:ascii="Calibri" w:hAnsi="Calibri" w:cs="Calibri"/>
          <w:b/>
          <w:sz w:val="24"/>
          <w:szCs w:val="24"/>
        </w:rPr>
        <w:t>str</w:t>
      </w:r>
      <w:proofErr w:type="spellEnd"/>
      <w:r w:rsidRPr="00494E9B">
        <w:rPr>
          <w:rFonts w:ascii="Calibri" w:hAnsi="Calibri" w:cs="Calibri"/>
          <w:b/>
          <w:sz w:val="24"/>
          <w:szCs w:val="24"/>
        </w:rPr>
        <w:t xml:space="preserve"> / miesięcznie </w:t>
      </w:r>
    </w:p>
    <w:p w:rsidR="007571F8" w:rsidRPr="007571F8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494E9B">
        <w:rPr>
          <w:rFonts w:ascii="Calibri" w:hAnsi="Calibri" w:cs="Calibri"/>
          <w:sz w:val="24"/>
          <w:szCs w:val="24"/>
        </w:rPr>
        <w:t xml:space="preserve">2. </w:t>
      </w:r>
      <w:r w:rsidR="007571F8">
        <w:rPr>
          <w:rFonts w:ascii="Calibri" w:hAnsi="Calibri" w:cs="Calibri"/>
          <w:sz w:val="24"/>
          <w:szCs w:val="24"/>
        </w:rPr>
        <w:t>Zamawiający nie przewiduje minimal</w:t>
      </w:r>
      <w:r w:rsidR="006F11A7">
        <w:rPr>
          <w:rFonts w:ascii="Calibri" w:hAnsi="Calibri" w:cs="Calibri"/>
          <w:sz w:val="24"/>
          <w:szCs w:val="24"/>
        </w:rPr>
        <w:t>nej ilości wydruków w miesiącu.</w:t>
      </w:r>
    </w:p>
    <w:p w:rsidR="00640F09" w:rsidRPr="00494E9B" w:rsidRDefault="007571F8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640F09" w:rsidRPr="00494E9B">
        <w:rPr>
          <w:rFonts w:ascii="Calibri" w:hAnsi="Calibri" w:cs="Calibri"/>
          <w:sz w:val="24"/>
          <w:szCs w:val="24"/>
        </w:rPr>
        <w:t xml:space="preserve">Wdrożenie i uruchomienie systemu musi nastąpić w terminie nie dłuższym niż </w:t>
      </w:r>
      <w:r w:rsidR="00B63CBC" w:rsidRPr="00494E9B">
        <w:rPr>
          <w:rFonts w:ascii="Calibri" w:hAnsi="Calibri" w:cs="Calibri"/>
          <w:b/>
          <w:sz w:val="24"/>
          <w:szCs w:val="24"/>
        </w:rPr>
        <w:t xml:space="preserve">5 </w:t>
      </w:r>
      <w:r w:rsidR="00640F09" w:rsidRPr="00494E9B">
        <w:rPr>
          <w:rFonts w:ascii="Calibri" w:hAnsi="Calibri" w:cs="Calibri"/>
          <w:sz w:val="24"/>
          <w:szCs w:val="24"/>
        </w:rPr>
        <w:t xml:space="preserve">dni </w:t>
      </w:r>
      <w:r w:rsidR="00B63CBC" w:rsidRPr="00494E9B">
        <w:rPr>
          <w:rFonts w:ascii="Calibri" w:hAnsi="Calibri" w:cs="Calibri"/>
          <w:sz w:val="24"/>
          <w:szCs w:val="24"/>
        </w:rPr>
        <w:t xml:space="preserve">roboczych </w:t>
      </w:r>
      <w:r w:rsidR="00640F09" w:rsidRPr="00494E9B">
        <w:rPr>
          <w:rFonts w:ascii="Calibri" w:hAnsi="Calibri" w:cs="Calibri"/>
          <w:sz w:val="24"/>
          <w:szCs w:val="24"/>
        </w:rPr>
        <w:t>od dnia podpisania umowy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.</w:t>
      </w:r>
    </w:p>
    <w:p w:rsidR="00640F09" w:rsidRPr="00494E9B" w:rsidRDefault="00640F09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4. Urządzenia wielofunkcyjne muszą obsługiwać protokół TWAIN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po USB i po sieci.</w:t>
      </w:r>
    </w:p>
    <w:p w:rsidR="00640F09" w:rsidRPr="00494E9B" w:rsidRDefault="00640F09" w:rsidP="00640F0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5. Oprogramowanie wewnętrzne, opisy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panelu sterującego, przycisków i klawiszy funkcyjnych użyczonego sprzętu muszą być w języku polskim.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6. Podstawą przyjęcia przez Zamawiającego użyczonego urządzenia będzie protokół użyczenia zawierający następujące informacje: dane Wykonawcy, dane Zamawiającego, lokalizację (miejsce użytkowania), typ i model, numer seryjny.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7. Wykonawca zobowiązuje się do prowadzenia i przekazywania Zamawiającemu aktualnego rejestru użyczonych urządzeń zawierającego informacje o poszczególnych urządzeniach jak w protokole użyczenia.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8. Wykonawca oznaczy użyczone urządzenia nalepką zawierającą jego dane identyfikacyjne.</w:t>
      </w:r>
    </w:p>
    <w:p w:rsidR="00640F09" w:rsidRPr="00494E9B" w:rsidRDefault="00B63CBC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9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. Po zużyciu materiałów eksploatacyjnych – nowy zostanie zainstalowany przez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osobiście przez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Wykonawcę lub w przypadku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>działającego sprzętu – zostawiony w miejscu instalacji urządzenia. Nie dopuszcza się dostarczania materiałów eksploatacyjnych przez firmy kurierskie.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10. System musi zapewniać: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pełną kontrolę kosztów wydruków dla poszczególnych urządzeń drukujących;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pełną kontrolę ilości wydruków (stron) dla poszczególnych urządzeń drukujących;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pełną kontrolę stanów materiałów eksploatacyjnych poszczególnych urządzeń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drukujących;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możliwość kontroli zużycia papieru do wydruków;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prognozę stanów materiałów eksploatacyjnych w oparciu o historię ilości wydruków – pod względem zawartości materiałów eksploatacyjnych (w %) jak również szacunkowy czas zużycia materiałów eksploatacyjnych;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zarządzanie serwisem urządzeń drukujących.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11. Dostawa materiałów eksploatacyjnych, opisanych do konkretnych urządzeń, będzie odbywać się automatycznie do </w:t>
      </w:r>
      <w:r w:rsidR="008A0B14">
        <w:rPr>
          <w:rFonts w:ascii="Calibri" w:hAnsi="Calibri" w:cs="Calibri"/>
          <w:color w:val="000000"/>
          <w:sz w:val="24"/>
          <w:szCs w:val="24"/>
        </w:rPr>
        <w:t>siedziby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Zamawiającego bez dodatkowych zleceń lub zamówień z jego strony,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jednakże Zamawiający zastrzega sobie taką możliwość w szczególnych przypadkach.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2</w:t>
      </w:r>
      <w:r w:rsidRPr="00494E9B">
        <w:rPr>
          <w:rFonts w:ascii="Calibri" w:hAnsi="Calibri" w:cs="Calibri"/>
          <w:color w:val="000000"/>
          <w:sz w:val="24"/>
          <w:szCs w:val="24"/>
        </w:rPr>
        <w:t>. W momencie startowego uruchomienia systemu Wykonawca wygeneruje raport początkowy informujący o zerowym stanie liczników poszczególnych urządzeń drukujących.</w:t>
      </w:r>
    </w:p>
    <w:p w:rsidR="00B63CBC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3</w:t>
      </w:r>
      <w:r w:rsidRPr="00494E9B">
        <w:rPr>
          <w:rFonts w:ascii="Calibri" w:hAnsi="Calibri" w:cs="Calibri"/>
          <w:color w:val="000000"/>
          <w:sz w:val="24"/>
          <w:szCs w:val="24"/>
        </w:rPr>
        <w:t>. Raport miesięczny sporzą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dzany będzie na koniec miesiąca</w:t>
      </w:r>
    </w:p>
    <w:p w:rsidR="00B63CBC" w:rsidRPr="00494E9B" w:rsidRDefault="00B63CBC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-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w formie papierowej i dołączany do faktury</w:t>
      </w:r>
      <w:r w:rsidR="008A0B14">
        <w:rPr>
          <w:rFonts w:ascii="Calibri" w:hAnsi="Calibri" w:cs="Calibri"/>
          <w:color w:val="000000"/>
          <w:sz w:val="24"/>
          <w:szCs w:val="24"/>
        </w:rPr>
        <w:t xml:space="preserve"> lub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40F09" w:rsidRPr="00494E9B" w:rsidRDefault="00B63CBC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w formie elektronicznej dostarczany Zamawiającemu pocztą elektroniczną na wskazany adres w terminie jak jego wersja papierowa.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4</w:t>
      </w:r>
      <w:r w:rsidRPr="00494E9B">
        <w:rPr>
          <w:rFonts w:ascii="Calibri" w:hAnsi="Calibri" w:cs="Calibri"/>
          <w:color w:val="000000"/>
          <w:sz w:val="24"/>
          <w:szCs w:val="24"/>
        </w:rPr>
        <w:t>. Wykon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awca zapewni rezerwę magazynową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zapas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materiałów eksploatacyjnych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- tusze, tonery, bębny itp.)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wynoszącą co najmniej jedną sztukę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materiałów eksploatacyjnych dla każdego typu materiałów wymaganych do obsługi urządzeń drukujących Zamawiającego.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5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. Wykonawca dostarczy Zamawiającemu plik 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zawierający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listę modeli materiałów eksploatacyjnych (tonery, tusze, bębny itp.) odpowiadających wszystkim typom monitorowanych urządzeń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Zamawiającego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6</w:t>
      </w:r>
      <w:r w:rsidRPr="00494E9B">
        <w:rPr>
          <w:rFonts w:ascii="Calibri" w:hAnsi="Calibri" w:cs="Calibri"/>
          <w:color w:val="000000"/>
          <w:sz w:val="24"/>
          <w:szCs w:val="24"/>
        </w:rPr>
        <w:t>. W przypadku konieczności naprawy poza lokalizacją Zamawiającego urządzeń posiadających nośniki danych, nośniki te muszą zostać skutecznie wyczyszczone z wszelkich danych. Wykonawca uzgodni z Zamawiającym sposób skutecznego i zweryfikowanego wyczyszczenia danych.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7</w:t>
      </w:r>
      <w:r w:rsidRPr="00494E9B">
        <w:rPr>
          <w:rFonts w:ascii="Calibri" w:hAnsi="Calibri" w:cs="Calibri"/>
          <w:color w:val="000000"/>
          <w:sz w:val="24"/>
          <w:szCs w:val="24"/>
        </w:rPr>
        <w:t>. Wykonawca zobowiązany jest do przekazania prawa do użytkowania licencji na oprogramowanie monitorujące zaoferowane przez Wykonawcę najpóźniej do dnia wdrożenia systemu, w formie oświadczenia.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>8</w:t>
      </w:r>
      <w:r w:rsidRPr="00494E9B">
        <w:rPr>
          <w:rFonts w:ascii="Calibri" w:hAnsi="Calibri" w:cs="Calibri"/>
          <w:color w:val="000000"/>
          <w:sz w:val="24"/>
          <w:szCs w:val="24"/>
        </w:rPr>
        <w:t>. Wykonawcy zobowiązany jest na dzień podpisania umowy do złożenia oświadczenia iż przekazana przez Wykonawcę licencja na zaoferowane oprogr</w:t>
      </w:r>
      <w:r w:rsidR="00B63CBC" w:rsidRPr="00494E9B">
        <w:rPr>
          <w:rFonts w:ascii="Calibri" w:hAnsi="Calibri" w:cs="Calibri"/>
          <w:color w:val="000000"/>
          <w:sz w:val="24"/>
          <w:szCs w:val="24"/>
        </w:rPr>
        <w:t xml:space="preserve">amowanie do monitorowania druku </w:t>
      </w:r>
      <w:r w:rsidRPr="00494E9B">
        <w:rPr>
          <w:rFonts w:ascii="Calibri" w:hAnsi="Calibri" w:cs="Calibri"/>
          <w:color w:val="000000"/>
          <w:sz w:val="24"/>
          <w:szCs w:val="24"/>
        </w:rPr>
        <w:t>jest wolna od wad prawnych i roszczeń osób trzecich, jak również ni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e jest ograniczona stanowiskowo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czy ilościowo pod kątem 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 xml:space="preserve">liczby </w:t>
      </w:r>
      <w:r w:rsidRPr="00494E9B">
        <w:rPr>
          <w:rFonts w:ascii="Calibri" w:hAnsi="Calibri" w:cs="Calibri"/>
          <w:color w:val="000000"/>
          <w:sz w:val="24"/>
          <w:szCs w:val="24"/>
        </w:rPr>
        <w:t>użytkowników bądź urządzeń drukujących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,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a czas udostępnienia prawa do użytkowania licencji nie jest krótszy niż czas trwania umowy wraz z okresem wdrożenia usługi.</w:t>
      </w:r>
    </w:p>
    <w:p w:rsidR="00640F09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A0B14" w:rsidRPr="00494E9B" w:rsidRDefault="008A0B14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4E9B">
        <w:rPr>
          <w:rFonts w:ascii="Calibri" w:hAnsi="Calibri" w:cs="Calibri"/>
          <w:b/>
          <w:color w:val="000000"/>
          <w:sz w:val="24"/>
          <w:szCs w:val="24"/>
        </w:rPr>
        <w:t>3. Wymagania techniczne: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1. Możliwość instalacji oprogramowania agenta w środowisku Windows.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2. Możliwość komunikacji agenta z urządzeniem drukującym za pomocą połączeń LAN lub USB.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lastRenderedPageBreak/>
        <w:t>3. Wymagany jest 1 agent do wszystkich typów urządzeń (bez rozgraniczenia na model urządzenia czy typ połączenia)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4. System zarządzania powinien pokazywać stany tonerów urządzeń połączonych 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w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sieci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.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5. System powinien pozwalać na podłączenie i monitorowanie wszystkich urządzeń i klasyfikować urządzenia objęte umową.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6. Agent sieciowy powinien wykrywać drukarkę po nazwie hosta nadanej przez Zamawiającego.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7. Drukarki sieciowe monitorowane będą wyłącznie przez agenta sieciowego wskazanego przez Zamawiającego. 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8. W przypadku konieczności podłączenia do sieci LAN urządzenia drukującego użyczonego od Wykonawcy w miejscu, gdzie nie ma wystarczającej ilości gniazd sieciowych, Wykonawca użyczy Zamawiającemu przełącznik sieciowy i/lub </w:t>
      </w:r>
      <w:proofErr w:type="spellStart"/>
      <w:r w:rsidRPr="00494E9B">
        <w:rPr>
          <w:rFonts w:ascii="Calibri" w:hAnsi="Calibri" w:cs="Calibri"/>
          <w:color w:val="000000"/>
          <w:sz w:val="24"/>
          <w:szCs w:val="24"/>
        </w:rPr>
        <w:t>printserver</w:t>
      </w:r>
      <w:proofErr w:type="spellEnd"/>
      <w:r w:rsidRPr="00494E9B">
        <w:rPr>
          <w:rFonts w:ascii="Calibri" w:hAnsi="Calibri" w:cs="Calibri"/>
          <w:color w:val="000000"/>
          <w:sz w:val="24"/>
          <w:szCs w:val="24"/>
        </w:rPr>
        <w:t>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9. Zakres danych przesyłanych od agentów zainstalowanych u Zamawiającego do serwera Wykonawcy może obejmować tylko i wyłącznie informacje związane z stanem pracy urządzeń drukujących – niedopuszczalne jest przesyłanie jakichkolwiek informacji związanych z treścią wydruków lub nazwami plików.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10. Transmisja danych od agentów do serwera musi być szyfrowana jednym ze standardowych algorytmów kryptograficznych (np. DES, 3DES, AES, IDEA, BLOWFISH, TWOFISH, SERPENT).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11. Przypisanie przez Wykonawcę poszczególnych urządzeń drukujących w podsystemie raportowym do lokalizacji i ośrodków powstawania kosztów zgodnie z wykazem dostarczonym przez Zamawiającego po podpisaniu umowy.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12. Dostarczane materiały eksploatacyjne powinny posiadać układ/chip, który pozwoli poprawnie odczytać stan materiału przez oprogramowanie drukarki.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13. Informacje dotyczące stanu materiału eksploatacyjnego pochodzące z systemu monitorowania muszą być zgodne z informacjami pochodzącymi z oprogramowania drukarki dostarczonego przez producenta drukarki.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4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. W przypadku stwierdzenia przez pracownika Działu Informatycznego lub serwis, że awarie lub wadliwe działanie drukarki spowodowane jest niską jakością materiału eksploatacyjnego (toner, tusz) Zamawiający może żądać 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 xml:space="preserve">bezpłatnej </w:t>
      </w:r>
      <w:r w:rsidRPr="00494E9B">
        <w:rPr>
          <w:rFonts w:ascii="Calibri" w:hAnsi="Calibri" w:cs="Calibri"/>
          <w:color w:val="000000"/>
          <w:sz w:val="24"/>
          <w:szCs w:val="24"/>
        </w:rPr>
        <w:t>wymiany materiału eksploatacyjnego na nowy.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1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5</w:t>
      </w:r>
      <w:r w:rsidRPr="00494E9B">
        <w:rPr>
          <w:rFonts w:ascii="Calibri" w:hAnsi="Calibri" w:cs="Calibri"/>
          <w:color w:val="000000"/>
          <w:sz w:val="24"/>
          <w:szCs w:val="24"/>
        </w:rPr>
        <w:t>. Podsystemy monitorowania, raportowania i serwisowania powinny mieć w pełni polski interfejs, dokumentacje użytkownika oraz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zapewniać: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prezentację informacji o urządzeniu drukującym: producent, model, nazwa własna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urządzenia nadana przez Zamawiającego, numer seryjny, lokalizacja, ośrodek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powstawania kosztów;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generowanie raportu miesięcznego ilości i kosztu wydruków (stron) dla każdego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urządzenia z agregacją względem ośrodków powstawania kosztów;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eksport raportów drukowania do plików CSV;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śledzenie zużycia materiałów eksploatacyjnych w urządzeniach drukujących jak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również możliwość zliczania ilości wydrukowanych stron;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możliwość dokonania zgłoszenia serwisowego dotyczącego monitorowanych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urządzeń; 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możliwość zgłoszenia reklamacji dostarczonego materiału eksploatacyjnego;</w:t>
      </w:r>
    </w:p>
    <w:p w:rsidR="00640F09" w:rsidRPr="00494E9B" w:rsidRDefault="00640F09" w:rsidP="00640F09">
      <w:pPr>
        <w:pStyle w:val="Akapitzlist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następujące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informacje dotyczące</w:t>
      </w:r>
      <w:r w:rsidR="00F478FD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napraw urządzeń serwisowanych: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status naprawy w czasie rzeczywistym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dane zgłaszającego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lokalizację sprzętu dr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>ukującego będącego w naprawie (</w:t>
      </w:r>
      <w:r w:rsidRPr="00494E9B">
        <w:rPr>
          <w:rFonts w:ascii="Calibri" w:hAnsi="Calibri" w:cs="Calibri"/>
          <w:color w:val="000000"/>
          <w:sz w:val="24"/>
          <w:szCs w:val="24"/>
        </w:rPr>
        <w:t>wskazanie miejsca w którym znajduje się uszkodzone urządzenie u Zamawiającego )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model urządzenia drukującego wraz z numerem seryjnym 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wyszczególnienie kosztów naprawy (edytowalnych przez Wykonawcę)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opis naprawy urządzenia drukującego (wypełniany przez serwis Wykonawcy)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data zgłoszenia serwisowego (możliwość zgłoszenia akcji serwisowej przez Zamawiającego za pomocą przeglądarki </w:t>
      </w:r>
      <w:proofErr w:type="spellStart"/>
      <w:r w:rsidRPr="00494E9B">
        <w:rPr>
          <w:rFonts w:ascii="Calibri" w:hAnsi="Calibri" w:cs="Calibri"/>
          <w:color w:val="000000"/>
          <w:sz w:val="24"/>
          <w:szCs w:val="24"/>
        </w:rPr>
        <w:t>www</w:t>
      </w:r>
      <w:proofErr w:type="spellEnd"/>
      <w:r w:rsidRPr="00494E9B">
        <w:rPr>
          <w:rFonts w:ascii="Calibri" w:hAnsi="Calibri" w:cs="Calibri"/>
          <w:color w:val="000000"/>
          <w:sz w:val="24"/>
          <w:szCs w:val="24"/>
        </w:rPr>
        <w:t>)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data przyjęcia zgł</w:t>
      </w:r>
      <w:r w:rsidR="005F2638">
        <w:rPr>
          <w:rFonts w:ascii="Calibri" w:hAnsi="Calibri" w:cs="Calibri"/>
          <w:color w:val="000000"/>
          <w:sz w:val="24"/>
          <w:szCs w:val="24"/>
        </w:rPr>
        <w:t>oszenia serwisowego (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wypełnia serwis Wykonawcy) 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data wykonania naprawy (wypełnia serwis Wykonawcy)</w:t>
      </w:r>
    </w:p>
    <w:p w:rsidR="00640F09" w:rsidRPr="00494E9B" w:rsidRDefault="00640F09" w:rsidP="00640F09">
      <w:pPr>
        <w:pStyle w:val="Akapitzlist"/>
        <w:numPr>
          <w:ilvl w:val="2"/>
          <w:numId w:val="5"/>
        </w:numPr>
        <w:suppressAutoHyphens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możliwość dodania załącznika (dodania strony testowej z urządzenia celem określe</w:t>
      </w:r>
      <w:r w:rsidR="007571F8">
        <w:rPr>
          <w:rFonts w:ascii="Calibri" w:hAnsi="Calibri" w:cs="Calibri"/>
          <w:color w:val="000000"/>
          <w:sz w:val="24"/>
          <w:szCs w:val="24"/>
        </w:rPr>
        <w:t>nia awarii, brudnego druku etc.</w:t>
      </w:r>
      <w:r w:rsidRPr="00494E9B">
        <w:rPr>
          <w:rFonts w:ascii="Calibri" w:hAnsi="Calibri" w:cs="Calibri"/>
          <w:color w:val="000000"/>
          <w:sz w:val="24"/>
          <w:szCs w:val="24"/>
        </w:rPr>
        <w:t>)</w:t>
      </w:r>
    </w:p>
    <w:p w:rsidR="00640F09" w:rsidRPr="00494E9B" w:rsidRDefault="00640F09" w:rsidP="00640F09">
      <w:pPr>
        <w:pStyle w:val="Akapitzlist"/>
        <w:ind w:left="1458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ind w:left="144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b/>
          <w:color w:val="000000"/>
          <w:sz w:val="24"/>
          <w:szCs w:val="24"/>
        </w:rPr>
        <w:t>4. Wymagania dotyczące wsparcia serwisowego: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494E9B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Pojęcia związane z realizacją wsparcia serwisowego: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awaria/uszkodzenie </w:t>
      </w:r>
      <w:r w:rsidR="007571F8" w:rsidRPr="00494E9B">
        <w:rPr>
          <w:rFonts w:ascii="Calibri" w:hAnsi="Calibri" w:cs="Calibri"/>
          <w:color w:val="000000"/>
          <w:sz w:val="24"/>
          <w:szCs w:val="24"/>
        </w:rPr>
        <w:t>–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sytuacja, w której prawidłowo podłączone do komputera lub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włączone do sieci komputerowej urządzenie nie wykonuje wydruków;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usterka/nieprawidłowość pracy </w:t>
      </w:r>
      <w:r w:rsidR="007571F8" w:rsidRPr="00494E9B">
        <w:rPr>
          <w:rFonts w:ascii="Calibri" w:hAnsi="Calibri" w:cs="Calibri"/>
          <w:color w:val="000000"/>
          <w:sz w:val="24"/>
          <w:szCs w:val="24"/>
        </w:rPr>
        <w:t>–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sytuacja, w której urządzenie wykonuje wydruki 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jakości odbiegającej od określonej w jej dokumentacji technicznej (blady wydruk,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plamy, smugi, niezadrukowane fragmenty tekstu lub obrazu, przekłamane kolory,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głośna praca urządzenia itp.);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konserwacja/przegląd – czynności wykonywane w celu zabezpieczenia urządzenia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przed szybkim zużyciem lub zepsuciem, gwarantujące prawidłową pracę i utrzymanie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urządzenia w dobrym stanie np. czyszczenie elementów składowych, regulacja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ustawień, wymiana zużytych podzespołów, wykonywanie oceny/ekspertyzy stanu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technicznego;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naprawa – doprowadzenie urządzenia do stanu funkcjonalności poprzez usunięcie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wszelkich awarii i usterek;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czas reakcji – czas od przyjęcia zgłoszenia do rozpoczęcia prac potwierdzonego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wpisem w podsystemie serwisowym;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czas naprawy – czas od przyjęcia zgłoszenia do zakończenia prac potwierdzonego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wpisem w podsystemie serwisowym;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czas realizacji usługi </w:t>
      </w:r>
      <w:r w:rsidR="007571F8" w:rsidRPr="00494E9B">
        <w:rPr>
          <w:rFonts w:ascii="Calibri" w:hAnsi="Calibri" w:cs="Calibri"/>
          <w:color w:val="000000"/>
          <w:sz w:val="24"/>
          <w:szCs w:val="24"/>
        </w:rPr>
        <w:t>–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czas od przyjęcia zgłoszenia do zakończenia realizacji usługi.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>2</w:t>
      </w:r>
      <w:r w:rsidR="00494E9B">
        <w:rPr>
          <w:rFonts w:ascii="Calibri" w:hAnsi="Calibri" w:cs="Calibri"/>
          <w:color w:val="000000"/>
          <w:sz w:val="24"/>
          <w:szCs w:val="24"/>
        </w:rPr>
        <w:t>)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 Zakres wsparcia serwisowego: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utrzymanie ciągłości i poprawności pracy oprogramowania agentów;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płynne dostarczanie do magazynu Zamawiającego materiałów eksploatacyjnych (z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wyjątkiem papieru) w tym tonerów, tuszy, bębnów zapewniające istnienie zapasu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gwarantującego ciągłość pracy urządzeń;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usługi: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a. konserwacji i przeglądów technicznych urządzeń drukujących zgodnie ze </w:t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zgłoszeniem Zamawiającego;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b. wymiany i instalacji w urządzeniach drukujących materiałów </w:t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eksploatacyjnych, w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przypadkach wymagających interwencji serwisu </w:t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specjalistycznego (np. bębny, </w:t>
      </w:r>
      <w:proofErr w:type="spellStart"/>
      <w:r w:rsidRPr="00494E9B">
        <w:rPr>
          <w:rFonts w:ascii="Calibri" w:hAnsi="Calibri" w:cs="Calibri"/>
          <w:color w:val="000000"/>
          <w:sz w:val="24"/>
          <w:szCs w:val="24"/>
        </w:rPr>
        <w:t>fusery</w:t>
      </w:r>
      <w:proofErr w:type="spellEnd"/>
      <w:r w:rsidRPr="00494E9B">
        <w:rPr>
          <w:rFonts w:ascii="Calibri" w:hAnsi="Calibri" w:cs="Calibri"/>
          <w:color w:val="000000"/>
          <w:sz w:val="24"/>
          <w:szCs w:val="24"/>
        </w:rPr>
        <w:t>, wywoływacze, utrwalacze, rolki);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c. użyczania urządzeń drukujących zastępczych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 xml:space="preserve"> na czas serwisu</w:t>
      </w:r>
      <w:r w:rsidRPr="00494E9B">
        <w:rPr>
          <w:rFonts w:ascii="Calibri" w:hAnsi="Calibri" w:cs="Calibri"/>
          <w:color w:val="000000"/>
          <w:sz w:val="24"/>
          <w:szCs w:val="24"/>
        </w:rPr>
        <w:t>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d. dostawy materiałów eksploatacyjnych do urządzeń drukujących na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podstawie odrębnego zlecenia Zamawiającego w szczególnych</w:t>
      </w:r>
      <w:r w:rsidR="00494E9B" w:rsidRP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przypadkach;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naprawę uszkodzonych lub nieprawidłowo pracujących urządzeń, odbiór do naprawy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uszkodzonego i po naprawie sprawnego urządzenia leży po stronie Wykonawcy;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odbiór i utylizację zużytych części i materiałów eksploatacyjnych za potwierdzeniem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na karcie odpadu;</w:t>
      </w:r>
    </w:p>
    <w:p w:rsidR="00640F09" w:rsidRPr="00494E9B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demontaż użyczonych urządzeń drukujących i ich odebranie przez Wykonawcę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potwierdzone protokołem w czasie nie dłuższym niż 7 dni po okresie obowiązywania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umowy.</w:t>
      </w:r>
    </w:p>
    <w:p w:rsidR="00640F09" w:rsidRPr="00494E9B" w:rsidRDefault="00494E9B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</w:t>
      </w:r>
      <w:r w:rsidR="00640F09" w:rsidRPr="00494E9B">
        <w:rPr>
          <w:rFonts w:ascii="Calibri" w:hAnsi="Calibri" w:cs="Calibri"/>
          <w:color w:val="000000"/>
          <w:sz w:val="24"/>
          <w:szCs w:val="24"/>
        </w:rPr>
        <w:t xml:space="preserve"> Warunki świadczenia wsparcia serwisowego: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Wykonawca zobowiązuje się do stosowania materiałów eksploatacyjnych oraz części i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podzespołów zalecanych przez producenta danego urządzenia drukującego. 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Wykonawca ponosi pełną odpowiedzialność za utratę lub uszkodzenie urządzeń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powstałe z jego winy w czasie wykonywania napraw i innych czynności serwisowych;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konserwacje i przeglądy realizowane będą w dni robocze w godzinach wcześniej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uzgodnionych z Zamawiającym;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po zakończeniu prac konserwacyjnych Wykonawca zobowiązany jest do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uporządkowania miejsca pracy oraz zabrania uszkodzonych i zużytych elementów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urządzenia;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gotowość przyjmowania zgłoszeń serwisowych w oparciu o podsystem serwisowania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stanowiący</w:t>
      </w:r>
      <w:r w:rsid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integralną, zarządzaną przez przeglądarkę WWW część oferowanego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systemu zarządzania drukiem24 godziny na dobę przez 7 dni w tygodniu,</w:t>
      </w:r>
    </w:p>
    <w:p w:rsidR="00640F09" w:rsidRDefault="00640F0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czas reakcji </w:t>
      </w:r>
      <w:r w:rsidR="00C42F49">
        <w:rPr>
          <w:rFonts w:ascii="Calibri" w:hAnsi="Calibri" w:cs="Calibri"/>
          <w:color w:val="000000"/>
          <w:sz w:val="24"/>
          <w:szCs w:val="24"/>
        </w:rPr>
        <w:t>(przyjęcie zgłoszenia + przystąpienie do naprawy)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7571F8" w:rsidRPr="007571F8">
        <w:rPr>
          <w:rFonts w:ascii="Calibri" w:hAnsi="Calibri" w:cs="Calibri"/>
          <w:b/>
          <w:color w:val="000000"/>
          <w:sz w:val="24"/>
          <w:szCs w:val="24"/>
        </w:rPr>
        <w:t>max</w:t>
      </w:r>
      <w:proofErr w:type="spellEnd"/>
      <w:r w:rsidR="007571F8" w:rsidRPr="007571F8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7571F8">
        <w:rPr>
          <w:rFonts w:ascii="Calibri" w:hAnsi="Calibri" w:cs="Calibri"/>
          <w:b/>
          <w:color w:val="000000"/>
          <w:sz w:val="24"/>
          <w:szCs w:val="24"/>
        </w:rPr>
        <w:t xml:space="preserve">24 </w:t>
      </w:r>
      <w:r w:rsidR="007571F8" w:rsidRPr="007571F8">
        <w:rPr>
          <w:rFonts w:ascii="Calibri" w:hAnsi="Calibri" w:cs="Calibri"/>
          <w:b/>
          <w:color w:val="000000"/>
          <w:sz w:val="24"/>
          <w:szCs w:val="24"/>
        </w:rPr>
        <w:t>godzin</w:t>
      </w:r>
      <w:r w:rsidR="007571F8">
        <w:rPr>
          <w:rFonts w:ascii="Calibri" w:hAnsi="Calibri" w:cs="Calibri"/>
          <w:b/>
          <w:color w:val="000000"/>
          <w:sz w:val="24"/>
          <w:szCs w:val="24"/>
        </w:rPr>
        <w:t>y</w:t>
      </w:r>
      <w:r w:rsidRPr="00494E9B">
        <w:rPr>
          <w:rFonts w:ascii="Calibri" w:hAnsi="Calibri" w:cs="Calibri"/>
          <w:color w:val="000000"/>
          <w:sz w:val="24"/>
          <w:szCs w:val="24"/>
        </w:rPr>
        <w:t>;</w:t>
      </w:r>
    </w:p>
    <w:p w:rsidR="00C42F49" w:rsidRPr="00494E9B" w:rsidRDefault="00C42F49" w:rsidP="00640F0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Zamawiający wymaga wykonywania napraw przez autoryzowanego serwisanta;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jeżeli czas usunięcia awarii, usterki lub przeprowadzenia konserwacji przekracza 1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dzień roboczy, Wykonawca dostarczy na ten okres urządzenie zastępcze tej samej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klasy - w takim przypadku sporządzony będzie protokół zawierający informacje 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urządzeniu zastępczym oraz zastępowanym, ich numerach fabrycznych,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inwentarzowych, stanach liczników wydruków - dostarczenie urządzenia zastępczego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musi być zrealizowane nie później niż</w:t>
      </w:r>
      <w:r w:rsidR="00494E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następnego dnia roboczego od dnia zgłoszenia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serwisowego; 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czas realizacji usługi: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a. konserwacji lub przeglądu</w:t>
      </w:r>
      <w:r w:rsidR="007571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>do 5 dni roboczych;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b. wymiany i instalacji materiałów eksploatacyjnych: 1 dzień roboczy;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c. użyczenia urządzenia: do 5 dni roboczych;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ab/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d. dostawy materiałów eksploatacyjnych na odrębne zlecenie: 2 dni robocze.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4E9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brak realizacji usługi w terminach określonych powyżej</w:t>
      </w:r>
      <w:r w:rsidR="007571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uprawnia Zamawiającego do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zaangażowania innych osób prawnych lub fizycznych (tzw. wykonanie zastępcze) w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 xml:space="preserve">celu realizacji przedmiotu zgodnego z niniejszą umową. Koszty tzw. wykonania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zastępczego</w:t>
      </w:r>
      <w:r w:rsidR="007571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będą obciążać Wykonawcę w wysokości różnicy między kosztami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wykonania zastępczego (w tym koszty</w:t>
      </w:r>
      <w:r w:rsidR="007571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4E9B">
        <w:rPr>
          <w:rFonts w:ascii="Calibri" w:hAnsi="Calibri" w:cs="Calibri"/>
          <w:color w:val="000000"/>
          <w:sz w:val="24"/>
          <w:szCs w:val="24"/>
        </w:rPr>
        <w:t xml:space="preserve">transportu, rozładunku i inne niezbędne do </w:t>
      </w:r>
      <w:r w:rsidRPr="00494E9B">
        <w:rPr>
          <w:rFonts w:ascii="Calibri" w:hAnsi="Calibri" w:cs="Calibri"/>
          <w:color w:val="000000"/>
          <w:sz w:val="24"/>
          <w:szCs w:val="24"/>
        </w:rPr>
        <w:tab/>
        <w:t>prawidłowego wykonania przedmiotu umowy), a kosztami zaku</w:t>
      </w:r>
      <w:r w:rsidR="005F2638">
        <w:rPr>
          <w:rFonts w:ascii="Calibri" w:hAnsi="Calibri" w:cs="Calibri"/>
          <w:color w:val="000000"/>
          <w:sz w:val="24"/>
          <w:szCs w:val="24"/>
        </w:rPr>
        <w:t xml:space="preserve">pu na podstawie </w:t>
      </w:r>
      <w:r w:rsidR="005F2638">
        <w:rPr>
          <w:rFonts w:ascii="Calibri" w:hAnsi="Calibri" w:cs="Calibri"/>
          <w:color w:val="000000"/>
          <w:sz w:val="24"/>
          <w:szCs w:val="24"/>
        </w:rPr>
        <w:tab/>
        <w:t>zawartej umowy.</w:t>
      </w: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40F09" w:rsidRPr="00494E9B" w:rsidRDefault="00640F09" w:rsidP="00640F09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color w:val="000000"/>
        </w:rPr>
      </w:pPr>
    </w:p>
    <w:p w:rsidR="0001765A" w:rsidRPr="00494E9B" w:rsidRDefault="0001765A" w:rsidP="008B64AD">
      <w:pPr>
        <w:tabs>
          <w:tab w:val="left" w:pos="360"/>
        </w:tabs>
        <w:jc w:val="both"/>
        <w:rPr>
          <w:rFonts w:ascii="Calibri" w:hAnsi="Calibri" w:cs="Calibri"/>
        </w:rPr>
      </w:pPr>
    </w:p>
    <w:p w:rsidR="0001765A" w:rsidRPr="00494E9B" w:rsidRDefault="0001765A" w:rsidP="0001765A">
      <w:pPr>
        <w:rPr>
          <w:rFonts w:ascii="Calibri" w:hAnsi="Calibri" w:cs="Calibri"/>
        </w:rPr>
      </w:pPr>
    </w:p>
    <w:p w:rsidR="00613907" w:rsidRPr="00494E9B" w:rsidRDefault="00613907" w:rsidP="0001765A">
      <w:pPr>
        <w:spacing w:after="160" w:line="259" w:lineRule="auto"/>
        <w:rPr>
          <w:rFonts w:ascii="Calibri" w:hAnsi="Calibri" w:cs="Calibri"/>
        </w:rPr>
      </w:pPr>
    </w:p>
    <w:sectPr w:rsidR="00613907" w:rsidRPr="00494E9B" w:rsidSect="00D3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-135"/>
        </w:tabs>
        <w:ind w:left="1458" w:hanging="181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A35C51"/>
    <w:multiLevelType w:val="multilevel"/>
    <w:tmpl w:val="BFB0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2">
    <w:nsid w:val="23D25A01"/>
    <w:multiLevelType w:val="hybridMultilevel"/>
    <w:tmpl w:val="4A3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655"/>
    <w:multiLevelType w:val="multilevel"/>
    <w:tmpl w:val="E5EC2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>
    <w:nsid w:val="2EF2336D"/>
    <w:multiLevelType w:val="hybridMultilevel"/>
    <w:tmpl w:val="BDBA2B62"/>
    <w:lvl w:ilvl="0" w:tplc="562AE9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906"/>
    <w:multiLevelType w:val="multilevel"/>
    <w:tmpl w:val="4590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6">
    <w:nsid w:val="69036BFF"/>
    <w:multiLevelType w:val="hybridMultilevel"/>
    <w:tmpl w:val="D8CEF8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471D0"/>
    <w:multiLevelType w:val="hybridMultilevel"/>
    <w:tmpl w:val="0468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56551"/>
    <w:multiLevelType w:val="hybridMultilevel"/>
    <w:tmpl w:val="6138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765A"/>
    <w:rsid w:val="0001765A"/>
    <w:rsid w:val="000953D4"/>
    <w:rsid w:val="000F152A"/>
    <w:rsid w:val="000F51CE"/>
    <w:rsid w:val="002A471B"/>
    <w:rsid w:val="002B6883"/>
    <w:rsid w:val="003A0937"/>
    <w:rsid w:val="003B5BC5"/>
    <w:rsid w:val="004455A8"/>
    <w:rsid w:val="00494E9B"/>
    <w:rsid w:val="005F2638"/>
    <w:rsid w:val="00613907"/>
    <w:rsid w:val="00640F09"/>
    <w:rsid w:val="006C4988"/>
    <w:rsid w:val="006F11A7"/>
    <w:rsid w:val="007571F8"/>
    <w:rsid w:val="008A0B14"/>
    <w:rsid w:val="008B64AD"/>
    <w:rsid w:val="009E1064"/>
    <w:rsid w:val="00AF4C26"/>
    <w:rsid w:val="00B63CBC"/>
    <w:rsid w:val="00BD1405"/>
    <w:rsid w:val="00C42F49"/>
    <w:rsid w:val="00C66B8F"/>
    <w:rsid w:val="00CD7BEC"/>
    <w:rsid w:val="00D333FA"/>
    <w:rsid w:val="00D422FB"/>
    <w:rsid w:val="00DD1ED9"/>
    <w:rsid w:val="00F478FD"/>
    <w:rsid w:val="00F5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qFormat/>
    <w:rsid w:val="0001765A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01765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176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A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A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Pawlak</dc:creator>
  <cp:lastModifiedBy>ap4</cp:lastModifiedBy>
  <cp:revision>3</cp:revision>
  <dcterms:created xsi:type="dcterms:W3CDTF">2024-06-12T07:32:00Z</dcterms:created>
  <dcterms:modified xsi:type="dcterms:W3CDTF">2024-06-12T12:32:00Z</dcterms:modified>
</cp:coreProperties>
</file>