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D72F24" w14:textId="2A703110" w:rsidR="00481C64" w:rsidRPr="0063309D" w:rsidRDefault="00BA1DD3" w:rsidP="00E61D01">
      <w:pPr>
        <w:pStyle w:val="Nagwek"/>
        <w:tabs>
          <w:tab w:val="clear" w:pos="9072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2AEE9FFA" w14:textId="56481602" w:rsidR="00C85741" w:rsidRPr="00C85741" w:rsidRDefault="00C85741" w:rsidP="00C8574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741">
        <w:rPr>
          <w:rFonts w:asciiTheme="minorHAnsi" w:hAnsiTheme="minorHAnsi" w:cstheme="minorHAnsi"/>
          <w:b/>
          <w:sz w:val="22"/>
          <w:szCs w:val="22"/>
        </w:rPr>
        <w:t>Uniwersytecki Szpital Kliniczny w Białymstoku</w:t>
      </w:r>
    </w:p>
    <w:p w14:paraId="26812791" w14:textId="77777777" w:rsidR="00C85741" w:rsidRPr="00C85741" w:rsidRDefault="00C85741" w:rsidP="00C8574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7C10AA" w14:textId="77777777" w:rsidR="00C85741" w:rsidRPr="00C85741" w:rsidRDefault="00C85741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Cs/>
          <w:sz w:val="20"/>
          <w:szCs w:val="20"/>
        </w:rPr>
      </w:pPr>
      <w:r w:rsidRPr="00C85741">
        <w:rPr>
          <w:rFonts w:ascii="Calibri" w:hAnsi="Calibri" w:cs="Calibri"/>
          <w:bCs/>
          <w:sz w:val="20"/>
          <w:szCs w:val="20"/>
        </w:rPr>
        <w:t>ul. M. Skłodowskiej-Curie 24 A, 15-276 Białystok</w:t>
      </w:r>
    </w:p>
    <w:p w14:paraId="70918121" w14:textId="116F83F8" w:rsidR="00645731" w:rsidRPr="00E7459E" w:rsidRDefault="00C85741" w:rsidP="00645731">
      <w:pPr>
        <w:suppressAutoHyphens w:val="0"/>
        <w:jc w:val="center"/>
        <w:rPr>
          <w:rFonts w:ascii="Roboto" w:hAnsi="Roboto" w:cs="Arial"/>
          <w:color w:val="3E3D40"/>
          <w:sz w:val="23"/>
          <w:szCs w:val="23"/>
          <w:lang w:val="en-US" w:eastAsia="pl-PL"/>
        </w:rPr>
      </w:pPr>
      <w:proofErr w:type="spellStart"/>
      <w:r w:rsidRPr="00273EF7">
        <w:rPr>
          <w:rFonts w:ascii="Calibri" w:hAnsi="Calibri" w:cs="Calibri"/>
          <w:bCs/>
          <w:sz w:val="20"/>
          <w:szCs w:val="20"/>
          <w:lang w:val="de-DE"/>
        </w:rPr>
        <w:t>Regon</w:t>
      </w:r>
      <w:proofErr w:type="spellEnd"/>
      <w:r w:rsidRPr="00273EF7">
        <w:rPr>
          <w:rFonts w:ascii="Calibri" w:hAnsi="Calibri" w:cs="Calibri"/>
          <w:bCs/>
          <w:sz w:val="20"/>
          <w:szCs w:val="20"/>
          <w:lang w:val="de-DE"/>
        </w:rPr>
        <w:t xml:space="preserve">: </w:t>
      </w:r>
      <w:r w:rsidRPr="00E7459E">
        <w:rPr>
          <w:rFonts w:ascii="Calibri" w:hAnsi="Calibri" w:cs="Calibri"/>
          <w:bCs/>
          <w:sz w:val="20"/>
          <w:szCs w:val="20"/>
          <w:lang w:val="en-US"/>
        </w:rPr>
        <w:t xml:space="preserve">000288610, </w:t>
      </w:r>
      <w:r w:rsidRPr="00273EF7">
        <w:rPr>
          <w:rFonts w:ascii="Calibri" w:hAnsi="Calibri" w:cs="Calibri"/>
          <w:bCs/>
          <w:sz w:val="20"/>
          <w:szCs w:val="20"/>
          <w:lang w:val="de-DE"/>
        </w:rPr>
        <w:t xml:space="preserve">NIP: </w:t>
      </w:r>
      <w:r w:rsidRPr="00E7459E">
        <w:rPr>
          <w:rFonts w:ascii="Calibri" w:hAnsi="Calibri" w:cs="Calibri"/>
          <w:bCs/>
          <w:sz w:val="20"/>
          <w:szCs w:val="20"/>
          <w:lang w:val="en-US"/>
        </w:rPr>
        <w:t>542</w:t>
      </w:r>
      <w:r w:rsidRPr="00645731">
        <w:rPr>
          <w:rFonts w:ascii="Calibri" w:hAnsi="Calibri" w:cs="Calibri"/>
          <w:bCs/>
          <w:sz w:val="20"/>
          <w:szCs w:val="20"/>
          <w:lang w:val="de-DE"/>
        </w:rPr>
        <w:t xml:space="preserve">-25-34-985, </w:t>
      </w:r>
      <w:r w:rsidR="00BA1DD3" w:rsidRPr="00645731">
        <w:rPr>
          <w:rFonts w:ascii="Calibri" w:hAnsi="Calibri" w:cs="Calibri"/>
          <w:bCs/>
          <w:sz w:val="20"/>
          <w:szCs w:val="20"/>
          <w:lang w:val="de-DE"/>
        </w:rPr>
        <w:t>KRS:</w:t>
      </w:r>
      <w:r w:rsidR="00645731" w:rsidRPr="00645731">
        <w:rPr>
          <w:rFonts w:ascii="Calibri" w:hAnsi="Calibri" w:cs="Calibri"/>
          <w:bCs/>
          <w:sz w:val="20"/>
          <w:szCs w:val="20"/>
          <w:lang w:val="de-DE"/>
        </w:rPr>
        <w:t xml:space="preserve"> 0000002254</w:t>
      </w:r>
    </w:p>
    <w:p w14:paraId="0E42DCE0" w14:textId="16DE67AF" w:rsidR="00D00C6C" w:rsidRPr="00E7459E" w:rsidRDefault="00D00C6C" w:rsidP="00C85741">
      <w:pPr>
        <w:autoSpaceDE w:val="0"/>
        <w:autoSpaceDN w:val="0"/>
        <w:adjustRightInd w:val="0"/>
        <w:ind w:firstLine="426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3AAD7F5" w14:textId="590BE936" w:rsidR="00BA1DD3" w:rsidRPr="00E7459E" w:rsidRDefault="00BA1DD3" w:rsidP="00D00C6C">
      <w:pPr>
        <w:widowControl w:val="0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7B71077B" w14:textId="77777777" w:rsidR="00C85741" w:rsidRPr="00E7459E" w:rsidRDefault="00C85741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Cs/>
          <w:sz w:val="20"/>
          <w:szCs w:val="20"/>
          <w:lang w:val="en-US"/>
        </w:rPr>
      </w:pPr>
      <w:r w:rsidRPr="00E7459E">
        <w:rPr>
          <w:rFonts w:ascii="Calibri" w:hAnsi="Calibri" w:cs="Calibri"/>
          <w:bCs/>
          <w:sz w:val="20"/>
          <w:szCs w:val="20"/>
          <w:lang w:val="en-US"/>
        </w:rPr>
        <w:t>tel. (85) 746 83 35</w:t>
      </w:r>
    </w:p>
    <w:p w14:paraId="0113983C" w14:textId="227392C8" w:rsidR="000E7334" w:rsidRPr="00E7459E" w:rsidRDefault="00BA1DD3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Cs/>
          <w:sz w:val="20"/>
          <w:szCs w:val="20"/>
          <w:lang w:val="en-US"/>
        </w:rPr>
      </w:pPr>
      <w:r w:rsidRPr="00E7459E">
        <w:rPr>
          <w:rFonts w:ascii="Calibri" w:hAnsi="Calibri" w:cs="Calibri"/>
          <w:bCs/>
          <w:sz w:val="20"/>
          <w:szCs w:val="20"/>
          <w:lang w:val="en-US"/>
        </w:rPr>
        <w:t xml:space="preserve">e-mail: </w:t>
      </w:r>
      <w:r w:rsidR="00C85741" w:rsidRPr="00E7459E">
        <w:rPr>
          <w:rFonts w:ascii="Calibri" w:hAnsi="Calibri" w:cs="Calibri"/>
          <w:bCs/>
          <w:sz w:val="20"/>
          <w:szCs w:val="20"/>
          <w:lang w:val="en-US"/>
        </w:rPr>
        <w:t>szpital@uskwb.pl</w:t>
      </w:r>
    </w:p>
    <w:p w14:paraId="165D41C0" w14:textId="67C3EE71" w:rsidR="00BA1DD3" w:rsidRPr="00E7459E" w:rsidRDefault="00BA1DD3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2992D7E6" w14:textId="77777777" w:rsidR="00C85741" w:rsidRPr="00273EF7" w:rsidRDefault="00BA1DD3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C85741">
        <w:rPr>
          <w:rFonts w:asciiTheme="minorHAnsi" w:hAnsiTheme="minorHAnsi" w:cstheme="minorHAnsi"/>
          <w:bCs/>
          <w:smallCaps/>
          <w:sz w:val="20"/>
        </w:rPr>
        <w:t>Strona internetowa</w:t>
      </w:r>
      <w:r w:rsidR="00C85741" w:rsidRPr="00C85741">
        <w:rPr>
          <w:rFonts w:asciiTheme="minorHAnsi" w:hAnsiTheme="minorHAnsi" w:cstheme="minorHAnsi"/>
          <w:bCs/>
          <w:smallCaps/>
          <w:sz w:val="20"/>
        </w:rPr>
        <w:t xml:space="preserve">: </w:t>
      </w:r>
      <w:hyperlink r:id="rId8" w:history="1">
        <w:r w:rsidR="00C85741" w:rsidRPr="00273EF7">
          <w:rPr>
            <w:rStyle w:val="Hipercze"/>
            <w:rFonts w:ascii="Calibri" w:hAnsi="Calibri" w:cs="Calibri"/>
            <w:b/>
            <w:bCs/>
            <w:sz w:val="20"/>
            <w:lang w:val="de-DE"/>
          </w:rPr>
          <w:t>www.usk.bialystok.pl</w:t>
        </w:r>
      </w:hyperlink>
    </w:p>
    <w:p w14:paraId="7C9D4ACB" w14:textId="0171534C" w:rsidR="00A83977" w:rsidRPr="00C85741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  <w:lang w:val="de-DE"/>
        </w:rPr>
      </w:pPr>
    </w:p>
    <w:p w14:paraId="6F853B31" w14:textId="77777777" w:rsidR="00A83977" w:rsidRPr="00C85741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</w:rPr>
      </w:pPr>
    </w:p>
    <w:p w14:paraId="577C64AE" w14:textId="7043AE5E" w:rsidR="00481C64" w:rsidRPr="0063309D" w:rsidRDefault="00BA1DD3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5A2F57E7" w14:textId="23168326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TAMAL Sp. z o.o.</w:t>
      </w:r>
    </w:p>
    <w:p w14:paraId="654C19F3" w14:textId="31B20D97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ul. Stefana Jaracza 6 lok. 4, 00-378 Warszawa</w:t>
      </w:r>
    </w:p>
    <w:p w14:paraId="338C61BC" w14:textId="16C029F5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tel. 22 828 26 41</w:t>
      </w:r>
    </w:p>
    <w:p w14:paraId="2B8E36B3" w14:textId="65165625" w:rsidR="00481C64" w:rsidRPr="002A50B1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pt-BR" w:eastAsia="en-US"/>
        </w:rPr>
      </w:pPr>
      <w:r w:rsidRPr="002A50B1">
        <w:rPr>
          <w:rFonts w:asciiTheme="minorHAnsi" w:eastAsiaTheme="minorHAnsi" w:hAnsiTheme="minorHAnsi" w:cstheme="minorHAnsi"/>
          <w:color w:val="000000"/>
          <w:sz w:val="20"/>
          <w:szCs w:val="20"/>
          <w:lang w:val="pt-BR" w:eastAsia="en-US"/>
        </w:rPr>
        <w:t xml:space="preserve">e-mail: </w:t>
      </w:r>
      <w:r w:rsidRPr="002A50B1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pt-BR" w:eastAsia="en-US"/>
        </w:rPr>
        <w:t>biuro@tamal.com.pl</w:t>
      </w:r>
    </w:p>
    <w:p w14:paraId="09D53CDC" w14:textId="24F3C7D9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nr zezwolenia </w:t>
      </w:r>
      <w:proofErr w:type="spellStart"/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KNUiFE</w:t>
      </w:r>
      <w:proofErr w:type="spellEnd"/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nr 1344/04</w:t>
      </w:r>
    </w:p>
    <w:p w14:paraId="548C7081" w14:textId="374693B8" w:rsidR="00481C64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REGON: 015781514 NIP: 525-23-06-468</w:t>
      </w:r>
    </w:p>
    <w:p w14:paraId="2AC4E1A0" w14:textId="299DC30D" w:rsidR="00481C64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www.tamal.com.pl</w:t>
      </w:r>
    </w:p>
    <w:p w14:paraId="39142104" w14:textId="3B90252F" w:rsidR="003E6379" w:rsidRDefault="00481C64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lang w:eastAsia="en-US"/>
        </w:rPr>
        <w:t>Dni i godziny pracy: poniedziałek – piątek 07:00 – 16:00</w:t>
      </w:r>
    </w:p>
    <w:p w14:paraId="54AAD902" w14:textId="39540083" w:rsidR="0063309D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2F31FC27" w14:textId="2BA33577" w:rsidR="009252F4" w:rsidRPr="0063309D" w:rsidRDefault="00BA1DD3" w:rsidP="00E61D01">
      <w:pPr>
        <w:shd w:val="clear" w:color="auto" w:fill="F2F2F2" w:themeFill="background1" w:themeFillShade="F2"/>
        <w:spacing w:before="100" w:beforeAutospacing="1" w:line="271" w:lineRule="auto"/>
        <w:jc w:val="center"/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</w:pPr>
      <w:r w:rsidRPr="0063309D"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  <w:t>Specyfikacja Warunków Zamówienia (SWZ)</w:t>
      </w:r>
    </w:p>
    <w:p w14:paraId="68CE64DB" w14:textId="11C62DE3" w:rsidR="00481C64" w:rsidRPr="00017802" w:rsidRDefault="00BA1DD3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1780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numer sprawy: </w:t>
      </w:r>
      <w:r w:rsidR="004765D2" w:rsidRPr="00017802">
        <w:rPr>
          <w:rFonts w:asciiTheme="minorHAnsi" w:hAnsiTheme="minorHAnsi" w:cstheme="minorHAnsi"/>
          <w:b/>
          <w:color w:val="FF0000"/>
          <w:sz w:val="22"/>
          <w:szCs w:val="22"/>
        </w:rPr>
        <w:t>54/2022</w:t>
      </w:r>
      <w:r w:rsidR="005C31DB" w:rsidRPr="00017802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</w:t>
      </w:r>
    </w:p>
    <w:p w14:paraId="2F48F178" w14:textId="116AAA8B" w:rsidR="004765D2" w:rsidRPr="004765D2" w:rsidRDefault="004765D2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</w:rPr>
      </w:pPr>
      <w:r w:rsidRPr="004765D2">
        <w:rPr>
          <w:rFonts w:asciiTheme="minorHAnsi" w:hAnsiTheme="minorHAnsi" w:cstheme="minorHAnsi"/>
          <w:b/>
        </w:rPr>
        <w:t xml:space="preserve">na usługę ubezpieczenia Uniwersyteckiego Szpitala Klinicznego w Białymstoku </w:t>
      </w:r>
      <w:r w:rsidRPr="004765D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(2 Części)</w:t>
      </w:r>
    </w:p>
    <w:p w14:paraId="6D42E9C4" w14:textId="77777777" w:rsidR="00AB392D" w:rsidRPr="0063309D" w:rsidRDefault="00BA1DD3" w:rsidP="00E61D01">
      <w:pPr>
        <w:tabs>
          <w:tab w:val="center" w:pos="4536"/>
          <w:tab w:val="left" w:pos="6945"/>
        </w:tabs>
        <w:spacing w:before="100" w:beforeAutospacing="1"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7B7BA370" w14:textId="184516D6" w:rsidR="000E7334" w:rsidRPr="0063309D" w:rsidRDefault="00BA1DD3" w:rsidP="000E7334">
      <w:pPr>
        <w:tabs>
          <w:tab w:val="center" w:pos="4536"/>
          <w:tab w:val="left" w:pos="6945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Składanie ofert następuje za pośrednictwem platformy zakupowej dostępnej pod adresem internetowym: </w:t>
      </w:r>
    </w:p>
    <w:p w14:paraId="216BD00D" w14:textId="5139EB35" w:rsidR="00BA1DD3" w:rsidRPr="0063309D" w:rsidRDefault="000E7334" w:rsidP="000E733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  <w:r w:rsidRPr="0063309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63309D"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t>https://platformazakupowa.pl/pn/tamal</w:t>
      </w:r>
    </w:p>
    <w:p w14:paraId="2227355E" w14:textId="351B8A09" w:rsidR="00BA1DD3" w:rsidRPr="00AC1C0A" w:rsidRDefault="00BA1DD3" w:rsidP="003E6379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Termin składania ofert:  </w:t>
      </w:r>
      <w:r w:rsidR="000C497F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0</w:t>
      </w:r>
      <w:r w:rsidR="005A7D5D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5</w:t>
      </w:r>
      <w:r w:rsidR="000C497F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</w:t>
      </w:r>
      <w:r w:rsidR="00AC085B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7</w:t>
      </w:r>
      <w:r w:rsidR="000C497F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.2022</w:t>
      </w:r>
      <w:r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do godz. </w:t>
      </w:r>
      <w:r w:rsidR="007E15DE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10:00</w:t>
      </w:r>
    </w:p>
    <w:p w14:paraId="36A5DC88" w14:textId="7C8B39C2" w:rsidR="00BA1DD3" w:rsidRPr="00AC085B" w:rsidRDefault="00BA1DD3" w:rsidP="00E61D01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Termin otwarcia ofert: </w:t>
      </w:r>
      <w:r w:rsidR="000C497F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0</w:t>
      </w:r>
      <w:r w:rsidR="005A7D5D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5</w:t>
      </w:r>
      <w:r w:rsidR="000C497F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</w:t>
      </w:r>
      <w:r w:rsidR="00AC085B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7</w:t>
      </w:r>
      <w:r w:rsidR="000C497F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.2022</w:t>
      </w:r>
      <w:r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o godz. </w:t>
      </w:r>
      <w:r w:rsidR="007E15DE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10:30</w:t>
      </w:r>
    </w:p>
    <w:p w14:paraId="6036B05F" w14:textId="641F3389" w:rsidR="002F6B36" w:rsidRPr="00AC085B" w:rsidRDefault="002F6B36" w:rsidP="003E6379">
      <w:pPr>
        <w:pStyle w:val="Tekstpodstawowy2"/>
        <w:spacing w:beforeLines="77" w:before="184" w:afterLines="120" w:after="288" w:line="271" w:lineRule="auto"/>
        <w:ind w:left="4972"/>
        <w:rPr>
          <w:rFonts w:asciiTheme="minorHAnsi" w:hAnsiTheme="minorHAnsi" w:cstheme="minorHAnsi"/>
          <w:b/>
          <w:bCs/>
          <w:color w:val="0D0D0D"/>
          <w:sz w:val="22"/>
          <w:szCs w:val="22"/>
          <w:lang w:val="pl-PL"/>
        </w:rPr>
      </w:pPr>
    </w:p>
    <w:p w14:paraId="620D7971" w14:textId="65D8EE9A" w:rsidR="00BA1DD3" w:rsidRPr="0063309D" w:rsidRDefault="005C31DB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  <w:sz w:val="22"/>
          <w:szCs w:val="22"/>
          <w:highlight w:val="yellow"/>
        </w:rPr>
      </w:pPr>
      <w:r w:rsidRPr="001E091F">
        <w:rPr>
          <w:rFonts w:asciiTheme="minorHAnsi" w:hAnsiTheme="minorHAnsi" w:cstheme="minorHAnsi"/>
          <w:color w:val="0D0D0D"/>
          <w:sz w:val="22"/>
          <w:szCs w:val="22"/>
        </w:rPr>
        <w:t>Białystok</w:t>
      </w:r>
      <w:r w:rsidR="000A3A17" w:rsidRPr="001E091F">
        <w:rPr>
          <w:rFonts w:asciiTheme="minorHAnsi" w:hAnsiTheme="minorHAnsi" w:cstheme="minorHAnsi"/>
          <w:color w:val="0D0D0D"/>
          <w:sz w:val="22"/>
          <w:szCs w:val="22"/>
        </w:rPr>
        <w:t>,</w:t>
      </w:r>
      <w:r w:rsidR="00BA1DD3" w:rsidRPr="001E091F">
        <w:rPr>
          <w:rFonts w:asciiTheme="minorHAnsi" w:hAnsiTheme="minorHAnsi" w:cstheme="minorHAnsi"/>
          <w:color w:val="0D0D0D"/>
          <w:sz w:val="22"/>
          <w:szCs w:val="22"/>
        </w:rPr>
        <w:t xml:space="preserve"> dnia</w:t>
      </w:r>
      <w:r w:rsidR="007E15DE" w:rsidRPr="001E091F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0C497F" w:rsidRPr="001E091F">
        <w:rPr>
          <w:rFonts w:asciiTheme="minorHAnsi" w:hAnsiTheme="minorHAnsi" w:cstheme="minorHAnsi"/>
          <w:color w:val="0D0D0D"/>
          <w:sz w:val="22"/>
          <w:szCs w:val="22"/>
        </w:rPr>
        <w:t>2</w:t>
      </w:r>
      <w:r w:rsidR="001E091F" w:rsidRPr="001E091F">
        <w:rPr>
          <w:rFonts w:asciiTheme="minorHAnsi" w:hAnsiTheme="minorHAnsi" w:cstheme="minorHAnsi"/>
          <w:color w:val="0D0D0D"/>
          <w:sz w:val="22"/>
          <w:szCs w:val="22"/>
        </w:rPr>
        <w:t>6</w:t>
      </w:r>
      <w:r w:rsidR="000C497F" w:rsidRPr="001E091F">
        <w:rPr>
          <w:rFonts w:asciiTheme="minorHAnsi" w:hAnsiTheme="minorHAnsi" w:cstheme="minorHAnsi"/>
          <w:color w:val="0D0D0D"/>
          <w:sz w:val="22"/>
          <w:szCs w:val="22"/>
        </w:rPr>
        <w:t>.05.2022</w:t>
      </w:r>
      <w:r w:rsidR="007E15DE" w:rsidRPr="001E091F">
        <w:rPr>
          <w:rFonts w:asciiTheme="minorHAnsi" w:hAnsiTheme="minorHAnsi" w:cstheme="minorHAnsi"/>
          <w:color w:val="0D0D0D"/>
          <w:sz w:val="22"/>
          <w:szCs w:val="22"/>
        </w:rPr>
        <w:t>r.</w:t>
      </w:r>
      <w:r w:rsidR="00BA1DD3" w:rsidRPr="004E7BFE">
        <w:rPr>
          <w:rFonts w:asciiTheme="minorHAnsi" w:hAnsiTheme="minorHAnsi" w:cstheme="minorHAnsi"/>
          <w:sz w:val="22"/>
          <w:szCs w:val="22"/>
        </w:rPr>
        <w:br w:type="page"/>
      </w:r>
      <w:r w:rsidR="00BA1DD3" w:rsidRPr="0063309D">
        <w:rPr>
          <w:rFonts w:asciiTheme="minorHAnsi" w:hAnsiTheme="minorHAnsi" w:cstheme="minorHAnsi"/>
          <w:color w:val="0D0D0D"/>
          <w:sz w:val="22"/>
          <w:szCs w:val="22"/>
        </w:rPr>
        <w:lastRenderedPageBreak/>
        <w:t xml:space="preserve">Zamawiający zaprasza do </w:t>
      </w:r>
      <w:r w:rsidR="00BA1DD3" w:rsidRPr="0063309D">
        <w:rPr>
          <w:rFonts w:asciiTheme="minorHAnsi" w:hAnsiTheme="minorHAnsi" w:cstheme="minorHAnsi"/>
          <w:sz w:val="22"/>
          <w:szCs w:val="22"/>
        </w:rPr>
        <w:t xml:space="preserve">wzięcia udziału w postępowaniu o udzielenie zamówienia publicznego </w:t>
      </w:r>
      <w:r w:rsidR="00BA1DD3" w:rsidRPr="0063309D">
        <w:rPr>
          <w:rFonts w:asciiTheme="minorHAnsi" w:hAnsiTheme="minorHAnsi" w:cstheme="minorHAnsi"/>
          <w:b/>
          <w:sz w:val="22"/>
          <w:szCs w:val="22"/>
        </w:rPr>
        <w:t>na usługę ubezpieczenia</w:t>
      </w:r>
      <w:r>
        <w:rPr>
          <w:rFonts w:asciiTheme="minorHAnsi" w:hAnsiTheme="minorHAnsi" w:cstheme="minorHAnsi"/>
          <w:b/>
          <w:sz w:val="22"/>
          <w:szCs w:val="22"/>
        </w:rPr>
        <w:t xml:space="preserve"> Uniwersyteckiego Szpitala Klinicznego w Białymstoku </w:t>
      </w:r>
      <w:r w:rsidR="003B052E"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</w:t>
      </w:r>
      <w:r w:rsidR="003B052E"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Części)</w:t>
      </w:r>
      <w:r w:rsidR="003B052E" w:rsidRPr="0063309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A1DD3" w:rsidRPr="0063309D">
        <w:rPr>
          <w:rFonts w:asciiTheme="minorHAnsi" w:hAnsiTheme="minorHAnsi" w:cstheme="minorHAnsi"/>
          <w:bCs/>
          <w:sz w:val="22"/>
          <w:szCs w:val="22"/>
        </w:rPr>
        <w:t>Postępowanie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prowadzone jest zgodnie z ustawą z dnia 11 września 2019 r. Prawo zamówień publicznych (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Dz. U. z 2019 r., poz. 2019 ze zm.) – zwana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dalej ustaw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ą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PZP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w trybie 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przetargu nieograniczonego</w:t>
      </w:r>
      <w:r w:rsidR="00C5099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231420" w:rsidRPr="0063309D">
        <w:rPr>
          <w:rFonts w:asciiTheme="minorHAnsi" w:hAnsiTheme="minorHAnsi" w:cstheme="minorHAnsi"/>
          <w:bCs/>
          <w:sz w:val="22"/>
          <w:szCs w:val="22"/>
        </w:rPr>
        <w:t xml:space="preserve">o którym stanowi art. </w:t>
      </w:r>
      <w:r w:rsidR="00E110A2" w:rsidRPr="0063309D">
        <w:rPr>
          <w:rFonts w:asciiTheme="minorHAnsi" w:hAnsiTheme="minorHAnsi" w:cstheme="minorHAnsi"/>
          <w:bCs/>
          <w:sz w:val="22"/>
          <w:szCs w:val="22"/>
        </w:rPr>
        <w:t xml:space="preserve">132 </w:t>
      </w:r>
      <w:r w:rsidR="00231420" w:rsidRPr="0063309D">
        <w:rPr>
          <w:rFonts w:asciiTheme="minorHAnsi" w:hAnsiTheme="minorHAnsi" w:cstheme="minorHAnsi"/>
          <w:bCs/>
          <w:sz w:val="22"/>
          <w:szCs w:val="22"/>
        </w:rPr>
        <w:t xml:space="preserve">ustawy PZP,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wartości </w:t>
      </w:r>
      <w:r w:rsidR="00854F1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zamówienia przekraczającej 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prog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i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unijn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e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,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o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których mowa w art. 3 ustawy PZP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id w:val="786934356"/>
        <w:docPartObj>
          <w:docPartGallery w:val="Table of Contents"/>
          <w:docPartUnique/>
        </w:docPartObj>
      </w:sdtPr>
      <w:sdtEndPr>
        <w:rPr>
          <w:b/>
          <w:bCs/>
          <w:highlight w:val="yellow"/>
        </w:rPr>
      </w:sdtEndPr>
      <w:sdtContent>
        <w:p w14:paraId="17C633BE" w14:textId="3258E5C8" w:rsidR="00802A47" w:rsidRPr="0063309D" w:rsidRDefault="00802A47">
          <w:pPr>
            <w:pStyle w:val="Nagwekspisutreci"/>
            <w:rPr>
              <w:rFonts w:asciiTheme="minorHAnsi" w:hAnsiTheme="minorHAnsi" w:cstheme="minorHAnsi"/>
            </w:rPr>
          </w:pPr>
          <w:r w:rsidRPr="0063309D">
            <w:rPr>
              <w:rFonts w:asciiTheme="minorHAnsi" w:hAnsiTheme="minorHAnsi" w:cstheme="minorHAnsi"/>
            </w:rPr>
            <w:t>Spis treści</w:t>
          </w:r>
        </w:p>
        <w:p w14:paraId="682E010F" w14:textId="623832DE" w:rsidR="00E55D11" w:rsidRDefault="00802A47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r w:rsidRPr="0063309D">
            <w:rPr>
              <w:rFonts w:asciiTheme="minorHAnsi" w:hAnsiTheme="minorHAnsi"/>
            </w:rPr>
            <w:fldChar w:fldCharType="begin"/>
          </w:r>
          <w:r w:rsidRPr="0063309D">
            <w:rPr>
              <w:rFonts w:asciiTheme="minorHAnsi" w:hAnsiTheme="minorHAnsi"/>
            </w:rPr>
            <w:instrText xml:space="preserve"> TOC \o "1-3" \h \z \u </w:instrText>
          </w:r>
          <w:r w:rsidRPr="0063309D">
            <w:rPr>
              <w:rFonts w:asciiTheme="minorHAnsi" w:hAnsiTheme="minorHAnsi"/>
            </w:rPr>
            <w:fldChar w:fldCharType="separate"/>
          </w:r>
          <w:hyperlink w:anchor="_Toc103068763" w:history="1">
            <w:r w:rsidR="00E55D11" w:rsidRPr="000A0AC2">
              <w:rPr>
                <w:rStyle w:val="Hipercze"/>
              </w:rPr>
              <w:t>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o Zamawiającym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_Toc103068763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3</w:t>
            </w:r>
            <w:r w:rsidR="00E55D11">
              <w:rPr>
                <w:webHidden/>
              </w:rPr>
              <w:fldChar w:fldCharType="end"/>
            </w:r>
          </w:hyperlink>
        </w:p>
        <w:p w14:paraId="47EB7B62" w14:textId="3BCE6348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4" w:history="1">
            <w:r w:rsidR="00E55D11" w:rsidRPr="000A0AC2">
              <w:rPr>
                <w:rStyle w:val="Hipercze"/>
              </w:rPr>
              <w:t>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Informacja o brokerze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_Toc103068764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3</w:t>
            </w:r>
            <w:r w:rsidR="00E55D11">
              <w:rPr>
                <w:webHidden/>
              </w:rPr>
              <w:fldChar w:fldCharType="end"/>
            </w:r>
          </w:hyperlink>
        </w:p>
        <w:p w14:paraId="2FE93DC3" w14:textId="2633CB92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5" w:history="1">
            <w:r w:rsidR="00E55D11" w:rsidRPr="000A0AC2">
              <w:rPr>
                <w:rStyle w:val="Hipercze"/>
              </w:rPr>
              <w:t>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Tryb udzielenia zamówienia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_Toc103068765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4</w:t>
            </w:r>
            <w:r w:rsidR="00E55D11">
              <w:rPr>
                <w:webHidden/>
              </w:rPr>
              <w:fldChar w:fldCharType="end"/>
            </w:r>
          </w:hyperlink>
        </w:p>
        <w:p w14:paraId="21F32F8B" w14:textId="0142CADF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6" w:history="1">
            <w:r w:rsidR="00E55D11" w:rsidRPr="000A0AC2">
              <w:rPr>
                <w:rStyle w:val="Hipercze"/>
              </w:rPr>
              <w:t>IV.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 xml:space="preserve">Opis </w:t>
            </w:r>
            <w:r w:rsidR="00E55D11">
              <w:rPr>
                <w:rStyle w:val="Hipercze"/>
              </w:rPr>
              <w:t>przedmiotu</w:t>
            </w:r>
            <w:r w:rsidR="00E55D11" w:rsidRPr="000A0AC2">
              <w:rPr>
                <w:rStyle w:val="Hipercze"/>
              </w:rPr>
              <w:t xml:space="preserve"> zamówienia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_Toc103068766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4</w:t>
            </w:r>
            <w:r w:rsidR="00E55D11">
              <w:rPr>
                <w:webHidden/>
              </w:rPr>
              <w:fldChar w:fldCharType="end"/>
            </w:r>
          </w:hyperlink>
        </w:p>
        <w:p w14:paraId="0973A8D6" w14:textId="2DEF0EFC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7" w:history="1">
            <w:r w:rsidR="00E55D11" w:rsidRPr="000A0AC2">
              <w:rPr>
                <w:rStyle w:val="Hipercze"/>
              </w:rPr>
              <w:t>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Termin wykonania zamówienia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_Toc103068767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5</w:t>
            </w:r>
            <w:r w:rsidR="00E55D11">
              <w:rPr>
                <w:webHidden/>
              </w:rPr>
              <w:fldChar w:fldCharType="end"/>
            </w:r>
          </w:hyperlink>
        </w:p>
        <w:p w14:paraId="3520DC34" w14:textId="534C5595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8" w:history="1">
            <w:r w:rsidR="00E55D11" w:rsidRPr="000A0AC2">
              <w:rPr>
                <w:rStyle w:val="Hipercze"/>
              </w:rPr>
              <w:t>VI.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Warunki udziału w postępowaniu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_Toc103068768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6</w:t>
            </w:r>
            <w:r w:rsidR="00E55D11">
              <w:rPr>
                <w:webHidden/>
              </w:rPr>
              <w:fldChar w:fldCharType="end"/>
            </w:r>
          </w:hyperlink>
        </w:p>
        <w:p w14:paraId="48AC9526" w14:textId="62618FBB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9" w:history="1">
            <w:r w:rsidR="00E55D11" w:rsidRPr="000A0AC2">
              <w:rPr>
                <w:rStyle w:val="Hipercze"/>
              </w:rPr>
              <w:t>VII.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Podstawy wykluczenia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_Toc103068769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6</w:t>
            </w:r>
            <w:r w:rsidR="00E55D11">
              <w:rPr>
                <w:webHidden/>
              </w:rPr>
              <w:fldChar w:fldCharType="end"/>
            </w:r>
          </w:hyperlink>
        </w:p>
        <w:p w14:paraId="1FE2BFFA" w14:textId="78802019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0" w:history="1">
            <w:r w:rsidR="00E55D11" w:rsidRPr="000A0AC2">
              <w:rPr>
                <w:rStyle w:val="Hipercze"/>
              </w:rPr>
              <w:t>VIII.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_Toc103068770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7</w:t>
            </w:r>
            <w:r w:rsidR="00E55D11">
              <w:rPr>
                <w:webHidden/>
              </w:rPr>
              <w:fldChar w:fldCharType="end"/>
            </w:r>
          </w:hyperlink>
        </w:p>
        <w:p w14:paraId="58EBA63F" w14:textId="13387EB9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1" w:history="1">
            <w:r w:rsidR="00E55D11" w:rsidRPr="000A0AC2">
              <w:rPr>
                <w:rStyle w:val="Hipercze"/>
              </w:rPr>
              <w:t>IX.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podwykonawstwo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_Toc103068771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9</w:t>
            </w:r>
            <w:r w:rsidR="00E55D11">
              <w:rPr>
                <w:webHidden/>
              </w:rPr>
              <w:fldChar w:fldCharType="end"/>
            </w:r>
          </w:hyperlink>
        </w:p>
        <w:p w14:paraId="6355A337" w14:textId="38F4B41A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2" w:history="1">
            <w:r w:rsidR="00E55D11" w:rsidRPr="000A0AC2">
              <w:rPr>
                <w:rStyle w:val="Hipercze"/>
              </w:rPr>
              <w:t>X.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informacja dla wykonawców wspólnie ubiegających się o udzielenie zamówienia (konsorcja)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_Toc103068772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10</w:t>
            </w:r>
            <w:r w:rsidR="00E55D11">
              <w:rPr>
                <w:webHidden/>
              </w:rPr>
              <w:fldChar w:fldCharType="end"/>
            </w:r>
          </w:hyperlink>
        </w:p>
        <w:p w14:paraId="67635722" w14:textId="787C6C17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3" w:history="1">
            <w:r w:rsidR="00E55D11" w:rsidRPr="000A0AC2">
              <w:rPr>
                <w:rStyle w:val="Hipercze"/>
              </w:rPr>
              <w:t>XI.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Umocowanie do reprezentowania Wykonawcy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_Toc103068773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10</w:t>
            </w:r>
            <w:r w:rsidR="00E55D11">
              <w:rPr>
                <w:webHidden/>
              </w:rPr>
              <w:fldChar w:fldCharType="end"/>
            </w:r>
          </w:hyperlink>
        </w:p>
        <w:p w14:paraId="6912B19B" w14:textId="1F7199B5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4" w:history="1">
            <w:r w:rsidR="00E55D11" w:rsidRPr="000A0AC2">
              <w:rPr>
                <w:rStyle w:val="Hipercze"/>
              </w:rPr>
              <w:t>XII.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o sposobie porozumiewania się Zamawiającego z Wykonawcami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_Toc103068774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11</w:t>
            </w:r>
            <w:r w:rsidR="00E55D11">
              <w:rPr>
                <w:webHidden/>
              </w:rPr>
              <w:fldChar w:fldCharType="end"/>
            </w:r>
          </w:hyperlink>
        </w:p>
        <w:p w14:paraId="0D3463A0" w14:textId="6E5CCAA0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5" w:history="1">
            <w:r w:rsidR="00E55D11" w:rsidRPr="000A0AC2">
              <w:rPr>
                <w:rStyle w:val="Hipercze"/>
              </w:rPr>
              <w:t>XIII.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Sposób przygotowania ofert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_Toc103068775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13</w:t>
            </w:r>
            <w:r w:rsidR="00E55D11">
              <w:rPr>
                <w:webHidden/>
              </w:rPr>
              <w:fldChar w:fldCharType="end"/>
            </w:r>
          </w:hyperlink>
        </w:p>
        <w:p w14:paraId="2DDE9C36" w14:textId="496434E0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6" w:history="1">
            <w:r w:rsidR="00E55D11" w:rsidRPr="000A0AC2">
              <w:rPr>
                <w:rStyle w:val="Hipercze"/>
              </w:rPr>
              <w:t>XIV.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Sposób oraz termin składania ofert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_Toc103068776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15</w:t>
            </w:r>
            <w:r w:rsidR="00E55D11">
              <w:rPr>
                <w:webHidden/>
              </w:rPr>
              <w:fldChar w:fldCharType="end"/>
            </w:r>
          </w:hyperlink>
        </w:p>
        <w:p w14:paraId="501B881A" w14:textId="11F966C3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7" w:history="1">
            <w:r w:rsidR="00E55D11" w:rsidRPr="000A0AC2">
              <w:rPr>
                <w:rStyle w:val="Hipercze"/>
              </w:rPr>
              <w:t>XV.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Opis sposobu obliczenia ceny ofert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_Toc103068777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16</w:t>
            </w:r>
            <w:r w:rsidR="00E55D11">
              <w:rPr>
                <w:webHidden/>
              </w:rPr>
              <w:fldChar w:fldCharType="end"/>
            </w:r>
          </w:hyperlink>
        </w:p>
        <w:p w14:paraId="4B412809" w14:textId="41174B0A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8" w:history="1">
            <w:r w:rsidR="00E55D11" w:rsidRPr="000A0AC2">
              <w:rPr>
                <w:rStyle w:val="Hipercze"/>
              </w:rPr>
              <w:t>XVI.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Poufny Charakter Informacji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_Toc103068778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17</w:t>
            </w:r>
            <w:r w:rsidR="00E55D11">
              <w:rPr>
                <w:webHidden/>
              </w:rPr>
              <w:fldChar w:fldCharType="end"/>
            </w:r>
          </w:hyperlink>
        </w:p>
        <w:p w14:paraId="1DA9ABE7" w14:textId="3B12E5EA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9" w:history="1">
            <w:r w:rsidR="00E55D11" w:rsidRPr="000A0AC2">
              <w:rPr>
                <w:rStyle w:val="Hipercze"/>
              </w:rPr>
              <w:t>XVII.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wymagania jakościowe odnoszące się do głównych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_Toc103068779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17</w:t>
            </w:r>
            <w:r w:rsidR="00E55D11">
              <w:rPr>
                <w:webHidden/>
              </w:rPr>
              <w:fldChar w:fldCharType="end"/>
            </w:r>
          </w:hyperlink>
        </w:p>
        <w:p w14:paraId="11346D1A" w14:textId="14C0F4E6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0" w:history="1">
            <w:r w:rsidR="00E55D11" w:rsidRPr="000A0AC2">
              <w:rPr>
                <w:rStyle w:val="Hipercze"/>
              </w:rPr>
              <w:t>elementów przedmiotu zamówienia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_Toc103068780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17</w:t>
            </w:r>
            <w:r w:rsidR="00E55D11">
              <w:rPr>
                <w:webHidden/>
              </w:rPr>
              <w:fldChar w:fldCharType="end"/>
            </w:r>
          </w:hyperlink>
        </w:p>
        <w:p w14:paraId="234A2A0E" w14:textId="7E8691B2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1" w:history="1">
            <w:r w:rsidR="00E55D11" w:rsidRPr="000A0AC2">
              <w:rPr>
                <w:rStyle w:val="Hipercze"/>
              </w:rPr>
              <w:t>XVIII.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Kryteria oceny ofert i sposób oceny ofert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_Toc103068781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18</w:t>
            </w:r>
            <w:r w:rsidR="00E55D11">
              <w:rPr>
                <w:webHidden/>
              </w:rPr>
              <w:fldChar w:fldCharType="end"/>
            </w:r>
          </w:hyperlink>
        </w:p>
        <w:p w14:paraId="6F3C29FC" w14:textId="34533A75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2" w:history="1">
            <w:r w:rsidR="00E55D11" w:rsidRPr="000A0AC2">
              <w:rPr>
                <w:rStyle w:val="Hipercze"/>
              </w:rPr>
              <w:t>XIX.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dotyczące trybu otwarcia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_Toc103068782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19</w:t>
            </w:r>
            <w:r w:rsidR="00E55D11">
              <w:rPr>
                <w:webHidden/>
              </w:rPr>
              <w:fldChar w:fldCharType="end"/>
            </w:r>
          </w:hyperlink>
        </w:p>
        <w:p w14:paraId="72238CA6" w14:textId="27A7D72F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3" w:history="1">
            <w:r w:rsidR="00E55D11" w:rsidRPr="000A0AC2">
              <w:rPr>
                <w:rStyle w:val="Hipercze"/>
              </w:rPr>
              <w:t>XX.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Termin związania ofertą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_Toc103068783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20</w:t>
            </w:r>
            <w:r w:rsidR="00E55D11">
              <w:rPr>
                <w:webHidden/>
              </w:rPr>
              <w:fldChar w:fldCharType="end"/>
            </w:r>
          </w:hyperlink>
        </w:p>
        <w:p w14:paraId="58D7AFEB" w14:textId="7C669B91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4" w:history="1">
            <w:r w:rsidR="00E55D11" w:rsidRPr="000A0AC2">
              <w:rPr>
                <w:rStyle w:val="Hipercze"/>
              </w:rPr>
              <w:t>XXI.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Zamówienia, o których mowa w art. 214 ust. 1 pkt. 7 ustawy PZP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_Toc103068784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20</w:t>
            </w:r>
            <w:r w:rsidR="00E55D11">
              <w:rPr>
                <w:webHidden/>
              </w:rPr>
              <w:fldChar w:fldCharType="end"/>
            </w:r>
          </w:hyperlink>
        </w:p>
        <w:p w14:paraId="6584AEB3" w14:textId="1D350B48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5" w:history="1">
            <w:r w:rsidR="00E55D11" w:rsidRPr="000A0AC2">
              <w:rPr>
                <w:rStyle w:val="Hipercze"/>
              </w:rPr>
              <w:t>XXII.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Wzór umowy i warunki zmiany umowy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_Toc103068785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21</w:t>
            </w:r>
            <w:r w:rsidR="00E55D11">
              <w:rPr>
                <w:webHidden/>
              </w:rPr>
              <w:fldChar w:fldCharType="end"/>
            </w:r>
          </w:hyperlink>
        </w:p>
        <w:p w14:paraId="2E2EEB2F" w14:textId="2236720D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6" w:history="1">
            <w:r w:rsidR="00E55D11" w:rsidRPr="000A0AC2">
              <w:rPr>
                <w:rStyle w:val="Hipercze"/>
              </w:rPr>
              <w:t>XXIII.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Środki ochrony prawnej przysługujące Wykonawcom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_Toc103068786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21</w:t>
            </w:r>
            <w:r w:rsidR="00E55D11">
              <w:rPr>
                <w:webHidden/>
              </w:rPr>
              <w:fldChar w:fldCharType="end"/>
            </w:r>
          </w:hyperlink>
        </w:p>
        <w:p w14:paraId="590141F7" w14:textId="6F39B02D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7" w:history="1">
            <w:r w:rsidR="00E55D11" w:rsidRPr="000A0AC2">
              <w:rPr>
                <w:rStyle w:val="Hipercze"/>
              </w:rPr>
              <w:t>XXIV.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Wymagania dotyczące wadium oraz zabezpieczenia należytego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_Toc103068787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22</w:t>
            </w:r>
            <w:r w:rsidR="00E55D11">
              <w:rPr>
                <w:webHidden/>
              </w:rPr>
              <w:fldChar w:fldCharType="end"/>
            </w:r>
          </w:hyperlink>
        </w:p>
        <w:p w14:paraId="204C7D0B" w14:textId="359688F1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8" w:history="1">
            <w:r w:rsidR="00E55D11" w:rsidRPr="000A0AC2">
              <w:rPr>
                <w:rStyle w:val="Hipercze"/>
              </w:rPr>
              <w:t>wykonania umowy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_Toc103068788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22</w:t>
            </w:r>
            <w:r w:rsidR="00E55D11">
              <w:rPr>
                <w:webHidden/>
              </w:rPr>
              <w:fldChar w:fldCharType="end"/>
            </w:r>
          </w:hyperlink>
        </w:p>
        <w:p w14:paraId="3165E072" w14:textId="6F3E4AB2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9" w:history="1">
            <w:r w:rsidR="00E55D11" w:rsidRPr="000A0AC2">
              <w:rPr>
                <w:rStyle w:val="Hipercze"/>
              </w:rPr>
              <w:t>XXV.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dotyczące walut obcych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_Toc103068789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24</w:t>
            </w:r>
            <w:r w:rsidR="00E55D11">
              <w:rPr>
                <w:webHidden/>
              </w:rPr>
              <w:fldChar w:fldCharType="end"/>
            </w:r>
          </w:hyperlink>
        </w:p>
        <w:p w14:paraId="2C6039E6" w14:textId="5CB60481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0" w:history="1">
            <w:r w:rsidR="00E55D11" w:rsidRPr="000A0AC2">
              <w:rPr>
                <w:rStyle w:val="Hipercze"/>
              </w:rPr>
              <w:t>XXVI.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o formalnościach, jakie powinny zostać dopełnione po wyborze oferty w celu zawarcia umowy w sprawie zamówienia publicznego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_Toc103068790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24</w:t>
            </w:r>
            <w:r w:rsidR="00E55D11">
              <w:rPr>
                <w:webHidden/>
              </w:rPr>
              <w:fldChar w:fldCharType="end"/>
            </w:r>
          </w:hyperlink>
        </w:p>
        <w:p w14:paraId="029A0726" w14:textId="6B459C5B" w:rsidR="00E55D11" w:rsidRDefault="004412E5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1" w:history="1">
            <w:r w:rsidR="00E55D11" w:rsidRPr="000A0AC2">
              <w:rPr>
                <w:rStyle w:val="Hipercze"/>
              </w:rPr>
              <w:t>XXVII.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Obowiązki Informacyjne wynikające z RODO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_Toc103068791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24</w:t>
            </w:r>
            <w:r w:rsidR="00E55D11">
              <w:rPr>
                <w:webHidden/>
              </w:rPr>
              <w:fldChar w:fldCharType="end"/>
            </w:r>
          </w:hyperlink>
        </w:p>
        <w:p w14:paraId="29BBCBB4" w14:textId="6A10E111" w:rsidR="00802A47" w:rsidRPr="0063309D" w:rsidRDefault="00802A47">
          <w:pPr>
            <w:rPr>
              <w:rFonts w:asciiTheme="minorHAnsi" w:hAnsiTheme="minorHAnsi" w:cstheme="minorHAnsi"/>
              <w:highlight w:val="yellow"/>
            </w:rPr>
          </w:pPr>
          <w:r w:rsidRPr="0063309D">
            <w:rPr>
              <w:rFonts w:asciiTheme="minorHAnsi" w:hAnsiTheme="minorHAnsi" w:cstheme="minorHAnsi"/>
              <w:b/>
              <w:bCs/>
            </w:rPr>
            <w:lastRenderedPageBreak/>
            <w:fldChar w:fldCharType="end"/>
          </w:r>
        </w:p>
      </w:sdtContent>
    </w:sdt>
    <w:p w14:paraId="2ACFE2F9" w14:textId="77777777" w:rsidR="002F6002" w:rsidRDefault="002F6002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</w:p>
    <w:p w14:paraId="56ABC549" w14:textId="640B913E" w:rsidR="00BA1DD3" w:rsidRPr="00577077" w:rsidRDefault="00BA1DD3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Załączniki:</w:t>
      </w:r>
    </w:p>
    <w:p w14:paraId="16BC6CD2" w14:textId="1B2E4176" w:rsidR="00BA1DD3" w:rsidRPr="00DF3D1A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1 </w:t>
      </w:r>
      <w:r w:rsidR="008B54FE" w:rsidRPr="00DF3D1A">
        <w:rPr>
          <w:rFonts w:asciiTheme="minorHAnsi" w:hAnsiTheme="minorHAnsi" w:cstheme="minorHAnsi"/>
          <w:color w:val="0D0D0D"/>
          <w:sz w:val="22"/>
          <w:szCs w:val="22"/>
        </w:rPr>
        <w:t>Charakterystyka</w:t>
      </w:r>
      <w:r w:rsidR="00491974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Zamawiającego</w:t>
      </w:r>
    </w:p>
    <w:p w14:paraId="326ADF40" w14:textId="0A4A945C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1a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- Plan usytuowania budynków przy. ul. Żurawiej</w:t>
      </w:r>
    </w:p>
    <w:p w14:paraId="7F2ECFDF" w14:textId="3EA2A9A4" w:rsidR="00577077" w:rsidRPr="005C31DB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  <w:highlight w:val="yellow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1b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Plan budynków przy ul. Skłodowskiej</w:t>
      </w:r>
    </w:p>
    <w:p w14:paraId="09D34CE0" w14:textId="43C5F69C" w:rsid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1c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Opis budynków</w:t>
      </w:r>
    </w:p>
    <w:p w14:paraId="33B83182" w14:textId="2FD69271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1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d</w:t>
      </w: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S</w:t>
      </w: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zkodowość </w:t>
      </w:r>
    </w:p>
    <w:p w14:paraId="0EC616C0" w14:textId="2D73CC45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2 Opis Przedmiotu Zamówienia</w:t>
      </w:r>
    </w:p>
    <w:p w14:paraId="4E7037A0" w14:textId="4F85834F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3a - Wzór umowy dla Części 1</w:t>
      </w:r>
    </w:p>
    <w:p w14:paraId="500B4E5B" w14:textId="04BECAF2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3b - Wzór umowy dla Części 2</w:t>
      </w:r>
    </w:p>
    <w:p w14:paraId="49D8B22C" w14:textId="48C566F4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4 Formularz ofertowy</w:t>
      </w:r>
      <w:r w:rsidR="00E24EF0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</w:p>
    <w:p w14:paraId="166EFE61" w14:textId="34BDB4CE" w:rsidR="00BA1DD3" w:rsidRPr="00DF3D1A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5 </w:t>
      </w:r>
      <w:r w:rsidR="00E110A2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Plik JEDZ w formacie </w:t>
      </w:r>
      <w:proofErr w:type="spellStart"/>
      <w:r w:rsidR="00E110A2" w:rsidRPr="00DF3D1A">
        <w:rPr>
          <w:rFonts w:asciiTheme="minorHAnsi" w:hAnsiTheme="minorHAnsi" w:cstheme="minorHAnsi"/>
          <w:color w:val="0D0D0D"/>
          <w:sz w:val="22"/>
          <w:szCs w:val="22"/>
        </w:rPr>
        <w:t>xml</w:t>
      </w:r>
      <w:proofErr w:type="spellEnd"/>
      <w:r w:rsidR="00F9309A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oraz pdf</w:t>
      </w:r>
    </w:p>
    <w:p w14:paraId="0BB30DE0" w14:textId="213A5FFA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6a Oświadczenie Wykonawcy o braku przynależności do tej samej grupy kap.</w:t>
      </w:r>
    </w:p>
    <w:p w14:paraId="5780B9CF" w14:textId="1887EAC2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6b Oświadczenie Wykonawcy o przynależności do grupy kapitałowej</w:t>
      </w:r>
    </w:p>
    <w:p w14:paraId="3145C0E9" w14:textId="1B20395F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7 Oświadczenie Wykonawcy o aktualności informacji zawartych w oświadczeniu, o którym mowa w art. 125 ust. 1 ustawy PZP</w:t>
      </w:r>
    </w:p>
    <w:p w14:paraId="3E45AE6E" w14:textId="0036C6B7" w:rsidR="005A7D5D" w:rsidRDefault="005A7D5D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AC1C0A">
        <w:rPr>
          <w:rFonts w:asciiTheme="minorHAnsi" w:hAnsiTheme="minorHAnsi" w:cstheme="minorHAnsi"/>
          <w:color w:val="0D0D0D"/>
          <w:sz w:val="22"/>
          <w:szCs w:val="22"/>
          <w:highlight w:val="yellow"/>
        </w:rPr>
        <w:t>Załącznik nr 8 Oświadczenie wykonawcy dotyczące odrębnych przesłanek wykluczenia</w:t>
      </w:r>
    </w:p>
    <w:p w14:paraId="354BEE67" w14:textId="77777777" w:rsidR="002F6B36" w:rsidRPr="0063309D" w:rsidRDefault="002F6B3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  <w:highlight w:val="yellow"/>
        </w:rPr>
      </w:pPr>
    </w:p>
    <w:p w14:paraId="59764818" w14:textId="7BA147CF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10306876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6FA51807" w14:textId="77777777" w:rsidR="005C31DB" w:rsidRDefault="00BA1DD3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Nazwa</w:t>
      </w:r>
      <w:r w:rsidR="003258CA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: </w:t>
      </w:r>
      <w:r w:rsidR="005C31DB" w:rsidRPr="005C31D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Uniwersytecki Szpital Kliniczny w Białymstoku</w:t>
      </w:r>
    </w:p>
    <w:p w14:paraId="4B5CCB90" w14:textId="1BB630AE" w:rsidR="003258CA" w:rsidRPr="0063309D" w:rsidRDefault="003258CA" w:rsidP="0037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475ED2B0" w14:textId="77777777" w:rsidR="00EA6DAB" w:rsidRDefault="003258CA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 xml:space="preserve">Adres: </w:t>
      </w:r>
    </w:p>
    <w:p w14:paraId="15F99BFD" w14:textId="76982F63" w:rsidR="00A83977" w:rsidRPr="0063309D" w:rsidRDefault="005C31DB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>ul.  M. Skłodowskiej - Curie 24a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5C31DB">
        <w:rPr>
          <w:rFonts w:asciiTheme="minorHAnsi" w:hAnsiTheme="minorHAnsi" w:cstheme="minorHAnsi"/>
          <w:sz w:val="20"/>
          <w:szCs w:val="20"/>
        </w:rPr>
        <w:t>15-276 Białystok</w:t>
      </w:r>
    </w:p>
    <w:p w14:paraId="6D19D95B" w14:textId="77777777" w:rsidR="005C31DB" w:rsidRPr="005C31DB" w:rsidRDefault="00A83977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 xml:space="preserve">tel. </w:t>
      </w:r>
      <w:r w:rsidR="005C31DB" w:rsidRPr="005C31DB">
        <w:rPr>
          <w:rFonts w:asciiTheme="minorHAnsi" w:hAnsiTheme="minorHAnsi" w:cstheme="minorHAnsi"/>
          <w:sz w:val="20"/>
          <w:szCs w:val="20"/>
        </w:rPr>
        <w:t>(85) 746 83 35</w:t>
      </w:r>
    </w:p>
    <w:p w14:paraId="16F1E30F" w14:textId="77777777" w:rsidR="005C31DB" w:rsidRPr="005C31DB" w:rsidRDefault="005C31DB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>Regon: 000288610</w:t>
      </w:r>
    </w:p>
    <w:p w14:paraId="58A06F05" w14:textId="77777777" w:rsidR="005C31DB" w:rsidRPr="005C31DB" w:rsidRDefault="005C31DB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>NIP: 542-25-34-985</w:t>
      </w:r>
    </w:p>
    <w:p w14:paraId="1F19E98A" w14:textId="5020B83B" w:rsidR="0003391D" w:rsidRPr="0003391D" w:rsidRDefault="0003391D" w:rsidP="0003391D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7802">
        <w:rPr>
          <w:rFonts w:asciiTheme="minorHAnsi" w:hAnsiTheme="minorHAnsi" w:cstheme="minorHAnsi"/>
          <w:sz w:val="20"/>
          <w:szCs w:val="20"/>
        </w:rPr>
        <w:t>Bank  i n</w:t>
      </w:r>
      <w:r w:rsidR="00837829" w:rsidRPr="00017802">
        <w:rPr>
          <w:rFonts w:asciiTheme="minorHAnsi" w:hAnsiTheme="minorHAnsi" w:cstheme="minorHAnsi"/>
          <w:sz w:val="20"/>
          <w:szCs w:val="20"/>
        </w:rPr>
        <w:t xml:space="preserve">r konta bankowego: </w:t>
      </w:r>
      <w:r w:rsidR="00017802" w:rsidRPr="00AC085B">
        <w:rPr>
          <w:rFonts w:asciiTheme="minorHAnsi" w:hAnsiTheme="minorHAnsi" w:cstheme="minorHAnsi"/>
          <w:sz w:val="20"/>
          <w:szCs w:val="20"/>
        </w:rPr>
        <w:t>BGK 48 1130 1059 0017 3261 1720 0008</w:t>
      </w:r>
      <w:r w:rsidR="00017802" w:rsidRPr="0001780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1780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39514377" w14:textId="739E09BD" w:rsidR="003258CA" w:rsidRPr="0003391D" w:rsidRDefault="003258CA" w:rsidP="003258CA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91D">
        <w:rPr>
          <w:rFonts w:asciiTheme="minorHAnsi" w:hAnsiTheme="minorHAnsi" w:cstheme="minorHAnsi"/>
          <w:sz w:val="20"/>
          <w:szCs w:val="20"/>
        </w:rPr>
        <w:t xml:space="preserve">NIP: </w:t>
      </w:r>
      <w:r w:rsidR="0037069A" w:rsidRPr="0063309D">
        <w:rPr>
          <w:rFonts w:asciiTheme="minorHAnsi" w:hAnsiTheme="minorHAnsi" w:cstheme="minorHAnsi"/>
          <w:sz w:val="20"/>
          <w:szCs w:val="20"/>
        </w:rPr>
        <w:t>739-29-54-895</w:t>
      </w:r>
    </w:p>
    <w:p w14:paraId="4A281A80" w14:textId="7241E5C6" w:rsidR="00645731" w:rsidRPr="00645731" w:rsidRDefault="00A83977" w:rsidP="00645731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5731">
        <w:rPr>
          <w:rFonts w:asciiTheme="minorHAnsi" w:hAnsiTheme="minorHAnsi" w:cstheme="minorHAnsi"/>
          <w:sz w:val="20"/>
          <w:szCs w:val="20"/>
        </w:rPr>
        <w:t xml:space="preserve">KRS: </w:t>
      </w:r>
      <w:r w:rsidR="00645731" w:rsidRPr="00645731">
        <w:rPr>
          <w:rFonts w:asciiTheme="minorHAnsi" w:hAnsiTheme="minorHAnsi" w:cstheme="minorHAnsi"/>
          <w:sz w:val="20"/>
          <w:szCs w:val="20"/>
        </w:rPr>
        <w:t>0000002254</w:t>
      </w:r>
    </w:p>
    <w:p w14:paraId="254F97F6" w14:textId="44BD265F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PKD:  8610Z  - Działalność szpitali  </w:t>
      </w:r>
      <w:r w:rsidR="00A83977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(główne PKD)</w:t>
      </w:r>
    </w:p>
    <w:p w14:paraId="3CF0B997" w14:textId="77777777" w:rsidR="005C31DB" w:rsidRPr="005C31DB" w:rsidRDefault="00A83977" w:rsidP="005C31DB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C31D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Strona internetowa: </w:t>
      </w:r>
      <w:hyperlink r:id="rId9" w:history="1">
        <w:r w:rsidR="005C31DB" w:rsidRPr="005C31DB">
          <w:rPr>
            <w:rFonts w:asciiTheme="minorHAnsi" w:hAnsiTheme="minorHAnsi" w:cstheme="minorHAnsi"/>
            <w:szCs w:val="20"/>
            <w:lang w:eastAsia="pl-PL"/>
          </w:rPr>
          <w:t>www.usk.bialystok.pl</w:t>
        </w:r>
      </w:hyperlink>
    </w:p>
    <w:p w14:paraId="07870630" w14:textId="77777777" w:rsidR="00A83977" w:rsidRPr="0063309D" w:rsidRDefault="00A83977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1F74C73A" w14:textId="67C89865" w:rsidR="00BA1DD3" w:rsidRPr="0063309D" w:rsidRDefault="00BA1DD3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Zamawiający, działając na podstawie art. 37 ust. </w:t>
      </w:r>
      <w:r w:rsidR="00755234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2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194729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 4 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ustawy </w:t>
      </w:r>
      <w:r w:rsidR="00CC0FDF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PZP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, powierzył przygotowanie i przeprowadzenie postępowania o udzielenie niniejszego zamówienia brokerowi ubezpieczeniowemu:</w:t>
      </w:r>
    </w:p>
    <w:p w14:paraId="53F6F7DE" w14:textId="77777777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2B008C45" w14:textId="4589D681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TAMAL Sp. z o.o. </w:t>
      </w:r>
    </w:p>
    <w:p w14:paraId="140EFF6C" w14:textId="54623763" w:rsidR="00B75343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ul. Stefana Jaracza 6 lok. 4</w:t>
      </w:r>
      <w:r w:rsidR="00D268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00-378 Warszawa</w:t>
      </w:r>
    </w:p>
    <w:p w14:paraId="53D8A996" w14:textId="77777777" w:rsidR="0044069A" w:rsidRPr="0063309D" w:rsidRDefault="0044069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02E66726" w14:textId="61FFEAB6" w:rsidR="00BA1DD3" w:rsidRPr="0063309D" w:rsidRDefault="00755234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" w:name="_Toc103068764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1"/>
    </w:p>
    <w:p w14:paraId="3BAB2A23" w14:textId="77777777" w:rsidR="008811EA" w:rsidRPr="0063309D" w:rsidRDefault="00BA1DD3" w:rsidP="008811EA">
      <w:pPr>
        <w:pStyle w:val="Nagwek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Brokerem pełniącym funkcję pełnomocnika Zamawiającego,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oraz obsługującym jest: </w:t>
      </w:r>
    </w:p>
    <w:p w14:paraId="351F414B" w14:textId="113865EF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TAMAL Sp. z o.o. </w:t>
      </w:r>
    </w:p>
    <w:p w14:paraId="0B18A9C0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lastRenderedPageBreak/>
        <w:t xml:space="preserve">ul. Stefana Jaracza 6 lok. 4, 00-378 Warszawa </w:t>
      </w:r>
    </w:p>
    <w:p w14:paraId="0958B40D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nr zezwolenia </w:t>
      </w:r>
      <w:proofErr w:type="spellStart"/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KNUiFE</w:t>
      </w:r>
      <w:proofErr w:type="spellEnd"/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nr 1344/04 </w:t>
      </w:r>
    </w:p>
    <w:p w14:paraId="2B0015BD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REGON: 015781514 NIP: 525-23-06-468 </w:t>
      </w:r>
    </w:p>
    <w:p w14:paraId="3D4EC449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www.tamal.com.pl </w:t>
      </w:r>
    </w:p>
    <w:p w14:paraId="5DF3E20F" w14:textId="35CEB10C" w:rsidR="002F6B36" w:rsidRPr="0063309D" w:rsidRDefault="005C58B2" w:rsidP="005C58B2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Dni i godziny pracy: poniedziałek – piątek 07.00 – 16.00</w:t>
      </w:r>
    </w:p>
    <w:p w14:paraId="556AF479" w14:textId="03319B01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1DEEE095" w14:textId="315E3A8C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10306876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2"/>
    </w:p>
    <w:p w14:paraId="6504495C" w14:textId="70F63357" w:rsidR="00071021" w:rsidRPr="0063309D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Postępowanie prowadzone jest w trybie </w:t>
      </w:r>
      <w:r w:rsidR="00445D6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przetargu nieograniczonego</w:t>
      </w:r>
      <w:r w:rsidR="008A1A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</w:t>
      </w:r>
      <w:r w:rsidR="008A1A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jakim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stanowi art. 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132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ustawy PZP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wartości szacunkowej przekraczającej prog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unijn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 </w:t>
      </w:r>
      <w:r w:rsidR="00C12355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jakich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mowa w art. 3 ustawy PZP.</w:t>
      </w:r>
    </w:p>
    <w:p w14:paraId="4EA2A176" w14:textId="4FFB08D4" w:rsidR="00B552A2" w:rsidRPr="0063309D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Postępowanie jest prowadzone zgodnie z Działem II ustawy PZP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 także zapisami niniejszej Specyfikacji Warunków Zamówienia (dalej SWZ).</w:t>
      </w:r>
    </w:p>
    <w:p w14:paraId="35E96FA9" w14:textId="7F280480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przewiduje prowadzenia negocjacji. </w:t>
      </w:r>
    </w:p>
    <w:p w14:paraId="1946B7AA" w14:textId="4BC98609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aukcji elektronicznej.</w:t>
      </w:r>
    </w:p>
    <w:p w14:paraId="4900A756" w14:textId="77777777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złożenia oferty w postaci katalogów elektronicznych.</w:t>
      </w:r>
    </w:p>
    <w:p w14:paraId="39205905" w14:textId="77777777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prowadzi postępowania w celu zawarcia umowy ramowej.</w:t>
      </w:r>
    </w:p>
    <w:p w14:paraId="2903F94C" w14:textId="7E412ED6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zastrzega możliwości ubiegania się o udzielenie zamówienia wyłącznie przez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ykonawców, o których mowa w art. 94 ustawy PZP. </w:t>
      </w:r>
    </w:p>
    <w:p w14:paraId="25AEC1BA" w14:textId="273836E0" w:rsidR="00E1335C" w:rsidRPr="0063309D" w:rsidRDefault="00E1335C" w:rsidP="00E1335C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określa dodatkowych wymagań związanych z zatrudnianiem osób o których mowa w art. 95 ustawy PZP.</w:t>
      </w:r>
    </w:p>
    <w:p w14:paraId="403222FE" w14:textId="094C2621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Przygotowanie niniejszego postępowania nie było poprzedzone przeprowadzeniem wstępnych konsultacji rynkowych.</w:t>
      </w:r>
    </w:p>
    <w:p w14:paraId="713E7FD1" w14:textId="08EED6FC" w:rsidR="007B1206" w:rsidRPr="0063309D" w:rsidRDefault="007B1206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Jeżeli Wykonawca działa w formie Towarzystwa Ubezpieczeń Wzajemnych zawarcie umów ubezpieczenia nie może wiązać się z nabyciem członkostwa w TUW.</w:t>
      </w:r>
    </w:p>
    <w:p w14:paraId="4DBA2F67" w14:textId="689C4EF8" w:rsidR="00F9309A" w:rsidRPr="0063309D" w:rsidRDefault="00F9309A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Zamawiający przewiduje zastosowanie tzw.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procedury odwróconej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110D527" w14:textId="5D62BCB5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10306876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576A942A" w14:textId="587D2E49" w:rsidR="004121DF" w:rsidRPr="0063309D" w:rsidRDefault="00BA1DD3" w:rsidP="00F2393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Przedmiotem niniejszego zamówienia jest usługa ubezpieczenia </w:t>
      </w:r>
      <w:r w:rsidR="005C31DB">
        <w:rPr>
          <w:rFonts w:asciiTheme="minorHAnsi" w:hAnsiTheme="minorHAnsi" w:cstheme="minorHAnsi"/>
          <w:b/>
          <w:sz w:val="20"/>
          <w:szCs w:val="20"/>
        </w:rPr>
        <w:t xml:space="preserve">UNIWERSYTECKIEGO SZPITALA KLINICZNEGO W BIAŁYMSTOKU </w:t>
      </w:r>
      <w:r w:rsidR="00B876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16476BE" w14:textId="2EC2F83C" w:rsidR="00B96E57" w:rsidRPr="0063309D" w:rsidRDefault="00BA1DD3" w:rsidP="006E5971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96E5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zakresie:</w:t>
      </w:r>
    </w:p>
    <w:p w14:paraId="5E576A43" w14:textId="22D6FAD5" w:rsidR="00E1335C" w:rsidRPr="00A26E4E" w:rsidRDefault="006E5971" w:rsidP="006E5971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1667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1335C" w:rsidRPr="00A26E4E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5A948739" w14:textId="77777777" w:rsidR="00E1335C" w:rsidRPr="00A26E4E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193E28F6" w14:textId="280CDA16" w:rsidR="00C00D40" w:rsidRPr="00A26E4E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>Dobrowolne ubezpieczenie odpowiedzialności cywilnej za szkody na osobie powstałe w następstwie udzielania bądź zaniechania udzielania świadczeń zdrowotnych w ramach prowadzonej działalności leczniczej</w:t>
      </w:r>
    </w:p>
    <w:p w14:paraId="68FA50A8" w14:textId="2DC6EC07" w:rsidR="00C00D40" w:rsidRPr="00A26E4E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 tytułu prowadzonej działalności i posiadania mienia</w:t>
      </w:r>
    </w:p>
    <w:p w14:paraId="1D6726C7" w14:textId="77777777" w:rsidR="00E1335C" w:rsidRPr="00CB1667" w:rsidRDefault="00E1335C" w:rsidP="00E1335C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194753EC" w14:textId="77777777" w:rsidR="00E1335C" w:rsidRPr="00F2393D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393D">
        <w:rPr>
          <w:rFonts w:asciiTheme="minorHAnsi" w:hAnsiTheme="minorHAnsi" w:cstheme="minorHAnsi"/>
          <w:sz w:val="20"/>
          <w:szCs w:val="20"/>
        </w:rPr>
        <w:tab/>
      </w:r>
      <w:r w:rsidRPr="00F2393D">
        <w:rPr>
          <w:rFonts w:asciiTheme="minorHAnsi" w:hAnsiTheme="minorHAnsi" w:cstheme="minorHAnsi"/>
          <w:b/>
          <w:bCs/>
          <w:sz w:val="20"/>
          <w:szCs w:val="20"/>
        </w:rPr>
        <w:t>CZĘŚĆ 2:</w:t>
      </w:r>
    </w:p>
    <w:p w14:paraId="606B3DFA" w14:textId="11B6BA00" w:rsidR="00E1335C" w:rsidRPr="00F2393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F2393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</w:t>
      </w:r>
    </w:p>
    <w:p w14:paraId="0D359756" w14:textId="77777777" w:rsidR="00E1335C" w:rsidRPr="00F2393D" w:rsidRDefault="00E1335C" w:rsidP="00E133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9DCCE4" w14:textId="77777777" w:rsidR="00E1335C" w:rsidRPr="00B8764E" w:rsidRDefault="00E1335C" w:rsidP="00E1335C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4DCA3785" w14:textId="77777777" w:rsidR="00E1335C" w:rsidRPr="00CB1667" w:rsidRDefault="00E1335C" w:rsidP="00E1335C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61C0CA59" w14:textId="77777777" w:rsidR="00E1335C" w:rsidRPr="00CB1667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ab/>
      </w:r>
      <w:r w:rsidRPr="00CB1667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3C1F9ACA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238204C9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4DFE5ED9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32897DC7" w14:textId="77777777" w:rsidR="00E1335C" w:rsidRPr="00CB1667" w:rsidRDefault="00E1335C" w:rsidP="00E1335C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1667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5FAB180D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41C6A5FB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7CDA604D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60AD6D2C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78420CEB" w14:textId="77777777" w:rsidR="00E1335C" w:rsidRPr="00B8764E" w:rsidRDefault="00E1335C" w:rsidP="00E1335C">
      <w:pPr>
        <w:tabs>
          <w:tab w:val="num" w:pos="1134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D75E8F3" w14:textId="51F6E790" w:rsidR="00BA1DD3" w:rsidRPr="00CB1667" w:rsidRDefault="00B96E57" w:rsidP="005E38F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O</w:t>
      </w:r>
      <w:r w:rsidR="00BA1DD3" w:rsidRPr="00CB1667">
        <w:rPr>
          <w:rFonts w:asciiTheme="minorHAnsi" w:hAnsiTheme="minorHAnsi" w:cstheme="minorHAnsi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CB1667">
        <w:rPr>
          <w:rFonts w:asciiTheme="minorHAnsi" w:hAnsiTheme="minorHAnsi" w:cstheme="minorHAnsi"/>
          <w:sz w:val="22"/>
          <w:szCs w:val="22"/>
        </w:rPr>
        <w:t>2</w:t>
      </w:r>
      <w:r w:rsidR="00BA1DD3" w:rsidRPr="00CB1667">
        <w:rPr>
          <w:rFonts w:asciiTheme="minorHAnsi" w:hAnsiTheme="minorHAnsi" w:cstheme="minorHAnsi"/>
          <w:sz w:val="22"/>
          <w:szCs w:val="22"/>
        </w:rPr>
        <w:t xml:space="preserve"> do niniejszej SWZ. W wyniku rozstrzygnięcia niniejszego postępowania przetargowego zostanie zawarta umowa, zgodnie z </w:t>
      </w:r>
      <w:r w:rsidRPr="00CB1667">
        <w:rPr>
          <w:rFonts w:asciiTheme="minorHAnsi" w:hAnsiTheme="minorHAnsi" w:cstheme="minorHAnsi"/>
          <w:sz w:val="22"/>
          <w:szCs w:val="22"/>
        </w:rPr>
        <w:t xml:space="preserve">odpowiednim </w:t>
      </w:r>
      <w:r w:rsidR="00BA1DD3" w:rsidRPr="0001226B">
        <w:rPr>
          <w:rFonts w:asciiTheme="minorHAnsi" w:hAnsiTheme="minorHAnsi" w:cstheme="minorHAnsi"/>
          <w:sz w:val="22"/>
          <w:szCs w:val="22"/>
        </w:rPr>
        <w:t>Załącznikiem nr 3</w:t>
      </w:r>
      <w:r w:rsidR="00F2393D" w:rsidRPr="0001226B">
        <w:rPr>
          <w:rFonts w:asciiTheme="minorHAnsi" w:hAnsiTheme="minorHAnsi" w:cstheme="minorHAnsi"/>
          <w:sz w:val="22"/>
          <w:szCs w:val="22"/>
        </w:rPr>
        <w:t>a i/lub 3b</w:t>
      </w:r>
      <w:r w:rsidRPr="0001226B">
        <w:rPr>
          <w:rFonts w:asciiTheme="minorHAnsi" w:hAnsiTheme="minorHAnsi" w:cstheme="minorHAnsi"/>
          <w:sz w:val="22"/>
          <w:szCs w:val="22"/>
        </w:rPr>
        <w:t xml:space="preserve"> </w:t>
      </w:r>
      <w:r w:rsidR="00BA1DD3" w:rsidRPr="0001226B">
        <w:rPr>
          <w:rFonts w:asciiTheme="minorHAnsi" w:hAnsiTheme="minorHAnsi" w:cstheme="minorHAnsi"/>
          <w:sz w:val="22"/>
          <w:szCs w:val="22"/>
        </w:rPr>
        <w:t>do SWZ.</w:t>
      </w:r>
      <w:r w:rsidR="00BA1DD3" w:rsidRPr="00CB1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8C7187" w14:textId="0FDA0178" w:rsidR="00A10F5A" w:rsidRPr="00CB1667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16EC0929" w14:textId="2F06AE3F" w:rsidR="00A10F5A" w:rsidRPr="00CB1667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CB1667">
        <w:rPr>
          <w:rFonts w:asciiTheme="minorHAnsi" w:hAnsiTheme="minorHAnsi" w:cstheme="minorHAnsi"/>
          <w:sz w:val="22"/>
          <w:szCs w:val="22"/>
        </w:rPr>
        <w:t>CZĘŚCIAMI</w:t>
      </w:r>
      <w:r w:rsidRPr="00CB1667">
        <w:rPr>
          <w:rFonts w:asciiTheme="minorHAnsi" w:hAnsiTheme="minorHAnsi" w:cstheme="minorHAnsi"/>
          <w:sz w:val="22"/>
          <w:szCs w:val="22"/>
        </w:rPr>
        <w:t>. Wykonawca może złożyć ofertę na jedn</w:t>
      </w:r>
      <w:r w:rsidR="008B05D4" w:rsidRPr="00CB1667">
        <w:rPr>
          <w:rFonts w:asciiTheme="minorHAnsi" w:hAnsiTheme="minorHAnsi" w:cstheme="minorHAnsi"/>
          <w:sz w:val="22"/>
          <w:szCs w:val="22"/>
        </w:rPr>
        <w:t>ą</w:t>
      </w:r>
      <w:r w:rsidRPr="00CB1667">
        <w:rPr>
          <w:rFonts w:asciiTheme="minorHAnsi" w:hAnsiTheme="minorHAnsi" w:cstheme="minorHAnsi"/>
          <w:sz w:val="22"/>
          <w:szCs w:val="22"/>
        </w:rPr>
        <w:t xml:space="preserve"> lub więcej dowolnie wybranych </w:t>
      </w:r>
      <w:r w:rsidR="008B05D4" w:rsidRPr="00CB1667">
        <w:rPr>
          <w:rFonts w:asciiTheme="minorHAnsi" w:hAnsiTheme="minorHAnsi" w:cstheme="minorHAnsi"/>
          <w:sz w:val="22"/>
          <w:szCs w:val="22"/>
        </w:rPr>
        <w:t>CZĘŚCI</w:t>
      </w:r>
      <w:r w:rsidRPr="00CB1667">
        <w:rPr>
          <w:rFonts w:asciiTheme="minorHAnsi" w:hAnsiTheme="minorHAnsi" w:cstheme="minorHAnsi"/>
          <w:sz w:val="22"/>
          <w:szCs w:val="22"/>
        </w:rPr>
        <w:t xml:space="preserve">. Na jedną </w:t>
      </w:r>
      <w:r w:rsidR="008B05D4" w:rsidRPr="00CB1667">
        <w:rPr>
          <w:rFonts w:asciiTheme="minorHAnsi" w:hAnsiTheme="minorHAnsi" w:cstheme="minorHAnsi"/>
          <w:sz w:val="22"/>
          <w:szCs w:val="22"/>
        </w:rPr>
        <w:t>CZĘŚĆ</w:t>
      </w:r>
      <w:r w:rsidRPr="00CB1667">
        <w:rPr>
          <w:rFonts w:asciiTheme="minorHAnsi" w:hAnsiTheme="minorHAnsi" w:cstheme="minorHAnsi"/>
          <w:sz w:val="22"/>
          <w:szCs w:val="22"/>
        </w:rPr>
        <w:t xml:space="preserve"> zamówienia Wykonawca może złożyć tylko jedną ofertę.</w:t>
      </w:r>
    </w:p>
    <w:p w14:paraId="4AD0B4E8" w14:textId="5E3AC90B" w:rsidR="00BA1DD3" w:rsidRPr="00956E79" w:rsidRDefault="00BA1DD3" w:rsidP="004121DF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" w:name="_Toc103068767"/>
      <w:r w:rsidRPr="00956E79">
        <w:rPr>
          <w:rFonts w:asciiTheme="minorHAnsi" w:hAnsiTheme="minorHAnsi" w:cstheme="minorHAnsi"/>
          <w:bCs/>
          <w:i w:val="0"/>
          <w:color w:val="auto"/>
          <w:spacing w:val="20"/>
        </w:rPr>
        <w:t>Termin wykonania zamówienia</w:t>
      </w:r>
      <w:bookmarkEnd w:id="4"/>
    </w:p>
    <w:p w14:paraId="2EB52CDA" w14:textId="76648464" w:rsidR="00BA1DD3" w:rsidRPr="00956E79" w:rsidRDefault="00BA1DD3" w:rsidP="000F03EA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E79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7E38AF" w:rsidRPr="00956E79">
        <w:rPr>
          <w:rFonts w:asciiTheme="minorHAnsi" w:hAnsiTheme="minorHAnsi" w:cstheme="minorHAnsi"/>
          <w:b/>
          <w:sz w:val="22"/>
          <w:szCs w:val="22"/>
        </w:rPr>
        <w:t xml:space="preserve">realizacji  </w:t>
      </w:r>
      <w:r w:rsidRPr="00956E79">
        <w:rPr>
          <w:rFonts w:asciiTheme="minorHAnsi" w:hAnsiTheme="minorHAnsi" w:cstheme="minorHAnsi"/>
          <w:b/>
          <w:sz w:val="22"/>
          <w:szCs w:val="22"/>
        </w:rPr>
        <w:t>zamówienia</w:t>
      </w:r>
      <w:r w:rsidR="007E38AF" w:rsidRPr="00956E79">
        <w:rPr>
          <w:rFonts w:asciiTheme="minorHAnsi" w:hAnsiTheme="minorHAnsi" w:cstheme="minorHAnsi"/>
          <w:b/>
          <w:sz w:val="22"/>
          <w:szCs w:val="22"/>
        </w:rPr>
        <w:t xml:space="preserve"> wynosi</w:t>
      </w:r>
      <w:r w:rsidRPr="00956E7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D6953AF" w14:textId="77777777" w:rsidR="00F2393D" w:rsidRPr="00956E79" w:rsidRDefault="00BB772D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E7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 </w:t>
      </w:r>
      <w:r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F2393D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>36</w:t>
      </w:r>
      <w:r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miesi</w:t>
      </w:r>
      <w:r w:rsidR="00F2393D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>ęcy</w:t>
      </w:r>
      <w:r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C3CCA" w:rsidRPr="00956E79">
        <w:rPr>
          <w:rFonts w:asciiTheme="minorHAnsi" w:hAnsiTheme="minorHAnsi" w:cstheme="minorHAnsi"/>
          <w:sz w:val="22"/>
          <w:szCs w:val="22"/>
        </w:rPr>
        <w:t>(od 0</w:t>
      </w:r>
      <w:r w:rsidR="00F2393D" w:rsidRPr="00956E79">
        <w:rPr>
          <w:rFonts w:asciiTheme="minorHAnsi" w:hAnsiTheme="minorHAnsi" w:cstheme="minorHAnsi"/>
          <w:sz w:val="22"/>
          <w:szCs w:val="22"/>
        </w:rPr>
        <w:t>5</w:t>
      </w:r>
      <w:r w:rsidR="009C3CCA" w:rsidRPr="00956E79">
        <w:rPr>
          <w:rFonts w:asciiTheme="minorHAnsi" w:hAnsiTheme="minorHAnsi" w:cstheme="minorHAnsi"/>
          <w:sz w:val="22"/>
          <w:szCs w:val="22"/>
        </w:rPr>
        <w:t>.0</w:t>
      </w:r>
      <w:r w:rsidR="00F2393D" w:rsidRPr="00956E79">
        <w:rPr>
          <w:rFonts w:asciiTheme="minorHAnsi" w:hAnsiTheme="minorHAnsi" w:cstheme="minorHAnsi"/>
          <w:sz w:val="22"/>
          <w:szCs w:val="22"/>
        </w:rPr>
        <w:t>8</w:t>
      </w:r>
      <w:r w:rsidR="009C3CCA" w:rsidRPr="00956E79">
        <w:rPr>
          <w:rFonts w:asciiTheme="minorHAnsi" w:hAnsiTheme="minorHAnsi" w:cstheme="minorHAnsi"/>
          <w:sz w:val="22"/>
          <w:szCs w:val="22"/>
        </w:rPr>
        <w:t xml:space="preserve">.2022 do </w:t>
      </w:r>
      <w:r w:rsidR="00C00D40" w:rsidRPr="00956E79">
        <w:rPr>
          <w:rFonts w:asciiTheme="minorHAnsi" w:hAnsiTheme="minorHAnsi" w:cstheme="minorHAnsi"/>
          <w:sz w:val="22"/>
          <w:szCs w:val="22"/>
        </w:rPr>
        <w:t>0</w:t>
      </w:r>
      <w:r w:rsidR="00F2393D" w:rsidRPr="00956E79">
        <w:rPr>
          <w:rFonts w:asciiTheme="minorHAnsi" w:hAnsiTheme="minorHAnsi" w:cstheme="minorHAnsi"/>
          <w:sz w:val="22"/>
          <w:szCs w:val="22"/>
        </w:rPr>
        <w:t>4</w:t>
      </w:r>
      <w:r w:rsidR="009C3CCA" w:rsidRPr="00956E79">
        <w:rPr>
          <w:rFonts w:asciiTheme="minorHAnsi" w:hAnsiTheme="minorHAnsi" w:cstheme="minorHAnsi"/>
          <w:sz w:val="22"/>
          <w:szCs w:val="22"/>
        </w:rPr>
        <w:t>.0</w:t>
      </w:r>
      <w:r w:rsidR="00F2393D" w:rsidRPr="00956E79">
        <w:rPr>
          <w:rFonts w:asciiTheme="minorHAnsi" w:hAnsiTheme="minorHAnsi" w:cstheme="minorHAnsi"/>
          <w:sz w:val="22"/>
          <w:szCs w:val="22"/>
        </w:rPr>
        <w:t>8</w:t>
      </w:r>
      <w:r w:rsidR="009C3CCA" w:rsidRPr="00956E79">
        <w:rPr>
          <w:rFonts w:asciiTheme="minorHAnsi" w:hAnsiTheme="minorHAnsi" w:cstheme="minorHAnsi"/>
          <w:sz w:val="22"/>
          <w:szCs w:val="22"/>
        </w:rPr>
        <w:t>.2025</w:t>
      </w:r>
      <w:r w:rsidR="00F2393D" w:rsidRPr="00956E79">
        <w:rPr>
          <w:rFonts w:asciiTheme="minorHAnsi" w:hAnsiTheme="minorHAnsi" w:cstheme="minorHAnsi"/>
          <w:sz w:val="22"/>
          <w:szCs w:val="22"/>
        </w:rPr>
        <w:t>)</w:t>
      </w:r>
    </w:p>
    <w:p w14:paraId="27236670" w14:textId="77777777" w:rsidR="00C00D40" w:rsidRPr="00956E79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ACE305" w14:textId="184A844E" w:rsidR="00956E79" w:rsidRPr="00956E79" w:rsidRDefault="00C00D40" w:rsidP="00956E7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E7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 </w:t>
      </w:r>
      <w:r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56E79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36 miesięcy </w:t>
      </w:r>
      <w:r w:rsidR="00956E79" w:rsidRPr="00956E79">
        <w:rPr>
          <w:rFonts w:asciiTheme="minorHAnsi" w:hAnsiTheme="minorHAnsi" w:cstheme="minorHAnsi"/>
          <w:sz w:val="22"/>
          <w:szCs w:val="22"/>
        </w:rPr>
        <w:t>(od 05.08.2022 do 04.08.2025)</w:t>
      </w:r>
    </w:p>
    <w:p w14:paraId="41870761" w14:textId="77777777" w:rsidR="00C00D40" w:rsidRPr="00956E79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69F0D56" w14:textId="77777777" w:rsidR="00491974" w:rsidRPr="00CB1667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667">
        <w:rPr>
          <w:rFonts w:asciiTheme="minorHAnsi" w:hAnsiTheme="minorHAnsi" w:cstheme="minorHAnsi"/>
          <w:i/>
          <w:sz w:val="22"/>
          <w:szCs w:val="22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0D17E768" w:rsidR="00491974" w:rsidRPr="00CB1667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667">
        <w:rPr>
          <w:rFonts w:asciiTheme="minorHAnsi" w:hAnsiTheme="minorHAnsi" w:cstheme="minorHAnsi"/>
          <w:i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2CCD826C" w14:textId="77777777" w:rsidR="009C3CCA" w:rsidRPr="00CB1667" w:rsidRDefault="009C3CCA" w:rsidP="009C3C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B1667">
        <w:rPr>
          <w:rFonts w:asciiTheme="minorHAnsi" w:hAnsiTheme="minorHAnsi" w:cstheme="minorHAnsi"/>
          <w:iCs/>
          <w:sz w:val="22"/>
          <w:szCs w:val="22"/>
        </w:rPr>
        <w:t xml:space="preserve">Sposób i forma płatności: </w:t>
      </w:r>
    </w:p>
    <w:p w14:paraId="63113D9A" w14:textId="2E469870" w:rsidR="009C3CCA" w:rsidRPr="00CB1667" w:rsidRDefault="009C3CCA" w:rsidP="009C3CC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6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1: 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w </w:t>
      </w:r>
      <w:r w:rsidR="00CB1667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>12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CB1667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>dwunastu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ratach </w:t>
      </w:r>
      <w:r w:rsidR="00CB1667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miesięcznych 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(zaokrąglonych do pełnego złotego) dla </w:t>
      </w:r>
      <w:r w:rsidR="00BA0E2A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każdego 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rocznego okresu ubezpieczenia </w:t>
      </w:r>
    </w:p>
    <w:p w14:paraId="5C904FF8" w14:textId="77777777" w:rsidR="00CA008A" w:rsidRPr="00CB1667" w:rsidRDefault="009C3CCA" w:rsidP="00CA008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6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2: </w:t>
      </w:r>
      <w:r w:rsidR="00CA008A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w 12 (dwunastu) ratach miesięcznych (zaokrąglonych do pełnego złotego) dla każdego rocznego okresu ubezpieczenia </w:t>
      </w:r>
    </w:p>
    <w:p w14:paraId="691528F1" w14:textId="2758B390" w:rsidR="009C3CCA" w:rsidRPr="00B8764E" w:rsidRDefault="009C3CCA" w:rsidP="00CA008A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  <w:highlight w:val="yellow"/>
        </w:rPr>
      </w:pPr>
    </w:p>
    <w:p w14:paraId="11E1989A" w14:textId="71337089" w:rsidR="00BA1DD3" w:rsidRPr="00CB166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5" w:name="_Toc103068768"/>
      <w:r w:rsidRPr="00CB1667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Warunki udziału w postępowaniu</w:t>
      </w:r>
      <w:bookmarkEnd w:id="5"/>
    </w:p>
    <w:p w14:paraId="6A6F3EA0" w14:textId="40C3AEFA" w:rsidR="00DB16A3" w:rsidRPr="00CB1667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89932417"/>
      <w:r w:rsidRPr="00CB1667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CB1667">
        <w:rPr>
          <w:rFonts w:asciiTheme="minorHAnsi" w:hAnsiTheme="minorHAnsi" w:cstheme="minorHAnsi"/>
          <w:sz w:val="22"/>
          <w:szCs w:val="22"/>
        </w:rPr>
        <w:t xml:space="preserve">VII </w:t>
      </w:r>
      <w:r w:rsidRPr="00CB1667">
        <w:rPr>
          <w:rFonts w:asciiTheme="minorHAnsi" w:hAnsiTheme="minorHAnsi" w:cstheme="minorHAnsi"/>
          <w:sz w:val="22"/>
          <w:szCs w:val="22"/>
        </w:rPr>
        <w:t>SWZ, oraz spełniają określone przez Zamawiającego warunki</w:t>
      </w:r>
      <w:r w:rsidRPr="00CB1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1667">
        <w:rPr>
          <w:rFonts w:asciiTheme="minorHAnsi" w:hAnsiTheme="minorHAnsi" w:cstheme="minorHAnsi"/>
          <w:sz w:val="22"/>
          <w:szCs w:val="22"/>
        </w:rPr>
        <w:t>udziału w postępowaniu.</w:t>
      </w:r>
    </w:p>
    <w:p w14:paraId="39029B7A" w14:textId="77777777" w:rsidR="00DB16A3" w:rsidRPr="00CB1667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dotyczące:</w:t>
      </w:r>
    </w:p>
    <w:p w14:paraId="07F69DC1" w14:textId="77777777" w:rsidR="00C207AC" w:rsidRPr="00CB1667" w:rsidRDefault="00DB16A3" w:rsidP="00947C25">
      <w:pPr>
        <w:numPr>
          <w:ilvl w:val="1"/>
          <w:numId w:val="4"/>
        </w:numPr>
        <w:tabs>
          <w:tab w:val="left" w:pos="993"/>
        </w:tabs>
        <w:autoSpaceDE w:val="0"/>
        <w:spacing w:beforeLines="50" w:before="120" w:afterLines="100" w:after="240" w:line="271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="00C207AC" w:rsidRPr="00CB166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DD28CA" w14:textId="5DDE7C18" w:rsidR="00DB16A3" w:rsidRPr="00CB1667" w:rsidRDefault="00C207AC" w:rsidP="00947C25">
      <w:pPr>
        <w:tabs>
          <w:tab w:val="left" w:pos="993"/>
        </w:tabs>
        <w:autoSpaceDE w:val="0"/>
        <w:spacing w:beforeLines="50" w:before="120" w:afterLines="100" w:after="240"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Sądowego.</w:t>
      </w:r>
    </w:p>
    <w:p w14:paraId="082D33AC" w14:textId="77777777" w:rsidR="00C207AC" w:rsidRPr="00CB1667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b/>
          <w:bCs/>
          <w:sz w:val="22"/>
          <w:szCs w:val="22"/>
        </w:rPr>
        <w:t>uprawnień</w:t>
      </w:r>
      <w:r w:rsidRPr="00CB1667">
        <w:rPr>
          <w:rFonts w:asciiTheme="minorHAnsi" w:hAnsiTheme="minorHAnsi" w:cstheme="minorHAnsi"/>
          <w:b/>
          <w:sz w:val="22"/>
          <w:szCs w:val="22"/>
        </w:rPr>
        <w:t xml:space="preserve"> do prowadzenia określonej działalności gospodarczej lub zawodowej, o ile wynika to z odrębnych przepisów:</w:t>
      </w:r>
      <w:r w:rsidRPr="00CB1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8D65B8" w14:textId="4BD34665" w:rsidR="00C207AC" w:rsidRPr="00992257" w:rsidRDefault="00C207AC" w:rsidP="00630CB9">
      <w:pPr>
        <w:tabs>
          <w:tab w:val="left" w:pos="426"/>
        </w:tabs>
        <w:autoSpaceDE w:val="0"/>
        <w:spacing w:beforeLines="50" w:before="120" w:afterLines="100" w:after="240" w:line="271" w:lineRule="auto"/>
        <w:ind w:left="960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Wykonawca winien posiadać uprawnienia do wykonywania działalności ubezpieczeniowej w oparciu o ustawę o działalności ubezpieczeniowej i reasekuracyjnej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. Dz. U. z 2020 r. poz. 895  ze zm.)w zakresie co najmniej tożsamym z przedmiotem zamówienia, na który składa ofertę tj.: </w:t>
      </w:r>
    </w:p>
    <w:p w14:paraId="5583FE83" w14:textId="77777777" w:rsidR="00C207AC" w:rsidRPr="00992257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dla CZĘŚCI 1 – co najmniej w grupie 13 działu II Załącznika do ustawy o działalności ubezpieczeniowej i reasekuracyjnej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43C7CA0C" w14:textId="4960C0AF" w:rsidR="00C207AC" w:rsidRPr="00992257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dla CZĘŚCI 2 –</w:t>
      </w:r>
      <w:r w:rsidRPr="0099225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co najmniej w grupie 8, 9 działu II Załącznika do ustawy o działalności ubezpieczeniowej  i reasekuracyjnej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01B68459" w14:textId="77777777" w:rsidR="00DB16A3" w:rsidRPr="00992257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 xml:space="preserve">sytuacji ekonomicznej lub finansowej: </w:t>
      </w:r>
      <w:r w:rsidRPr="00992257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5EE0D75D" w14:textId="77777777" w:rsidR="00DB16A3" w:rsidRPr="00992257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 xml:space="preserve">zdolności technicznej lub zawodowej: </w:t>
      </w:r>
      <w:r w:rsidRPr="00992257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2C5A6B2C" w14:textId="37BB14B2" w:rsidR="00BA1DD3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7" w:name="_Toc103068769"/>
      <w:bookmarkEnd w:id="6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Podstawy wykluczenia</w:t>
      </w:r>
      <w:bookmarkEnd w:id="7"/>
    </w:p>
    <w:p w14:paraId="5CA7F1BA" w14:textId="77777777" w:rsidR="00240125" w:rsidRPr="00E7459E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89933105"/>
      <w:r w:rsidRPr="00992257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Wykonawców, w stosunku do których zachodzi którakolwiek z okoliczności wskazanych w</w:t>
      </w:r>
      <w:r w:rsidR="00240125">
        <w:rPr>
          <w:rFonts w:asciiTheme="minorHAnsi" w:hAnsiTheme="minorHAnsi" w:cstheme="minorHAnsi"/>
          <w:bCs/>
          <w:sz w:val="22"/>
          <w:szCs w:val="22"/>
        </w:rPr>
        <w:t>:</w:t>
      </w:r>
    </w:p>
    <w:p w14:paraId="29090A79" w14:textId="37EEFDC3" w:rsidR="00A92D28" w:rsidRDefault="00A92D28" w:rsidP="00E7459E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art. 108 ust. 1 ustawy PZP</w:t>
      </w:r>
      <w:r w:rsidR="00240125" w:rsidRPr="00E7459E">
        <w:rPr>
          <w:rFonts w:asciiTheme="minorHAnsi" w:hAnsiTheme="minorHAnsi" w:cstheme="minorHAnsi"/>
          <w:sz w:val="22"/>
          <w:szCs w:val="22"/>
        </w:rPr>
        <w:t>;</w:t>
      </w:r>
    </w:p>
    <w:p w14:paraId="49A55F58" w14:textId="49C3B348" w:rsidR="00240125" w:rsidRPr="00AC1C0A" w:rsidRDefault="00240125" w:rsidP="00240125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C1C0A">
        <w:rPr>
          <w:rFonts w:asciiTheme="minorHAnsi" w:hAnsiTheme="minorHAnsi" w:cstheme="minorHAnsi"/>
          <w:sz w:val="22"/>
          <w:szCs w:val="22"/>
          <w:highlight w:val="yellow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77631500" w14:textId="7AB22D99" w:rsidR="00240125" w:rsidRPr="00AC1C0A" w:rsidRDefault="00240125" w:rsidP="00E7459E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C1C0A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art. 7 ust 1 ustawy z dnia 13 kwietnia 2022 r. o szczególnych rozwiązaniach w zakresie przeciwdziałania wspieraniu agresji na Ukrainę oraz służących ochronie bezpieczeństwa narodowego (Dz.U. z 2022 r., poz. 835).</w:t>
      </w:r>
    </w:p>
    <w:p w14:paraId="7DDD036F" w14:textId="55BCFD10" w:rsidR="00240125" w:rsidRPr="0084477A" w:rsidRDefault="00A92D28" w:rsidP="0084477A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477A">
        <w:rPr>
          <w:rFonts w:asciiTheme="minorHAnsi" w:hAnsiTheme="minorHAnsi" w:cstheme="minorHAnsi"/>
          <w:bCs/>
          <w:sz w:val="22"/>
          <w:szCs w:val="22"/>
        </w:rPr>
        <w:t xml:space="preserve">Wykluczenie Wykonawcy </w:t>
      </w:r>
      <w:r w:rsidR="0084477A" w:rsidRPr="00AC1C0A">
        <w:rPr>
          <w:rFonts w:asciiTheme="minorHAnsi" w:hAnsiTheme="minorHAnsi" w:cstheme="minorHAnsi"/>
          <w:bCs/>
          <w:sz w:val="22"/>
          <w:szCs w:val="22"/>
          <w:highlight w:val="yellow"/>
        </w:rPr>
        <w:t>w przypadkach wskazanych w pkt 1.1.</w:t>
      </w:r>
      <w:r w:rsidR="0084477A" w:rsidRPr="008447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477A">
        <w:rPr>
          <w:rFonts w:asciiTheme="minorHAnsi" w:hAnsiTheme="minorHAnsi" w:cstheme="minorHAnsi"/>
          <w:bCs/>
          <w:sz w:val="22"/>
          <w:szCs w:val="22"/>
        </w:rPr>
        <w:t>następuje</w:t>
      </w:r>
      <w:r w:rsidR="008447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477A">
        <w:rPr>
          <w:rFonts w:asciiTheme="minorHAnsi" w:hAnsiTheme="minorHAnsi" w:cstheme="minorHAnsi"/>
          <w:bCs/>
          <w:sz w:val="22"/>
          <w:szCs w:val="22"/>
        </w:rPr>
        <w:t>zgodnie z art. 111 ustawy PZP</w:t>
      </w:r>
      <w:r w:rsidR="0084477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D0A7CF" w14:textId="4E454041" w:rsidR="00A92D28" w:rsidRPr="00992257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Wykonawca nie podlega wykluczeniu w okolicznościach określonych w art. 108 ust. 1 pkt 1, 2, 5 ustawy PZP, jeżeli udowodni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amawiającemu, że spełnił łącznie przesłanki wskazane w art. 110 ust. 2 ustawy PZP. </w:t>
      </w:r>
    </w:p>
    <w:p w14:paraId="6DC29AE5" w14:textId="5AE3CFC3" w:rsidR="00A92D28" w:rsidRPr="00992257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Zamawiający oceni, czy podjęte przez wykonawcę czynności, o których mowa w art. 110 ust. 2 ustawy PZP, są wystarczające do wykazania jego rzetelności, uwzględniając wagę i szczególne okoliczności czynu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ykonawcy. Jeżeli podjęte przez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ykonawcę czynności nie są wystarczające do wykazania jego rzetelności, zamawiający wyklucza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>ykonawcę.</w:t>
      </w:r>
    </w:p>
    <w:p w14:paraId="0CDB777E" w14:textId="1A79B5EE" w:rsidR="00374F55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firstLine="284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9" w:name="_Toc103068770"/>
      <w:bookmarkEnd w:id="8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Wymagane oświadczenia lub dokumenty, </w:t>
      </w:r>
      <w:r w:rsidR="00F50AD3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w tym wykaz oświadczeń lub dokumentów </w:t>
      </w:r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potwierdzających spełnianie warunków udziału w postępowaniu oraz </w:t>
      </w:r>
      <w:r w:rsidR="004C10F8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wykazanie </w:t>
      </w:r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brak</w:t>
      </w:r>
      <w:r w:rsidR="004C10F8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u</w:t>
      </w:r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podstaw wykluczenia</w:t>
      </w:r>
      <w:bookmarkEnd w:id="9"/>
      <w:r w:rsidR="00792A38"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3733EEFF" w14:textId="69E2B312" w:rsidR="00F66E00" w:rsidRPr="00992257" w:rsidRDefault="00F50A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0" w:name="_Hlk64730768"/>
      <w:r w:rsidRPr="00992257">
        <w:rPr>
          <w:rFonts w:asciiTheme="minorHAnsi" w:hAnsiTheme="minorHAnsi" w:cstheme="minorHAnsi"/>
          <w:b/>
          <w:sz w:val="22"/>
          <w:szCs w:val="22"/>
        </w:rPr>
        <w:t>Oferta winna zawierać</w:t>
      </w:r>
      <w:r w:rsidRPr="00992257">
        <w:rPr>
          <w:rFonts w:asciiTheme="minorHAnsi" w:hAnsiTheme="minorHAnsi" w:cstheme="minorHAnsi"/>
          <w:sz w:val="22"/>
          <w:szCs w:val="22"/>
        </w:rPr>
        <w:t xml:space="preserve"> następujące oświadczenia i dokumenty</w:t>
      </w:r>
      <w:r w:rsidR="00BA1DD3" w:rsidRPr="0099225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705403" w14:textId="63FF03D8" w:rsidR="00F50AD3" w:rsidRPr="00087075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075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087075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087075">
        <w:rPr>
          <w:rFonts w:asciiTheme="minorHAnsi" w:hAnsiTheme="minorHAnsi" w:cstheme="minorHAnsi"/>
          <w:sz w:val="22"/>
          <w:szCs w:val="22"/>
        </w:rPr>
        <w:t xml:space="preserve">, na który składana jest oferta, sporządzony z wykorzystaniem wzoru stanowiącego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087075">
        <w:rPr>
          <w:rFonts w:asciiTheme="minorHAnsi" w:hAnsiTheme="minorHAnsi" w:cstheme="minorHAnsi"/>
          <w:b/>
          <w:sz w:val="22"/>
          <w:szCs w:val="22"/>
        </w:rPr>
        <w:t>ałącznik nr 4 do SWZ.</w:t>
      </w:r>
    </w:p>
    <w:p w14:paraId="04A33D99" w14:textId="13B416E3" w:rsidR="00F50AD3" w:rsidRPr="00992257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>Pełnomocnictwo</w:t>
      </w:r>
      <w:r w:rsidRPr="00992257">
        <w:rPr>
          <w:rFonts w:asciiTheme="minorHAnsi" w:hAnsiTheme="minorHAnsi" w:cstheme="minorHAnsi"/>
          <w:sz w:val="22"/>
          <w:szCs w:val="22"/>
        </w:rPr>
        <w:t xml:space="preserve"> (lub ciąg pełnomocnictw) zgodnie z Rozdziałem XI SWZ.</w:t>
      </w:r>
    </w:p>
    <w:p w14:paraId="76751493" w14:textId="1C33FAFF" w:rsidR="00F50AD3" w:rsidRPr="00992257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>Podmiotowe środki dowodowe</w:t>
      </w:r>
      <w:r w:rsidR="00071021" w:rsidRPr="0099225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1021" w:rsidRPr="00992257">
        <w:rPr>
          <w:rFonts w:asciiTheme="minorHAnsi" w:hAnsiTheme="minorHAnsi" w:cstheme="minorHAnsi"/>
          <w:bCs/>
          <w:sz w:val="22"/>
          <w:szCs w:val="22"/>
        </w:rPr>
        <w:t>składane wraz z ofertą</w:t>
      </w:r>
      <w:r w:rsidRPr="00992257">
        <w:rPr>
          <w:rFonts w:asciiTheme="minorHAnsi" w:hAnsiTheme="minorHAnsi" w:cstheme="minorHAnsi"/>
          <w:b/>
          <w:sz w:val="22"/>
          <w:szCs w:val="22"/>
        </w:rPr>
        <w:t>:</w:t>
      </w:r>
    </w:p>
    <w:p w14:paraId="464FDA9F" w14:textId="3A6960BB" w:rsidR="00A848C0" w:rsidRPr="00992257" w:rsidRDefault="00ED34FE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aktualne na dzień składania ofert oświadczenie, że nie podlega wykluczeniu oraz spełnia warunki udziału w postępowaniu. </w:t>
      </w:r>
      <w:r w:rsidR="00A92D28" w:rsidRPr="00992257">
        <w:rPr>
          <w:rFonts w:asciiTheme="minorHAnsi" w:hAnsiTheme="minorHAnsi" w:cstheme="minorHAnsi"/>
          <w:sz w:val="22"/>
          <w:szCs w:val="22"/>
        </w:rPr>
        <w:t xml:space="preserve">Niniejsze </w:t>
      </w:r>
      <w:r w:rsidRPr="00992257">
        <w:rPr>
          <w:rFonts w:asciiTheme="minorHAnsi" w:hAnsiTheme="minorHAnsi" w:cstheme="minorHAnsi"/>
          <w:sz w:val="22"/>
          <w:szCs w:val="22"/>
        </w:rPr>
        <w:t xml:space="preserve">oświadczenie Wykonawca składa w formie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Jednolitego Europejskiego Dokumentu Zamówienia (ESPD)</w:t>
      </w:r>
      <w:r w:rsidRPr="00992257">
        <w:rPr>
          <w:rFonts w:asciiTheme="minorHAnsi" w:hAnsiTheme="minorHAnsi" w:cstheme="minorHAnsi"/>
          <w:sz w:val="22"/>
          <w:szCs w:val="22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</w:t>
      </w:r>
      <w:r w:rsidR="00A848C0" w:rsidRPr="00992257">
        <w:rPr>
          <w:rFonts w:asciiTheme="minorHAnsi" w:hAnsiTheme="minorHAnsi" w:cstheme="minorHAnsi"/>
          <w:b/>
          <w:sz w:val="22"/>
          <w:szCs w:val="22"/>
        </w:rPr>
        <w:t>.</w:t>
      </w:r>
    </w:p>
    <w:p w14:paraId="14B78934" w14:textId="55AE422D" w:rsidR="00ED34FE" w:rsidRPr="00992257" w:rsidRDefault="00ED34FE" w:rsidP="00071021">
      <w:p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992257">
        <w:rPr>
          <w:rFonts w:asciiTheme="minorHAnsi" w:hAnsiTheme="minorHAnsi" w:cstheme="minorHAnsi"/>
          <w:bCs/>
          <w:sz w:val="22"/>
          <w:szCs w:val="22"/>
        </w:rPr>
        <w:t>ESPD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 xml:space="preserve">oraz edytowalną wersję formularza ESPD można znaleźć pod adresem: </w:t>
      </w:r>
      <w:hyperlink r:id="rId10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. Zamawiający zaleca wypełnienie ESPD za pomocą serwisu dostępnego pod adresem:  </w:t>
      </w:r>
      <w:hyperlink r:id="rId11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https://espd.uzp.gov.pl/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. </w:t>
      </w:r>
      <w:r w:rsidR="00735145" w:rsidRPr="00992257">
        <w:rPr>
          <w:rFonts w:asciiTheme="minorHAnsi" w:hAnsiTheme="minorHAnsi" w:cstheme="minorHAnsi"/>
          <w:sz w:val="22"/>
          <w:szCs w:val="22"/>
        </w:rPr>
        <w:t xml:space="preserve">Dla ułatwienia Wykonawcy </w:t>
      </w:r>
      <w:r w:rsidRPr="00992257">
        <w:rPr>
          <w:rFonts w:asciiTheme="minorHAnsi" w:hAnsiTheme="minorHAnsi" w:cstheme="minorHAnsi"/>
          <w:sz w:val="22"/>
          <w:szCs w:val="22"/>
        </w:rPr>
        <w:t>Zamawiając</w:t>
      </w:r>
      <w:r w:rsidR="00735145" w:rsidRPr="00992257">
        <w:rPr>
          <w:rFonts w:asciiTheme="minorHAnsi" w:hAnsiTheme="minorHAnsi" w:cstheme="minorHAnsi"/>
          <w:sz w:val="22"/>
          <w:szCs w:val="22"/>
        </w:rPr>
        <w:t>y przygotował wstępny</w:t>
      </w:r>
      <w:r w:rsidRPr="00992257">
        <w:rPr>
          <w:rFonts w:asciiTheme="minorHAnsi" w:hAnsiTheme="minorHAnsi" w:cstheme="minorHAnsi"/>
          <w:sz w:val="22"/>
          <w:szCs w:val="22"/>
        </w:rPr>
        <w:t xml:space="preserve"> Jednolity Europejski Dokument Zamówienia (ESPD) w formacie *.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7C492E" w:rsidRPr="00992257">
        <w:rPr>
          <w:rFonts w:asciiTheme="minorHAnsi" w:hAnsiTheme="minorHAnsi" w:cstheme="minorHAnsi"/>
          <w:sz w:val="22"/>
          <w:szCs w:val="22"/>
        </w:rPr>
        <w:t xml:space="preserve"> oraz *.pdf</w:t>
      </w:r>
      <w:r w:rsidRPr="00992257">
        <w:rPr>
          <w:rFonts w:asciiTheme="minorHAnsi" w:hAnsiTheme="minorHAnsi" w:cstheme="minorHAnsi"/>
          <w:sz w:val="22"/>
          <w:szCs w:val="22"/>
        </w:rPr>
        <w:t xml:space="preserve">, stanowiący </w:t>
      </w:r>
      <w:r w:rsidRPr="00992257">
        <w:rPr>
          <w:rFonts w:asciiTheme="minorHAnsi" w:hAnsiTheme="minorHAnsi" w:cstheme="minorHAnsi"/>
          <w:b/>
          <w:sz w:val="22"/>
          <w:szCs w:val="22"/>
        </w:rPr>
        <w:t>Załącznik nr 5 do SWZ</w:t>
      </w:r>
      <w:r w:rsidR="00735145" w:rsidRPr="00992257">
        <w:rPr>
          <w:rFonts w:asciiTheme="minorHAnsi" w:hAnsiTheme="minorHAnsi" w:cstheme="minorHAnsi"/>
          <w:b/>
          <w:sz w:val="22"/>
          <w:szCs w:val="22"/>
        </w:rPr>
        <w:t>.</w:t>
      </w:r>
      <w:r w:rsidR="00735145" w:rsidRPr="00992257">
        <w:rPr>
          <w:rFonts w:asciiTheme="minorHAnsi" w:hAnsiTheme="minorHAnsi" w:cstheme="minorHAnsi"/>
          <w:sz w:val="22"/>
          <w:szCs w:val="22"/>
        </w:rPr>
        <w:t>, który zawiera pola do wypełnienia zgodnie z wymaganiami określonymi przez Zamawiającego w SWZ.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735145" w:rsidRPr="00992257">
        <w:rPr>
          <w:rFonts w:asciiTheme="minorHAnsi" w:hAnsiTheme="minorHAnsi" w:cstheme="minorHAnsi"/>
          <w:sz w:val="22"/>
          <w:szCs w:val="22"/>
        </w:rPr>
        <w:t xml:space="preserve">JEDZ </w:t>
      </w:r>
      <w:r w:rsidRPr="00992257">
        <w:rPr>
          <w:rFonts w:asciiTheme="minorHAnsi" w:hAnsiTheme="minorHAnsi" w:cstheme="minorHAnsi"/>
          <w:sz w:val="22"/>
          <w:szCs w:val="22"/>
        </w:rPr>
        <w:t xml:space="preserve">należy zaimportować do wyżej wymienionego serwisu oraz postępując zgodnie z zamieszczoną tam instrukcją wypełnić wzór </w:t>
      </w:r>
      <w:r w:rsidR="007C492E" w:rsidRPr="00992257">
        <w:rPr>
          <w:rFonts w:asciiTheme="minorHAnsi" w:hAnsiTheme="minorHAnsi" w:cstheme="minorHAnsi"/>
          <w:sz w:val="22"/>
          <w:szCs w:val="22"/>
        </w:rPr>
        <w:t xml:space="preserve">całość </w:t>
      </w:r>
      <w:r w:rsidRPr="00992257">
        <w:rPr>
          <w:rFonts w:asciiTheme="minorHAnsi" w:hAnsiTheme="minorHAnsi" w:cstheme="minorHAnsi"/>
          <w:sz w:val="22"/>
          <w:szCs w:val="22"/>
        </w:rPr>
        <w:t>elektronicznego formularza ESPD, z zastrzeżeniem poniższych uwag:</w:t>
      </w:r>
    </w:p>
    <w:p w14:paraId="3BE52E41" w14:textId="77777777" w:rsidR="008D1155" w:rsidRPr="0099225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>w Części II Sekcji D ESPD (</w:t>
      </w:r>
      <w:r w:rsidRPr="00992257">
        <w:rPr>
          <w:rFonts w:asciiTheme="minorHAnsi" w:hAnsiTheme="minorHAnsi" w:cstheme="minorHAnsi"/>
          <w:i/>
          <w:sz w:val="22"/>
          <w:szCs w:val="22"/>
        </w:rPr>
        <w:t>Informacje dotyczące podwykonawców, na których zdolności Wykonawca nie polega</w:t>
      </w:r>
      <w:r w:rsidRPr="00992257">
        <w:rPr>
          <w:rFonts w:asciiTheme="minorHAnsi" w:hAnsiTheme="minorHAnsi" w:cstheme="minorHAnsi"/>
          <w:sz w:val="22"/>
          <w:szCs w:val="22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43AAC385" w14:textId="77777777" w:rsidR="008D1155" w:rsidRPr="0099225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Części IV Zamawiający żąda jedynie ogólnego oświadczenia dotyczącego wszystkich kryteriów kwalifikacji (sekcja α), bez wypełniania poszczególnych </w:t>
      </w:r>
      <w:r w:rsidRPr="00992257">
        <w:rPr>
          <w:rFonts w:asciiTheme="minorHAnsi" w:hAnsiTheme="minorHAnsi" w:cstheme="minorHAnsi"/>
          <w:b/>
          <w:sz w:val="22"/>
          <w:szCs w:val="22"/>
        </w:rPr>
        <w:t>Sekcji A, B, C i D;</w:t>
      </w:r>
    </w:p>
    <w:p w14:paraId="1F396E10" w14:textId="77777777" w:rsidR="008D1155" w:rsidRPr="0099225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Część V (</w:t>
      </w:r>
      <w:r w:rsidRPr="00992257">
        <w:rPr>
          <w:rFonts w:asciiTheme="minorHAnsi" w:hAnsiTheme="minorHAnsi" w:cstheme="minorHAnsi"/>
          <w:i/>
          <w:sz w:val="22"/>
          <w:szCs w:val="22"/>
        </w:rPr>
        <w:t>Ograniczenie liczby kwalifikujących się kandydatów</w:t>
      </w:r>
      <w:r w:rsidRPr="00992257">
        <w:rPr>
          <w:rFonts w:asciiTheme="minorHAnsi" w:hAnsiTheme="minorHAnsi" w:cstheme="minorHAnsi"/>
          <w:sz w:val="22"/>
          <w:szCs w:val="22"/>
        </w:rPr>
        <w:t>) należy pozostawić niewypełnioną</w:t>
      </w:r>
      <w:r w:rsidR="00BA1DD3" w:rsidRPr="00992257">
        <w:rPr>
          <w:rFonts w:asciiTheme="minorHAnsi" w:hAnsiTheme="minorHAnsi" w:cstheme="minorHAnsi"/>
          <w:sz w:val="22"/>
          <w:szCs w:val="22"/>
        </w:rPr>
        <w:t>.</w:t>
      </w:r>
    </w:p>
    <w:p w14:paraId="3B78C278" w14:textId="1C90A6C0" w:rsidR="0084477A" w:rsidRPr="00AC1C0A" w:rsidRDefault="0084477A" w:rsidP="00481C03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>Oświadczenie wykonawcy potwierdzające brak podstaw wykluczenia z postępowania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>na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podstawie art. 5k rozporządzenia Rady 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>(UE) nr 833/2014</w:t>
      </w: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481C03" w:rsidRPr="00AC1C0A">
        <w:rPr>
          <w:rFonts w:asciiTheme="minorHAnsi" w:hAnsiTheme="minorHAnsi" w:cstheme="minorHAnsi"/>
          <w:sz w:val="22"/>
          <w:szCs w:val="22"/>
          <w:highlight w:val="yellow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481C03"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>oraz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 xml:space="preserve">  </w:t>
      </w: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>art. 7 ust. 1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 xml:space="preserve"> ustawy z dnia 13 kwietnia 2022 r.</w:t>
      </w: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>o szczególnych rozwiązaniach w zakresie przeciwdziałania wspieraniu agresji na Ukrainę oraz służących ochronie bezpieczeństwa narodowego (Dz. U. poz. 835)</w:t>
      </w:r>
      <w:r w:rsidR="009373C3" w:rsidRPr="00AC1C0A">
        <w:rPr>
          <w:rFonts w:asciiTheme="minorHAnsi" w:hAnsiTheme="minorHAnsi" w:cstheme="minorHAnsi"/>
          <w:sz w:val="22"/>
          <w:szCs w:val="22"/>
          <w:highlight w:val="yellow"/>
        </w:rPr>
        <w:t xml:space="preserve"> –</w:t>
      </w:r>
      <w:r w:rsidR="009373C3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załącznik nr </w:t>
      </w:r>
      <w:r w:rsidR="005A7D5D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8</w:t>
      </w:r>
      <w:r w:rsidR="009373C3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do SWZ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6CBE4C7F" w14:textId="7511806D" w:rsidR="008D1155" w:rsidRPr="00992257" w:rsidRDefault="001C4C99" w:rsidP="0084477A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Dokumenty wymagane w przypadku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podwykonawcy</w:t>
      </w:r>
      <w:r w:rsidRPr="00992257">
        <w:rPr>
          <w:rFonts w:asciiTheme="minorHAnsi" w:hAnsiTheme="minorHAnsi" w:cstheme="minorHAnsi"/>
          <w:sz w:val="22"/>
          <w:szCs w:val="22"/>
        </w:rPr>
        <w:t xml:space="preserve"> określa Rozdział IX SWZ.</w:t>
      </w:r>
    </w:p>
    <w:p w14:paraId="3F3FFFDD" w14:textId="7632E420" w:rsidR="008B49C8" w:rsidRPr="00992257" w:rsidRDefault="008B49C8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Dokumenty wymagane od Wykonawców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wspólnie ubiegających się o udzielenie zamówienia</w:t>
      </w:r>
      <w:r w:rsidRPr="00992257">
        <w:rPr>
          <w:rFonts w:asciiTheme="minorHAnsi" w:hAnsiTheme="minorHAnsi" w:cstheme="minorHAnsi"/>
          <w:sz w:val="22"/>
          <w:szCs w:val="22"/>
        </w:rPr>
        <w:t xml:space="preserve"> publicznego określa Rozdział X SWZ.</w:t>
      </w:r>
    </w:p>
    <w:p w14:paraId="367D21DB" w14:textId="1590E722" w:rsidR="008D1155" w:rsidRPr="00992257" w:rsidRDefault="00BA1D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Zamawiający wzywa </w:t>
      </w:r>
      <w:r w:rsidR="001C4C99" w:rsidRPr="0099225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ykonawcę, którego oferta została najwyżej oceniona, do złożenia w wyznaczonym terminie, nie krótszym niż </w:t>
      </w:r>
      <w:r w:rsidR="008D1155" w:rsidRPr="00992257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dni od dnia wezwania, podmiotowych środków dowodowych aktualnych na dzień </w:t>
      </w:r>
      <w:r w:rsidR="008F434B"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ich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złożenia.</w:t>
      </w:r>
    </w:p>
    <w:p w14:paraId="6B3C8338" w14:textId="312A9C40" w:rsidR="008D1155" w:rsidRPr="00992257" w:rsidRDefault="00BA1D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Podmiotowe środki dowodowe wymagane od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ykonawcy</w:t>
      </w:r>
      <w:r w:rsidR="00071021" w:rsidRPr="00992257">
        <w:rPr>
          <w:rFonts w:asciiTheme="minorHAnsi" w:hAnsiTheme="minorHAnsi" w:cstheme="minorHAnsi"/>
          <w:sz w:val="22"/>
          <w:szCs w:val="22"/>
        </w:rPr>
        <w:t xml:space="preserve">, na wezwanie, </w:t>
      </w:r>
      <w:r w:rsidRPr="00992257">
        <w:rPr>
          <w:rFonts w:asciiTheme="minorHAnsi" w:hAnsiTheme="minorHAnsi" w:cstheme="minorHAnsi"/>
          <w:sz w:val="22"/>
          <w:szCs w:val="22"/>
        </w:rPr>
        <w:t>obejmują:</w:t>
      </w:r>
    </w:p>
    <w:p w14:paraId="629BB963" w14:textId="77777777" w:rsidR="008D1155" w:rsidRPr="00087075" w:rsidRDefault="006F380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282090" w:rsidRPr="0008707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ykonawcy, w zakresie art. 108 ust. 1 pkt 5 ustawy, o braku przynależności do tej samej grupy kapitałowej, </w:t>
      </w:r>
      <w:r w:rsidRPr="00087075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(Dz. U. z 2020 r. poz. 1076), z innym </w:t>
      </w:r>
      <w:r w:rsidR="00282090" w:rsidRPr="00087075">
        <w:rPr>
          <w:rFonts w:asciiTheme="minorHAnsi" w:hAnsiTheme="minorHAnsi" w:cstheme="minorHAnsi"/>
          <w:sz w:val="22"/>
          <w:szCs w:val="22"/>
        </w:rPr>
        <w:t>W</w:t>
      </w:r>
      <w:r w:rsidRPr="00087075">
        <w:rPr>
          <w:rFonts w:asciiTheme="minorHAnsi" w:hAnsiTheme="minorHAnsi" w:cstheme="minorHAnsi"/>
          <w:sz w:val="22"/>
          <w:szCs w:val="22"/>
        </w:rPr>
        <w:t>ykonawcą, który złożył odrębną ofertę</w:t>
      </w:r>
      <w:r w:rsidR="008F434B" w:rsidRPr="00087075">
        <w:rPr>
          <w:rFonts w:asciiTheme="minorHAnsi" w:hAnsiTheme="minorHAnsi" w:cstheme="minorHAnsi"/>
          <w:sz w:val="22"/>
          <w:szCs w:val="22"/>
        </w:rPr>
        <w:t xml:space="preserve"> </w:t>
      </w:r>
      <w:r w:rsidRPr="00087075">
        <w:rPr>
          <w:rFonts w:asciiTheme="minorHAnsi" w:hAnsiTheme="minorHAnsi" w:cstheme="minorHAnsi"/>
          <w:sz w:val="22"/>
          <w:szCs w:val="22"/>
        </w:rPr>
        <w:t xml:space="preserve">w postępowaniu,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albo oświadczenia o przynależności do tej samej grupy kapitałowej</w:t>
      </w:r>
      <w:r w:rsidRPr="00087075">
        <w:rPr>
          <w:rFonts w:asciiTheme="minorHAnsi" w:hAnsiTheme="minorHAnsi" w:cstheme="minorHAnsi"/>
          <w:sz w:val="22"/>
          <w:szCs w:val="22"/>
        </w:rPr>
        <w:t xml:space="preserve">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wraz z dokumentami lub informacjami potwierdzającymi przygotowanie oferty</w:t>
      </w:r>
      <w:r w:rsidR="008F434B"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w postępowaniu niezależnie od innego </w:t>
      </w:r>
      <w:r w:rsidR="00282090" w:rsidRPr="0008707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ykonawcy należącego do tej samej grupy kapitałowej </w:t>
      </w:r>
      <w:r w:rsidRPr="00087075">
        <w:rPr>
          <w:rFonts w:asciiTheme="minorHAnsi" w:hAnsiTheme="minorHAnsi" w:cstheme="minorHAnsi"/>
          <w:sz w:val="22"/>
          <w:szCs w:val="22"/>
        </w:rPr>
        <w:t>–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 załącznik nr 6a lub 6b do SWZ</w:t>
      </w:r>
      <w:r w:rsidR="00BA1DD3" w:rsidRPr="00087075">
        <w:rPr>
          <w:rFonts w:asciiTheme="minorHAnsi" w:hAnsiTheme="minorHAnsi" w:cstheme="minorHAnsi"/>
          <w:sz w:val="22"/>
          <w:szCs w:val="22"/>
        </w:rPr>
        <w:t>;</w:t>
      </w:r>
    </w:p>
    <w:p w14:paraId="64133B0C" w14:textId="49715FEC" w:rsidR="008D1155" w:rsidRPr="00087075" w:rsidRDefault="008D1155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64272645"/>
      <w:r w:rsidRPr="00087075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445D2F" w:rsidRPr="00087075">
        <w:rPr>
          <w:rFonts w:asciiTheme="minorHAnsi" w:hAnsiTheme="minorHAnsi" w:cstheme="minorHAnsi"/>
          <w:b/>
          <w:sz w:val="22"/>
          <w:szCs w:val="22"/>
        </w:rPr>
        <w:t>W</w:t>
      </w:r>
      <w:r w:rsidRPr="00087075">
        <w:rPr>
          <w:rFonts w:asciiTheme="minorHAnsi" w:hAnsiTheme="minorHAnsi" w:cstheme="minorHAnsi"/>
          <w:b/>
          <w:sz w:val="22"/>
          <w:szCs w:val="22"/>
        </w:rPr>
        <w:t xml:space="preserve">ykonawcy </w:t>
      </w:r>
      <w:r w:rsidRPr="00087075">
        <w:rPr>
          <w:rFonts w:asciiTheme="minorHAnsi" w:hAnsiTheme="minorHAnsi" w:cstheme="minorHAnsi"/>
          <w:sz w:val="22"/>
          <w:szCs w:val="22"/>
        </w:rPr>
        <w:t xml:space="preserve">o aktualności informacji zawartych w oświadczeniu, o którym mowa w art. 125 ust. 1 </w:t>
      </w:r>
      <w:r w:rsidR="00445D2F" w:rsidRPr="00087075">
        <w:rPr>
          <w:rFonts w:asciiTheme="minorHAnsi" w:hAnsiTheme="minorHAnsi" w:cstheme="minorHAnsi"/>
          <w:sz w:val="22"/>
          <w:szCs w:val="22"/>
        </w:rPr>
        <w:t>ustawy PZP</w:t>
      </w:r>
      <w:r w:rsidRPr="00087075">
        <w:rPr>
          <w:rFonts w:asciiTheme="minorHAnsi" w:hAnsiTheme="minorHAnsi" w:cstheme="minorHAnsi"/>
          <w:sz w:val="22"/>
          <w:szCs w:val="22"/>
        </w:rPr>
        <w:t xml:space="preserve"> w zakresie odnoszącym się do podstaw </w:t>
      </w:r>
      <w:r w:rsidRPr="00087075">
        <w:rPr>
          <w:rFonts w:asciiTheme="minorHAnsi" w:hAnsiTheme="minorHAnsi" w:cstheme="minorHAnsi"/>
          <w:sz w:val="22"/>
          <w:szCs w:val="22"/>
        </w:rPr>
        <w:lastRenderedPageBreak/>
        <w:t xml:space="preserve">wykluczenia wskazanych w art. 108 ust. 1 pkt 3-6 </w:t>
      </w:r>
      <w:r w:rsidR="00445D2F" w:rsidRPr="00087075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087075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  <w:r w:rsidR="00445D2F" w:rsidRPr="00087075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0FDF3C86" w14:textId="1D79D001" w:rsidR="008D1155" w:rsidRPr="00992257" w:rsidRDefault="00445D2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 xml:space="preserve">Informacja z Krajowego Rejestru Karnego </w:t>
      </w:r>
      <w:r w:rsidRPr="00992257">
        <w:rPr>
          <w:rFonts w:asciiTheme="minorHAnsi" w:hAnsiTheme="minorHAnsi" w:cstheme="minorHAnsi"/>
          <w:sz w:val="22"/>
          <w:szCs w:val="22"/>
        </w:rPr>
        <w:t>w zakresie dotyczącym podstaw wykluczenia wskazanych w art. 108 ust. 1 pkt 1,</w:t>
      </w:r>
      <w:r w:rsidR="007C492E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2 i 4 ustawy PZP - sporządzona nie wcześniej niż 6 miesięcy przed jej złożeniem.</w:t>
      </w:r>
    </w:p>
    <w:p w14:paraId="0E17CD19" w14:textId="7338C024" w:rsidR="00445D2F" w:rsidRPr="00992257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Jeżeli Wykonawca ma siedzibę lub miejsce zamieszkania poza granicami Rzeczypospolitej Polskiej, zamiast </w:t>
      </w:r>
      <w:r w:rsidR="004B1DC3" w:rsidRPr="00992257">
        <w:rPr>
          <w:rFonts w:asciiTheme="minorHAnsi" w:hAnsiTheme="minorHAnsi" w:cstheme="minorHAnsi"/>
          <w:sz w:val="22"/>
          <w:szCs w:val="22"/>
        </w:rPr>
        <w:t>informacji z Krajowego Rejestru Karnego</w:t>
      </w:r>
      <w:r w:rsidRPr="00992257">
        <w:rPr>
          <w:rFonts w:asciiTheme="minorHAnsi" w:hAnsiTheme="minorHAnsi" w:cstheme="minorHAnsi"/>
          <w:sz w:val="22"/>
          <w:szCs w:val="22"/>
        </w:rPr>
        <w:t>, o których mowa w pkt.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Pr="00992257">
        <w:rPr>
          <w:rFonts w:asciiTheme="minorHAnsi" w:hAnsiTheme="minorHAnsi" w:cstheme="minorHAnsi"/>
          <w:sz w:val="22"/>
          <w:szCs w:val="22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 </w:t>
      </w:r>
      <w:r w:rsidR="004B1DC3" w:rsidRPr="00992257">
        <w:rPr>
          <w:rFonts w:asciiTheme="minorHAnsi" w:hAnsiTheme="minorHAnsi" w:cstheme="minorHAnsi"/>
          <w:sz w:val="22"/>
          <w:szCs w:val="22"/>
        </w:rPr>
        <w:t>w zakresie o którym mowa w pkt.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="004B1DC3" w:rsidRPr="00992257">
        <w:rPr>
          <w:rFonts w:asciiTheme="minorHAnsi" w:hAnsiTheme="minorHAnsi" w:cstheme="minorHAnsi"/>
          <w:sz w:val="22"/>
          <w:szCs w:val="22"/>
        </w:rPr>
        <w:t xml:space="preserve"> - sporządzona nie wcześniej niż 6 miesięcy przed jej złożeniem.</w:t>
      </w:r>
    </w:p>
    <w:p w14:paraId="4121C2BC" w14:textId="4A469F24" w:rsidR="00445D2F" w:rsidRPr="00992257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Jeżeli w kraju, w którym </w:t>
      </w:r>
      <w:r w:rsidR="004B1DC3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ykonawca ma siedzibę lub miejsce zamieszkania, nie wydaje się dokumentów, o których mowa w pkt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="004B1DC3" w:rsidRPr="00992257">
        <w:rPr>
          <w:rFonts w:asciiTheme="minorHAnsi" w:hAnsiTheme="minorHAnsi" w:cstheme="minorHAnsi"/>
          <w:sz w:val="22"/>
          <w:szCs w:val="22"/>
        </w:rPr>
        <w:t>.1</w:t>
      </w:r>
      <w:r w:rsidRPr="00992257">
        <w:rPr>
          <w:rFonts w:asciiTheme="minorHAnsi" w:hAnsiTheme="minorHAnsi" w:cstheme="minorHAnsi"/>
          <w:sz w:val="22"/>
          <w:szCs w:val="22"/>
        </w:rPr>
        <w:t xml:space="preserve">, lub gdy dokumenty te nie odnoszą się do wszystkich przypadków </w:t>
      </w:r>
      <w:r w:rsidR="004B1DC3" w:rsidRPr="00992257">
        <w:rPr>
          <w:rFonts w:asciiTheme="minorHAnsi" w:hAnsiTheme="minorHAnsi" w:cstheme="minorHAnsi"/>
          <w:sz w:val="22"/>
          <w:szCs w:val="22"/>
        </w:rPr>
        <w:t>o których mowa w art. 108 ust. 1 pkt. 1,2 i 4</w:t>
      </w:r>
      <w:r w:rsidRPr="00992257">
        <w:rPr>
          <w:rFonts w:asciiTheme="minorHAnsi" w:hAnsiTheme="minorHAnsi" w:cstheme="minorHAnsi"/>
          <w:sz w:val="22"/>
          <w:szCs w:val="22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- sporządzona nie wcześniej niż 6 miesięcy przed ich złożeniem.</w:t>
      </w:r>
    </w:p>
    <w:p w14:paraId="43500052" w14:textId="6D33AD66" w:rsidR="00DA415F" w:rsidRPr="0099225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nie wzywa do złożenia podmiotowych środków dowodowych, jeżeli</w:t>
      </w:r>
      <w:r w:rsidR="007B70B8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ykonawca wskazał w oświadczeniu, o którym mowa w art. 125 ust. 1 ustawy PZP dane umożliwiające dostęp do tych środków</w:t>
      </w:r>
      <w:r w:rsidR="00685166" w:rsidRPr="00992257">
        <w:rPr>
          <w:rFonts w:asciiTheme="minorHAnsi" w:hAnsiTheme="minorHAnsi" w:cstheme="minorHAnsi"/>
          <w:sz w:val="22"/>
          <w:szCs w:val="22"/>
        </w:rPr>
        <w:t>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bookmarkEnd w:id="11"/>
    <w:p w14:paraId="12DEEB7E" w14:textId="464D0590" w:rsidR="00DA415F" w:rsidRPr="0099225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</w:t>
      </w:r>
      <w:r w:rsidR="00B4312F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posiada, jeżeli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ykonawca wskaże te środki oraz potwierdzi ich prawidłowość i aktualność.</w:t>
      </w:r>
    </w:p>
    <w:p w14:paraId="57073A20" w14:textId="5A5D39A3" w:rsidR="00374F55" w:rsidRPr="0099225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zakresie nieuregulowanym ustawą PZP lub niniejszą SWZ do oświadczeń i dokumentów składanych przez Wykonawcę w postępowaniu zastosowanie mają w </w:t>
      </w:r>
      <w:r w:rsidRPr="00992257">
        <w:rPr>
          <w:rFonts w:asciiTheme="minorHAnsi" w:hAnsiTheme="minorHAnsi" w:cstheme="minorHAnsi"/>
          <w:sz w:val="22"/>
          <w:szCs w:val="22"/>
        </w:rPr>
        <w:lastRenderedPageBreak/>
        <w:t xml:space="preserve">szczególności przepisy </w:t>
      </w:r>
      <w:r w:rsidR="0007451B" w:rsidRPr="00992257">
        <w:rPr>
          <w:rFonts w:asciiTheme="minorHAnsi" w:hAnsiTheme="minorHAnsi" w:cstheme="minorHAnsi"/>
          <w:sz w:val="22"/>
          <w:szCs w:val="22"/>
        </w:rPr>
        <w:t>R</w:t>
      </w:r>
      <w:r w:rsidRPr="00992257">
        <w:rPr>
          <w:rFonts w:asciiTheme="minorHAnsi" w:hAnsiTheme="minorHAnsi" w:cstheme="minorHAnsi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od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 xml:space="preserve">ykonawcy oraz </w:t>
      </w:r>
      <w:r w:rsidR="0007451B" w:rsidRPr="00992257">
        <w:rPr>
          <w:rFonts w:asciiTheme="minorHAnsi" w:hAnsiTheme="minorHAnsi" w:cstheme="minorHAnsi"/>
          <w:sz w:val="22"/>
          <w:szCs w:val="22"/>
        </w:rPr>
        <w:t>R</w:t>
      </w:r>
      <w:r w:rsidRPr="00992257">
        <w:rPr>
          <w:rFonts w:asciiTheme="minorHAnsi" w:hAnsiTheme="minorHAnsi" w:cstheme="minorHAnsi"/>
          <w:sz w:val="22"/>
          <w:szCs w:val="22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10"/>
    </w:p>
    <w:p w14:paraId="0C70AC70" w14:textId="2ECEF5E5" w:rsidR="001B571B" w:rsidRPr="00992257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2" w:name="_Toc103068771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podwykonawstwo</w:t>
      </w:r>
      <w:bookmarkEnd w:id="12"/>
    </w:p>
    <w:p w14:paraId="4A2892D2" w14:textId="646CC117" w:rsidR="008B54FE" w:rsidRPr="0099225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 (podwykonawcom). </w:t>
      </w:r>
    </w:p>
    <w:p w14:paraId="11954FEB" w14:textId="0F5A8C9E" w:rsidR="008B54FE" w:rsidRPr="0099225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92257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992257">
        <w:rPr>
          <w:rFonts w:asciiTheme="minorHAnsi" w:hAnsiTheme="minorHAnsi" w:cstheme="minorHAnsi"/>
          <w:sz w:val="22"/>
          <w:szCs w:val="22"/>
        </w:rPr>
        <w:t xml:space="preserve"> obowiązku osobistego wykonania przez Wykonawcę kluczowych części zamówienia.</w:t>
      </w:r>
    </w:p>
    <w:p w14:paraId="2827A4BE" w14:textId="2777B691" w:rsidR="008B54FE" w:rsidRPr="0099225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64876232"/>
      <w:r w:rsidRPr="00992257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Wykonawca wskazał w ofercie części zamówienia</w:t>
      </w:r>
      <w:r w:rsidRPr="00992257">
        <w:rPr>
          <w:rFonts w:asciiTheme="minorHAnsi" w:hAnsiTheme="minorHAnsi" w:cstheme="minorHAnsi"/>
          <w:sz w:val="22"/>
          <w:szCs w:val="22"/>
        </w:rPr>
        <w:t>, których wykonanie zamierza powierzyć podwykonawcom oraz podał (o ile są mu wiadome na tym etapie) nazwy (firmy) tych podwykonawców</w:t>
      </w:r>
      <w:bookmarkEnd w:id="13"/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36A397C4" w14:textId="264211B8" w:rsidR="007B70B8" w:rsidRPr="00992257" w:rsidRDefault="007B70B8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może żądać od Wykonawcy przedstawienia podmiotowych środków dowodowych, o których mowa w pkt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="00E87CA3" w:rsidRPr="00992257">
        <w:rPr>
          <w:rFonts w:asciiTheme="minorHAnsi" w:hAnsiTheme="minorHAnsi" w:cstheme="minorHAnsi"/>
          <w:sz w:val="22"/>
          <w:szCs w:val="22"/>
        </w:rPr>
        <w:t xml:space="preserve"> Rozdziału VIII</w:t>
      </w:r>
      <w:r w:rsidRPr="00992257">
        <w:rPr>
          <w:rFonts w:asciiTheme="minorHAnsi" w:hAnsiTheme="minorHAnsi" w:cstheme="minorHAnsi"/>
          <w:sz w:val="22"/>
          <w:szCs w:val="22"/>
        </w:rPr>
        <w:t xml:space="preserve">, potwierdzających, że nie zachodzą wobec tych podwykonawców podstawy wykluczenia z postępowania. </w:t>
      </w:r>
    </w:p>
    <w:p w14:paraId="4DB08F2F" w14:textId="77777777" w:rsidR="00D20184" w:rsidRPr="00B8764E" w:rsidRDefault="00D20184" w:rsidP="00D20184">
      <w:pPr>
        <w:suppressAutoHyphens w:val="0"/>
        <w:spacing w:beforeLines="50" w:before="120" w:afterLines="100" w:after="240" w:line="271" w:lineRule="auto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1110553E" w14:textId="2ADC59E8" w:rsidR="00B6260A" w:rsidRPr="00992257" w:rsidRDefault="002A2C6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4" w:name="_Toc103068772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informacja dla wykonawców wspólnie ubiegających się o udzielenie zamówienia (konsorcja)</w:t>
      </w:r>
      <w:bookmarkEnd w:id="14"/>
    </w:p>
    <w:p w14:paraId="28CB8D02" w14:textId="77777777" w:rsidR="0021528F" w:rsidRPr="00992257" w:rsidRDefault="00B6260A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5EB9B42F" w:rsidR="0021528F" w:rsidRPr="00992257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992257">
        <w:rPr>
          <w:rFonts w:asciiTheme="minorHAnsi" w:hAnsiTheme="minorHAnsi" w:cstheme="minorHAnsi"/>
          <w:sz w:val="22"/>
          <w:szCs w:val="22"/>
        </w:rPr>
        <w:t>, zgodnie z art. 58 ust. 2 ustawy PZP</w:t>
      </w:r>
      <w:r w:rsidRPr="00992257">
        <w:rPr>
          <w:rFonts w:asciiTheme="minorHAnsi" w:hAnsiTheme="minorHAnsi" w:cstheme="minorHAnsi"/>
          <w:sz w:val="22"/>
          <w:szCs w:val="22"/>
        </w:rPr>
        <w:t xml:space="preserve">.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Pełnomocnictwo winno być załączone do oferty</w:t>
      </w:r>
      <w:r w:rsidR="00D83398"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w postaci elektronicznej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01AF5" w14:textId="49D5E34D" w:rsidR="0021528F" w:rsidRPr="00992257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oświadczeni</w:t>
      </w:r>
      <w:r w:rsidR="00D83398" w:rsidRPr="00992257">
        <w:rPr>
          <w:rFonts w:asciiTheme="minorHAnsi" w:hAnsiTheme="minorHAnsi" w:cstheme="minorHAnsi"/>
          <w:sz w:val="22"/>
          <w:szCs w:val="22"/>
        </w:rPr>
        <w:t>e</w:t>
      </w:r>
      <w:r w:rsidRPr="00992257">
        <w:rPr>
          <w:rFonts w:asciiTheme="minorHAnsi" w:hAnsiTheme="minorHAnsi" w:cstheme="minorHAnsi"/>
          <w:sz w:val="22"/>
          <w:szCs w:val="22"/>
        </w:rPr>
        <w:t>, o których mowa w Rozdziale VIII pkt. 1.</w:t>
      </w:r>
      <w:r w:rsidR="002F7F97" w:rsidRPr="00992257">
        <w:rPr>
          <w:rFonts w:asciiTheme="minorHAnsi" w:hAnsiTheme="minorHAnsi" w:cstheme="minorHAnsi"/>
          <w:sz w:val="22"/>
          <w:szCs w:val="22"/>
        </w:rPr>
        <w:t>3.1</w:t>
      </w:r>
      <w:r w:rsidRPr="00992257">
        <w:rPr>
          <w:rFonts w:asciiTheme="minorHAnsi" w:hAnsiTheme="minorHAnsi" w:cstheme="minorHAnsi"/>
          <w:sz w:val="22"/>
          <w:szCs w:val="22"/>
        </w:rPr>
        <w:t xml:space="preserve"> SWZ</w:t>
      </w:r>
      <w:r w:rsidR="00D83398" w:rsidRPr="00992257">
        <w:rPr>
          <w:rFonts w:asciiTheme="minorHAnsi" w:hAnsiTheme="minorHAnsi" w:cstheme="minorHAnsi"/>
          <w:sz w:val="22"/>
          <w:szCs w:val="22"/>
        </w:rPr>
        <w:t xml:space="preserve"> - Jednolity Europejski Dokument Zamówienia (ESPD)</w:t>
      </w:r>
      <w:r w:rsidRPr="00992257">
        <w:rPr>
          <w:rFonts w:asciiTheme="minorHAnsi" w:hAnsiTheme="minorHAnsi" w:cstheme="minorHAnsi"/>
          <w:sz w:val="22"/>
          <w:szCs w:val="22"/>
        </w:rPr>
        <w:t>, składa każdy z Wykonawców</w:t>
      </w:r>
      <w:r w:rsidR="00F61006" w:rsidRPr="00992257">
        <w:rPr>
          <w:rFonts w:asciiTheme="minorHAnsi" w:hAnsiTheme="minorHAnsi" w:cstheme="minorHAnsi"/>
          <w:sz w:val="22"/>
          <w:szCs w:val="22"/>
        </w:rPr>
        <w:t xml:space="preserve"> wspólnie ubiegających się o zamówienie</w:t>
      </w:r>
      <w:r w:rsidRPr="00992257">
        <w:rPr>
          <w:rFonts w:asciiTheme="minorHAnsi" w:hAnsiTheme="minorHAnsi" w:cstheme="minorHAnsi"/>
          <w:sz w:val="22"/>
          <w:szCs w:val="22"/>
        </w:rPr>
        <w:t xml:space="preserve">. Oświadczenia te potwierdzają brak podstaw wykluczenia oraz spełnianie warunków udziału </w:t>
      </w:r>
      <w:r w:rsidR="00F61006" w:rsidRPr="00992257">
        <w:rPr>
          <w:rFonts w:asciiTheme="minorHAnsi" w:hAnsiTheme="minorHAnsi" w:cstheme="minorHAnsi"/>
          <w:sz w:val="22"/>
          <w:szCs w:val="22"/>
        </w:rPr>
        <w:t xml:space="preserve">w postępowaniu </w:t>
      </w:r>
      <w:r w:rsidRPr="00992257">
        <w:rPr>
          <w:rFonts w:asciiTheme="minorHAnsi" w:hAnsiTheme="minorHAnsi" w:cstheme="minorHAnsi"/>
          <w:sz w:val="22"/>
          <w:szCs w:val="22"/>
        </w:rPr>
        <w:t>w zakresie, w jakim każdy z Wykonawców wykazuje spełnianie warunków udziału w postępowaniu.</w:t>
      </w:r>
    </w:p>
    <w:p w14:paraId="69C7885A" w14:textId="052B04C9" w:rsidR="0021528F" w:rsidRPr="00992257" w:rsidRDefault="00D83398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E8F2D6F" w14:textId="6AC29439" w:rsidR="00047AD2" w:rsidRPr="00992257" w:rsidRDefault="00047AD2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dołączają do oferty oświadczenie, z którego wynika, które usługi wykonają poszczególni Wykonawcy.</w:t>
      </w:r>
    </w:p>
    <w:p w14:paraId="47B9F52A" w14:textId="2149F67D" w:rsidR="00880A28" w:rsidRPr="00992257" w:rsidRDefault="00880A28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5" w:name="_Toc103068773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Umocowanie do reprezentowania Wykonawcy</w:t>
      </w:r>
      <w:bookmarkEnd w:id="15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76C7BCAE" w14:textId="1A373DE3" w:rsidR="004E4338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 celu potwierdzenia, że osoba działająca w imieniu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jest umocowana do jego reprezentowania, </w:t>
      </w:r>
      <w:r w:rsidR="00997EA9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amawiający żąda od </w:t>
      </w:r>
      <w:r w:rsidR="00282090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</w:t>
      </w:r>
      <w:r w:rsidRPr="00992257">
        <w:rPr>
          <w:rFonts w:asciiTheme="minorHAnsi" w:hAnsiTheme="minorHAnsi" w:cstheme="minorHAnsi"/>
          <w:b/>
          <w:sz w:val="22"/>
          <w:szCs w:val="22"/>
        </w:rPr>
        <w:t>odpisu lub informacji z Krajowego Rejestru Sądowego</w:t>
      </w:r>
      <w:r w:rsidR="00971B07" w:rsidRPr="00992257">
        <w:rPr>
          <w:rFonts w:asciiTheme="minorHAnsi" w:hAnsiTheme="minorHAnsi" w:cstheme="minorHAnsi"/>
          <w:b/>
          <w:sz w:val="22"/>
          <w:szCs w:val="22"/>
        </w:rPr>
        <w:t>, Centralnej Ewidencji i Informacji o Działalności Gospodarczej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lub innego właściwego rejestru. </w:t>
      </w:r>
    </w:p>
    <w:p w14:paraId="5CB34D2F" w14:textId="1CCE29C8" w:rsidR="004E4338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Wykonawca nie jest zobowiązany do złożenia dokumentów, o których mowa w pkt.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1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, jeżeli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>amawiający może je uzyskać za pomocą bezpłatnych i ogólnodostępnych baz danych</w:t>
      </w:r>
      <w:r w:rsidR="005576C2" w:rsidRPr="009922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0D6286" w14:textId="45BFA398" w:rsidR="004E4338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Jeżeli w imieniu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działa osoba, której umocowanie do jego reprezentowania nie wynika z dokumentów, o których mowa w pkt.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1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>amawiający żąda od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>ykonawcy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pełnomocnictwa lub innego dokumentu potwierdzającego umocowanie do reprezentowania </w:t>
      </w:r>
      <w:r w:rsidR="004E4338" w:rsidRPr="00992257">
        <w:rPr>
          <w:rFonts w:asciiTheme="minorHAnsi" w:hAnsiTheme="minorHAnsi" w:cstheme="minorHAnsi"/>
          <w:b/>
          <w:sz w:val="22"/>
          <w:szCs w:val="22"/>
        </w:rPr>
        <w:t>W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ykonawcy. 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Pełnomocnictwo lub inny dokument potwierdzający umocowanie do reprezentowania </w:t>
      </w:r>
      <w:r w:rsidR="00282090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należy dołączyć do oferty. </w:t>
      </w:r>
    </w:p>
    <w:p w14:paraId="4D2EC007" w14:textId="45BD349C" w:rsidR="001B571B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Przepis pkt. 3 stosuje się odpowiednio do osoby działającej w imieniu </w:t>
      </w:r>
      <w:r w:rsidR="001B571B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ykonawców wspólnie ubiegających się o udzielenie zamówienia publicznego. </w:t>
      </w:r>
    </w:p>
    <w:p w14:paraId="141B1C08" w14:textId="7B8D2CEE" w:rsidR="00FE7824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Przepisy pkt. 1 –</w:t>
      </w:r>
      <w:r w:rsidR="001B571B" w:rsidRPr="009922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3 stosuje się odpowiednio do podwykonawcy </w:t>
      </w:r>
      <w:r w:rsidR="00527900" w:rsidRPr="00992257">
        <w:rPr>
          <w:rFonts w:asciiTheme="minorHAnsi" w:hAnsiTheme="minorHAnsi" w:cstheme="minorHAnsi"/>
          <w:bCs/>
          <w:sz w:val="22"/>
          <w:szCs w:val="22"/>
        </w:rPr>
        <w:t>o</w:t>
      </w:r>
      <w:r w:rsidR="00374F31" w:rsidRPr="00992257">
        <w:rPr>
          <w:rFonts w:asciiTheme="minorHAnsi" w:hAnsiTheme="minorHAnsi" w:cstheme="minorHAnsi"/>
          <w:bCs/>
          <w:sz w:val="22"/>
          <w:szCs w:val="22"/>
        </w:rPr>
        <w:t xml:space="preserve"> którym mowa w</w:t>
      </w:r>
      <w:r w:rsidR="00527900" w:rsidRPr="00992257">
        <w:rPr>
          <w:rFonts w:asciiTheme="minorHAnsi" w:hAnsiTheme="minorHAnsi" w:cstheme="minorHAnsi"/>
          <w:bCs/>
          <w:sz w:val="22"/>
          <w:szCs w:val="22"/>
        </w:rPr>
        <w:t xml:space="preserve"> Rozdziale IX SWZ</w:t>
      </w:r>
      <w:r w:rsidR="0061382C" w:rsidRPr="009922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B91FBEA" w14:textId="5E63364F" w:rsidR="00FE7824" w:rsidRPr="00992257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Pełnomocnictwa lub inne dokumenty potwierdzające umocowanie do reprezentowania </w:t>
      </w:r>
      <w:r w:rsidR="00655D7D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winny być sporządzone w postaci elektronicznej opatrzonej kwalifikowanym podpisem elektronicznym, osób udzielających pełnomocnictwa oraz dołączone do oferty. </w:t>
      </w:r>
    </w:p>
    <w:p w14:paraId="61DA4502" w14:textId="037A2849" w:rsidR="00FE7824" w:rsidRPr="00992257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Wykonawca może także dołączyć do Oferty cyfrowe odwzorowanie </w:t>
      </w:r>
      <w:r w:rsidR="0020793A" w:rsidRPr="00992257">
        <w:rPr>
          <w:rFonts w:asciiTheme="minorHAnsi" w:hAnsiTheme="minorHAnsi" w:cstheme="minorHAnsi"/>
          <w:bCs/>
          <w:sz w:val="22"/>
          <w:szCs w:val="22"/>
        </w:rPr>
        <w:t xml:space="preserve">dokumentu 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pełnomocnictwa sporządzonego pierwotnie w </w:t>
      </w:r>
      <w:r w:rsidR="00FE61DD" w:rsidRPr="00992257">
        <w:rPr>
          <w:rFonts w:asciiTheme="minorHAnsi" w:hAnsiTheme="minorHAnsi" w:cstheme="minorHAnsi"/>
          <w:bCs/>
          <w:sz w:val="22"/>
          <w:szCs w:val="22"/>
        </w:rPr>
        <w:t>postaci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61DD" w:rsidRPr="00992257">
        <w:rPr>
          <w:rFonts w:asciiTheme="minorHAnsi" w:hAnsiTheme="minorHAnsi" w:cstheme="minorHAnsi"/>
          <w:bCs/>
          <w:sz w:val="22"/>
          <w:szCs w:val="22"/>
        </w:rPr>
        <w:t>papierowej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793A" w:rsidRPr="00992257">
        <w:rPr>
          <w:rFonts w:asciiTheme="minorHAnsi" w:hAnsiTheme="minorHAnsi" w:cstheme="minorHAnsi"/>
          <w:bCs/>
          <w:sz w:val="22"/>
          <w:szCs w:val="22"/>
        </w:rPr>
        <w:t>opatrzone kwalifikowanym podpisem elektronicznym, poświadczającym zgodność cyfrowego odwzorowania z dokumentem w postaci papierowej. Poświadczenia cyfrowego odwzorowania dokumentu z dokumentem w postaci papierowej dokonuje mocodawca lub notariusz.</w:t>
      </w:r>
    </w:p>
    <w:p w14:paraId="5249CB73" w14:textId="5A7E7619" w:rsidR="00BA1DD3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6" w:name="_Toc103068774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Informacje o sposobie porozumiewania się Zamawiającego z Wykonawcami</w:t>
      </w:r>
      <w:bookmarkEnd w:id="16"/>
    </w:p>
    <w:p w14:paraId="65477810" w14:textId="012A8333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Osobą</w:t>
      </w:r>
      <w:r w:rsidRPr="00992257">
        <w:rPr>
          <w:rFonts w:asciiTheme="minorHAnsi" w:hAnsiTheme="minorHAnsi" w:cstheme="minorHAnsi"/>
          <w:sz w:val="22"/>
          <w:szCs w:val="22"/>
        </w:rPr>
        <w:t xml:space="preserve"> uprawnioną do kontaktu z Wykonawcami jest: </w:t>
      </w:r>
      <w:r w:rsidR="004A39AF" w:rsidRPr="00992257">
        <w:rPr>
          <w:rFonts w:asciiTheme="minorHAnsi" w:hAnsiTheme="minorHAnsi" w:cstheme="minorHAnsi"/>
          <w:sz w:val="20"/>
          <w:szCs w:val="20"/>
        </w:rPr>
        <w:t>Monika Klonowska – broker ubezpieczeniowy</w:t>
      </w:r>
    </w:p>
    <w:p w14:paraId="01D5E8F7" w14:textId="1C79B4B0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Postępowanie</w:t>
      </w:r>
      <w:r w:rsidRPr="00992257">
        <w:rPr>
          <w:rFonts w:asciiTheme="minorHAnsi" w:hAnsiTheme="minorHAnsi" w:cstheme="minorHAnsi"/>
          <w:sz w:val="22"/>
          <w:szCs w:val="22"/>
        </w:rPr>
        <w:t xml:space="preserve"> prowadzone jest w języku polskim w formie elektronicznej za pośrednictwem </w:t>
      </w:r>
      <w:hyperlink r:id="rId12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pod adresem</w:t>
      </w:r>
      <w:r w:rsidR="004A39AF" w:rsidRPr="00992257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_Hlk82502814"/>
      <w:r w:rsidR="004A39AF" w:rsidRPr="00992257">
        <w:fldChar w:fldCharType="begin"/>
      </w:r>
      <w:r w:rsidR="004A39AF" w:rsidRPr="00992257">
        <w:rPr>
          <w:rFonts w:asciiTheme="minorHAnsi" w:hAnsiTheme="minorHAnsi" w:cstheme="minorHAnsi"/>
        </w:rPr>
        <w:instrText xml:space="preserve"> HYPERLINK "https://platformazakupowa.pl/pn/tamal" </w:instrText>
      </w:r>
      <w:r w:rsidR="004A39AF" w:rsidRPr="00992257">
        <w:fldChar w:fldCharType="separate"/>
      </w:r>
      <w:r w:rsidR="004A39AF" w:rsidRPr="00992257">
        <w:rPr>
          <w:rStyle w:val="Hipercze"/>
          <w:rFonts w:asciiTheme="minorHAnsi" w:hAnsiTheme="minorHAnsi" w:cstheme="minorHAnsi"/>
          <w:color w:val="auto"/>
          <w:sz w:val="20"/>
          <w:szCs w:val="20"/>
        </w:rPr>
        <w:t>https://platformazakupowa.pl/pn/tamal</w:t>
      </w:r>
      <w:r w:rsidR="004A39AF" w:rsidRPr="00992257">
        <w:rPr>
          <w:rStyle w:val="Hipercze"/>
          <w:rFonts w:asciiTheme="minorHAnsi" w:hAnsiTheme="minorHAnsi" w:cstheme="minorHAnsi"/>
          <w:color w:val="auto"/>
          <w:sz w:val="20"/>
          <w:szCs w:val="20"/>
        </w:rPr>
        <w:fldChar w:fldCharType="end"/>
      </w:r>
      <w:bookmarkEnd w:id="17"/>
    </w:p>
    <w:p w14:paraId="423E66DD" w14:textId="48CD284E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</w:t>
      </w:r>
      <w:r w:rsidRPr="00992257">
        <w:rPr>
          <w:rFonts w:asciiTheme="minorHAnsi" w:hAnsiTheme="minorHAnsi" w:cstheme="minorHAnsi"/>
          <w:bCs/>
          <w:sz w:val="22"/>
          <w:szCs w:val="22"/>
        </w:rPr>
        <w:t>celu</w:t>
      </w:r>
      <w:r w:rsidRPr="00992257">
        <w:rPr>
          <w:rFonts w:asciiTheme="minorHAnsi" w:hAnsiTheme="minorHAnsi" w:cstheme="minorHAnsi"/>
          <w:sz w:val="22"/>
          <w:szCs w:val="22"/>
        </w:rPr>
        <w:t xml:space="preserve"> skrócenia czasu udzielenia odpowiedzi na pytania komunikacja między </w:t>
      </w:r>
      <w:r w:rsidR="00E359A3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amawiającym a Wykonawcami, w tym wszelkie oświadczenia, wnioski, zawiadomienia oraz informacje, przekazywane </w:t>
      </w:r>
      <w:r w:rsidR="001A1926" w:rsidRPr="00992257">
        <w:rPr>
          <w:rFonts w:asciiTheme="minorHAnsi" w:hAnsiTheme="minorHAnsi" w:cstheme="minorHAnsi"/>
          <w:sz w:val="22"/>
          <w:szCs w:val="22"/>
        </w:rPr>
        <w:t>będą</w:t>
      </w:r>
      <w:r w:rsidRPr="00992257">
        <w:rPr>
          <w:rFonts w:asciiTheme="minorHAnsi" w:hAnsiTheme="minorHAnsi" w:cstheme="minorHAnsi"/>
          <w:sz w:val="22"/>
          <w:szCs w:val="22"/>
        </w:rPr>
        <w:t xml:space="preserve"> za pośrednictwem </w:t>
      </w:r>
      <w:hyperlink r:id="rId13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i formularza „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Wyślij wiadomość do </w:t>
      </w:r>
      <w:r w:rsidR="00997EA9" w:rsidRPr="00992257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amawiającego</w:t>
      </w:r>
      <w:r w:rsidRPr="00992257">
        <w:rPr>
          <w:rFonts w:asciiTheme="minorHAnsi" w:hAnsiTheme="minorHAnsi" w:cstheme="minorHAnsi"/>
          <w:sz w:val="22"/>
          <w:szCs w:val="22"/>
        </w:rPr>
        <w:t>”. </w:t>
      </w:r>
    </w:p>
    <w:p w14:paraId="5113B6BD" w14:textId="12E94E16" w:rsidR="009D03DE" w:rsidRPr="00992257" w:rsidRDefault="009D03DE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</w:t>
      </w:r>
      <w:r w:rsidR="00E359A3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amawiającego” po których pojawi się komunikat, że wiadomość została wysłana do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7C565FB1" w14:textId="095A6720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będzie przekazywał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 xml:space="preserve">ykonawcom informacje w formie elektronicznej za pośrednictwem </w:t>
      </w:r>
      <w:hyperlink r:id="rId15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</w:t>
      </w:r>
      <w:r w:rsidRPr="00992257">
        <w:rPr>
          <w:rFonts w:asciiTheme="minorHAnsi" w:hAnsiTheme="minorHAnsi" w:cstheme="minorHAnsi"/>
          <w:sz w:val="22"/>
          <w:szCs w:val="22"/>
        </w:rPr>
        <w:lastRenderedPageBreak/>
        <w:t xml:space="preserve">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do konkretnego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ykonawcy.</w:t>
      </w:r>
    </w:p>
    <w:p w14:paraId="18A20190" w14:textId="46F71087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E359A3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p w14:paraId="1A22B952" w14:textId="6C32E334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Zamawiający, zgodnie z § 11 ust. 2 </w:t>
      </w:r>
      <w:r w:rsidR="00282090" w:rsidRPr="00992257">
        <w:rPr>
          <w:rFonts w:asciiTheme="minorHAnsi" w:hAnsiTheme="minorHAnsi" w:cstheme="minorHAnsi"/>
          <w:sz w:val="22"/>
          <w:szCs w:val="22"/>
        </w:rPr>
        <w:t>Rozporządzenia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992257">
        <w:rPr>
          <w:rFonts w:asciiTheme="minorHAnsi" w:hAnsiTheme="minorHAnsi" w:cstheme="minorHAnsi"/>
          <w:sz w:val="22"/>
          <w:szCs w:val="22"/>
        </w:rPr>
        <w:t>Prezesa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992257">
        <w:rPr>
          <w:rFonts w:asciiTheme="minorHAnsi" w:hAnsiTheme="minorHAnsi" w:cstheme="minorHAnsi"/>
          <w:sz w:val="22"/>
          <w:szCs w:val="22"/>
        </w:rPr>
        <w:t>Rady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992257">
        <w:rPr>
          <w:rFonts w:asciiTheme="minorHAnsi" w:hAnsiTheme="minorHAnsi" w:cstheme="minorHAnsi"/>
          <w:sz w:val="22"/>
          <w:szCs w:val="22"/>
        </w:rPr>
        <w:t>Ministrów</w:t>
      </w:r>
      <w:r w:rsidRPr="00992257">
        <w:rPr>
          <w:rFonts w:asciiTheme="minorHAnsi" w:hAnsiTheme="minorHAnsi" w:cstheme="minorHAnsi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>, tj.:</w:t>
      </w:r>
    </w:p>
    <w:p w14:paraId="3BF4D018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/s,</w:t>
      </w:r>
    </w:p>
    <w:p w14:paraId="7DDEC041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43FB56D6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3CD12102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67BC4D1C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Platformazakupowa.pl działa według standardu przyjętego w komunikacji sieciowej - kodowanie UTF8,</w:t>
      </w:r>
    </w:p>
    <w:p w14:paraId="45691CE8" w14:textId="39B17402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06982493" w14:textId="77777777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7D897EEE" w14:textId="6ABB7F7F" w:rsidR="009D03DE" w:rsidRPr="00992257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18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19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pod linkiem</w:t>
        </w:r>
      </w:hyperlink>
      <w:r w:rsidRPr="00992257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47F18CD5" w14:textId="2D1831A1" w:rsidR="009D03DE" w:rsidRPr="00992257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</w:t>
      </w:r>
      <w:hyperlink r:id="rId20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pod linkiem</w:t>
        </w:r>
      </w:hyperlink>
      <w:r w:rsidR="004D1216" w:rsidRPr="00992257">
        <w:rPr>
          <w:rFonts w:asciiTheme="minorHAnsi" w:hAnsiTheme="minorHAnsi" w:cstheme="minorHAnsi"/>
          <w:sz w:val="22"/>
          <w:szCs w:val="22"/>
        </w:rPr>
        <w:t xml:space="preserve">: </w:t>
      </w:r>
      <w:hyperlink r:id="rId21" w:history="1">
        <w:r w:rsidR="009F654D"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6280BE07" w14:textId="1434C5FB" w:rsidR="00BD6F0B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22" w:history="1">
        <w:r w:rsidRPr="00992257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, w szczególności za sytuację, gdy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amawiającego”). </w:t>
      </w:r>
    </w:p>
    <w:p w14:paraId="2C4111CB" w14:textId="0006F800" w:rsidR="009D03DE" w:rsidRPr="00992257" w:rsidRDefault="009D03DE" w:rsidP="00BD6F0B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992257">
        <w:rPr>
          <w:rFonts w:asciiTheme="minorHAnsi" w:hAnsiTheme="minorHAnsi" w:cstheme="minorHAnsi"/>
          <w:sz w:val="22"/>
          <w:szCs w:val="22"/>
        </w:rPr>
        <w:t>PZP</w:t>
      </w:r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7B740F2F" w14:textId="75CD1C97" w:rsidR="00BA1DD3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3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25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  <w:r w:rsidR="00B30552" w:rsidRPr="00992257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</w:t>
      </w:r>
    </w:p>
    <w:p w14:paraId="4F102C40" w14:textId="682061B0" w:rsidR="00BA1DD3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8" w:name="_Toc103068775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Sposób przygotowania ofert</w:t>
      </w:r>
      <w:bookmarkEnd w:id="18"/>
    </w:p>
    <w:p w14:paraId="63F032D0" w14:textId="36DD9A76" w:rsidR="006C65D1" w:rsidRPr="00992257" w:rsidRDefault="006C65D1" w:rsidP="00833A2E">
      <w:pPr>
        <w:pStyle w:val="Nagwek5"/>
        <w:keepLines/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bookmarkStart w:id="19" w:name="_21eeoojwb3nb"/>
      <w:bookmarkEnd w:id="19"/>
      <w:r w:rsidRPr="00992257">
        <w:rPr>
          <w:rFonts w:asciiTheme="minorHAnsi" w:eastAsia="Arial" w:hAnsiTheme="minorHAnsi" w:cstheme="minorHAnsi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992257">
        <w:rPr>
          <w:rFonts w:asciiTheme="minorHAnsi" w:eastAsia="Arial" w:hAnsiTheme="minorHAnsi" w:cstheme="minorHAnsi"/>
          <w:szCs w:val="22"/>
        </w:rPr>
        <w:t>W</w:t>
      </w:r>
      <w:r w:rsidRPr="00992257">
        <w:rPr>
          <w:rFonts w:asciiTheme="minorHAnsi" w:eastAsia="Arial" w:hAnsiTheme="minorHAnsi" w:cstheme="minorHAnsi"/>
          <w:szCs w:val="22"/>
        </w:rPr>
        <w:t>ykonawcy wspólnie ubiegający się o udzielenie zamówienia publicznego albo pod</w:t>
      </w:r>
      <w:r w:rsidR="00F959E7" w:rsidRPr="00992257">
        <w:rPr>
          <w:rFonts w:asciiTheme="minorHAnsi" w:eastAsia="Arial" w:hAnsiTheme="minorHAnsi" w:cstheme="minorHAnsi"/>
          <w:szCs w:val="22"/>
        </w:rPr>
        <w:t>w</w:t>
      </w:r>
      <w:r w:rsidRPr="00992257">
        <w:rPr>
          <w:rFonts w:asciiTheme="minorHAnsi" w:eastAsia="Arial" w:hAnsiTheme="minorHAnsi" w:cstheme="minorHAnsi"/>
          <w:szCs w:val="22"/>
        </w:rPr>
        <w:t>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</w:t>
      </w:r>
      <w:r w:rsidR="00D734C8" w:rsidRPr="00992257">
        <w:rPr>
          <w:rFonts w:asciiTheme="minorHAnsi" w:eastAsia="Arial" w:hAnsiTheme="minorHAnsi" w:cstheme="minorHAnsi"/>
          <w:szCs w:val="22"/>
        </w:rPr>
        <w:t xml:space="preserve"> upoważnioną</w:t>
      </w:r>
      <w:r w:rsidRPr="00992257">
        <w:rPr>
          <w:rFonts w:asciiTheme="minorHAnsi" w:eastAsia="Arial" w:hAnsiTheme="minorHAnsi" w:cstheme="minorHAnsi"/>
          <w:szCs w:val="22"/>
        </w:rPr>
        <w:t xml:space="preserve">/osoby </w:t>
      </w:r>
      <w:r w:rsidR="00D734C8" w:rsidRPr="00992257">
        <w:rPr>
          <w:rFonts w:asciiTheme="minorHAnsi" w:eastAsia="Arial" w:hAnsiTheme="minorHAnsi" w:cstheme="minorHAnsi"/>
          <w:szCs w:val="22"/>
        </w:rPr>
        <w:t>upoważnione</w:t>
      </w:r>
      <w:r w:rsidRPr="00992257">
        <w:rPr>
          <w:rFonts w:asciiTheme="minorHAnsi" w:eastAsia="Arial" w:hAnsiTheme="minorHAnsi" w:cstheme="minorHAnsi"/>
          <w:szCs w:val="22"/>
        </w:rPr>
        <w:t xml:space="preserve">/. </w:t>
      </w:r>
    </w:p>
    <w:p w14:paraId="2AA1F43D" w14:textId="1BA9DE00" w:rsidR="00F959E7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Oferta powinna być:</w:t>
      </w:r>
    </w:p>
    <w:p w14:paraId="50114C78" w14:textId="6E7B7A7B" w:rsidR="006C2B18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Arial" w:hAnsiTheme="minorHAnsi" w:cstheme="minorHAnsi"/>
          <w:sz w:val="22"/>
          <w:szCs w:val="22"/>
        </w:rPr>
        <w:t>sporządzona na podstawie załączników niniejszej SWZ w języku polskim</w:t>
      </w:r>
      <w:r w:rsidR="00D734C8" w:rsidRPr="00992257">
        <w:rPr>
          <w:rFonts w:asciiTheme="minorHAnsi" w:eastAsia="Arial" w:hAnsiTheme="minorHAnsi" w:cstheme="minorHAnsi"/>
          <w:sz w:val="22"/>
          <w:szCs w:val="22"/>
        </w:rPr>
        <w:t>,</w:t>
      </w:r>
    </w:p>
    <w:p w14:paraId="3995F49D" w14:textId="58CEB1A2" w:rsidR="00F959E7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6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>,</w:t>
      </w:r>
    </w:p>
    <w:p w14:paraId="5C5E35B3" w14:textId="09974865" w:rsidR="006C65D1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podpisana </w:t>
      </w:r>
      <w:hyperlink r:id="rId27">
        <w:r w:rsidR="00B5365D" w:rsidRPr="00992257">
          <w:rPr>
            <w:rFonts w:asciiTheme="minorHAnsi" w:hAnsiTheme="minorHAnsi" w:cstheme="minorHAnsi"/>
            <w:b/>
            <w:sz w:val="22"/>
            <w:szCs w:val="22"/>
            <w:u w:val="single"/>
          </w:rPr>
          <w:t>kwalifikowanym podpisem elektronicznym</w:t>
        </w:r>
      </w:hyperlink>
      <w:r w:rsidR="002F7F97" w:rsidRPr="00992257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2F7F97" w:rsidRPr="00992257">
        <w:rPr>
          <w:rFonts w:asciiTheme="minorHAnsi" w:hAnsiTheme="minorHAnsi" w:cstheme="minorHAnsi"/>
          <w:sz w:val="22"/>
          <w:szCs w:val="22"/>
        </w:rPr>
        <w:t>kwalifikowany podpis elektroniczny Wykonawca może złożyć bezpośrednio na dokumencie, który następnie przesyła do systemu)</w:t>
      </w:r>
      <w:r w:rsidRPr="00992257">
        <w:rPr>
          <w:rFonts w:asciiTheme="minorHAnsi" w:hAnsiTheme="minorHAnsi" w:cstheme="minorHAnsi"/>
          <w:sz w:val="22"/>
          <w:szCs w:val="22"/>
        </w:rPr>
        <w:t xml:space="preserve"> przez osobę</w:t>
      </w:r>
      <w:r w:rsidR="00D734C8" w:rsidRPr="00992257">
        <w:rPr>
          <w:rFonts w:asciiTheme="minorHAnsi" w:hAnsiTheme="minorHAnsi" w:cstheme="minorHAnsi"/>
          <w:sz w:val="22"/>
          <w:szCs w:val="22"/>
        </w:rPr>
        <w:t xml:space="preserve"> upoważnioną</w:t>
      </w:r>
      <w:r w:rsidRPr="00992257">
        <w:rPr>
          <w:rFonts w:asciiTheme="minorHAnsi" w:hAnsiTheme="minorHAnsi" w:cstheme="minorHAnsi"/>
          <w:sz w:val="22"/>
          <w:szCs w:val="22"/>
        </w:rPr>
        <w:t>/osoby upoważnion</w:t>
      </w:r>
      <w:r w:rsidR="00D734C8" w:rsidRPr="00992257">
        <w:rPr>
          <w:rFonts w:asciiTheme="minorHAnsi" w:hAnsiTheme="minorHAnsi" w:cstheme="minorHAnsi"/>
          <w:sz w:val="22"/>
          <w:szCs w:val="22"/>
        </w:rPr>
        <w:t>e</w:t>
      </w:r>
      <w:r w:rsidRPr="00992257">
        <w:rPr>
          <w:rFonts w:asciiTheme="minorHAnsi" w:hAnsiTheme="minorHAnsi" w:cstheme="minorHAnsi"/>
          <w:sz w:val="22"/>
          <w:szCs w:val="22"/>
        </w:rPr>
        <w:t>/</w:t>
      </w:r>
    </w:p>
    <w:p w14:paraId="253EF12A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) (UE) nr 910/2014 - od 1 lipca 2016 roku”.</w:t>
      </w:r>
    </w:p>
    <w:p w14:paraId="7AB6A9A0" w14:textId="178C030D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zewnętrzny. Zamawiający wymaga dołączenia odpowiedniej ilości plików</w:t>
      </w:r>
      <w:r w:rsidR="00F959E7" w:rsidRPr="00992257">
        <w:rPr>
          <w:rFonts w:asciiTheme="minorHAnsi" w:hAnsiTheme="minorHAnsi" w:cstheme="minorHAnsi"/>
          <w:sz w:val="22"/>
          <w:szCs w:val="22"/>
        </w:rPr>
        <w:t>,</w:t>
      </w:r>
      <w:r w:rsidRPr="00992257">
        <w:rPr>
          <w:rFonts w:asciiTheme="minorHAnsi" w:hAnsiTheme="minorHAnsi" w:cstheme="minorHAnsi"/>
          <w:sz w:val="22"/>
          <w:szCs w:val="22"/>
        </w:rPr>
        <w:t xml:space="preserve"> tj. podpisywanych plików z danymi oraz plików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4C96695E" w14:textId="5342E09E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r w:rsidR="00F959E7" w:rsidRPr="00992257">
        <w:rPr>
          <w:rFonts w:asciiTheme="minorHAnsi" w:hAnsiTheme="minorHAnsi" w:cstheme="minorHAnsi"/>
          <w:sz w:val="22"/>
          <w:szCs w:val="22"/>
        </w:rPr>
        <w:t>PZP</w:t>
      </w:r>
      <w:r w:rsidRPr="00992257">
        <w:rPr>
          <w:rFonts w:asciiTheme="minorHAnsi" w:hAnsiTheme="minorHAnsi" w:cstheme="min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0F3B493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28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r w:rsidRPr="00992257">
        <w:rPr>
          <w:rFonts w:asciiTheme="minorHAnsi" w:hAnsiTheme="minorHAnsi" w:cstheme="minorHAnsi"/>
          <w:sz w:val="22"/>
          <w:szCs w:val="22"/>
        </w:rPr>
        <w:lastRenderedPageBreak/>
        <w:t>instrukcji zamieszczonej na stronie internetowej pod adresem:</w:t>
      </w:r>
      <w:r w:rsidR="00FA56C3" w:rsidRPr="00992257">
        <w:rPr>
          <w:rFonts w:asciiTheme="minorHAnsi" w:hAnsiTheme="minorHAnsi" w:cstheme="minorHAnsi"/>
          <w:sz w:val="22"/>
          <w:szCs w:val="22"/>
        </w:rPr>
        <w:t xml:space="preserve"> </w:t>
      </w:r>
      <w:hyperlink r:id="rId29" w:history="1">
        <w:r w:rsidR="00F959E7"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7A0B1D4D" w14:textId="0BC0F86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 podlegać będzie odrzuceniu.</w:t>
      </w:r>
    </w:p>
    <w:p w14:paraId="3DD6A28C" w14:textId="2FA466D0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Dokumenty i oświadczenia składane przez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0" w:name="_Hlk64282345"/>
      <w:r w:rsidRPr="00992257">
        <w:rPr>
          <w:rFonts w:asciiTheme="minorHAnsi" w:hAnsiTheme="minorHAnsi" w:cstheme="minorHAnsi"/>
          <w:sz w:val="22"/>
          <w:szCs w:val="22"/>
        </w:rPr>
        <w:t>Zgodnie z definicją dokumentu elektronicznego z art.</w:t>
      </w:r>
      <w:r w:rsidR="009F4EB6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3 ust</w:t>
      </w:r>
      <w:r w:rsidR="009F4EB6" w:rsidRPr="00992257">
        <w:rPr>
          <w:rFonts w:asciiTheme="minorHAnsi" w:hAnsiTheme="minorHAnsi" w:cstheme="minorHAnsi"/>
          <w:sz w:val="22"/>
          <w:szCs w:val="22"/>
        </w:rPr>
        <w:t>.</w:t>
      </w:r>
      <w:r w:rsidRPr="00992257">
        <w:rPr>
          <w:rFonts w:asciiTheme="minorHAnsi" w:hAnsiTheme="minorHAnsi" w:cstheme="minorHAnsi"/>
          <w:sz w:val="22"/>
          <w:szCs w:val="22"/>
        </w:rPr>
        <w:t xml:space="preserve"> 2 Ustawy o informatyzacji działalności podmiotów realizujących zadania publiczne</w:t>
      </w:r>
      <w:r w:rsidR="009F4EB6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B5EC3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(Dz. U. z 2020 r. poz. 346</w:t>
      </w:r>
      <w:r w:rsidR="004851E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ze </w:t>
      </w:r>
      <w:proofErr w:type="spellStart"/>
      <w:r w:rsidR="004851E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zm</w:t>
      </w:r>
      <w:proofErr w:type="spellEnd"/>
      <w:r w:rsidR="002B5EC3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)</w:t>
      </w:r>
      <w:r w:rsidRPr="00992257">
        <w:rPr>
          <w:rFonts w:asciiTheme="minorHAnsi" w:hAnsiTheme="minorHAnsi" w:cstheme="minorHAnsi"/>
          <w:sz w:val="22"/>
          <w:szCs w:val="22"/>
        </w:rPr>
        <w:t xml:space="preserve">, opatrzenie pliku zawierającego skompresowane dane kwalifikowanym podpisem elektronicznym jest jednoznaczne z podpisaniem oryginału dokumentu, z wyjątkiem kopii poświadczonych odpowiednio przez innego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>Rozszerzenia plików wykorzystywanych przez Wykonawców powinny być zgodne z</w:t>
      </w:r>
      <w:r w:rsidRPr="00992257">
        <w:rPr>
          <w:rFonts w:asciiTheme="minorHAnsi" w:hAnsiTheme="minorHAnsi" w:cstheme="minorHAnsi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.xls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.jpg (.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) </w:t>
      </w:r>
      <w:r w:rsidRPr="00992257">
        <w:rPr>
          <w:rFonts w:asciiTheme="minorHAnsi" w:hAnsiTheme="minorHAnsi" w:cstheme="minorHAnsi"/>
          <w:b/>
          <w:sz w:val="22"/>
          <w:szCs w:val="22"/>
          <w:u w:val="single"/>
        </w:rPr>
        <w:t>ze szczególnym wskazaniem na .pdf</w:t>
      </w:r>
    </w:p>
    <w:p w14:paraId="311CB3F3" w14:textId="4258A000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rozszerzeń:</w:t>
      </w:r>
      <w:r w:rsidR="00F959E7" w:rsidRPr="0099225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.zip</w:t>
      </w:r>
      <w:r w:rsidR="00F959E7" w:rsidRPr="00992257">
        <w:rPr>
          <w:rFonts w:asciiTheme="minorHAnsi" w:hAnsiTheme="minorHAnsi" w:cstheme="minorHAnsi"/>
          <w:sz w:val="22"/>
          <w:szCs w:val="22"/>
        </w:rPr>
        <w:t xml:space="preserve"> lub </w:t>
      </w:r>
      <w:r w:rsidRPr="00992257">
        <w:rPr>
          <w:rFonts w:asciiTheme="minorHAnsi" w:hAnsiTheme="minorHAnsi" w:cstheme="minorHAnsi"/>
          <w:sz w:val="22"/>
          <w:szCs w:val="22"/>
        </w:rPr>
        <w:t>.7Z</w:t>
      </w:r>
      <w:r w:rsidR="00F959E7" w:rsidRPr="00992257">
        <w:rPr>
          <w:rFonts w:asciiTheme="minorHAnsi" w:hAnsiTheme="minorHAnsi" w:cstheme="minorHAnsi"/>
          <w:sz w:val="22"/>
          <w:szCs w:val="22"/>
        </w:rPr>
        <w:t>.</w:t>
      </w:r>
    </w:p>
    <w:p w14:paraId="3530499E" w14:textId="5CFEEEF9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Wśród rozszerzeń powszechnych a </w:t>
      </w:r>
      <w:r w:rsidRPr="00992257">
        <w:rPr>
          <w:rFonts w:asciiTheme="minorHAnsi" w:hAnsiTheme="minorHAnsi" w:cstheme="minorHAnsi"/>
          <w:b/>
          <w:sz w:val="22"/>
          <w:szCs w:val="22"/>
        </w:rPr>
        <w:t>niewystępujących</w:t>
      </w:r>
      <w:r w:rsidRPr="00992257">
        <w:rPr>
          <w:rFonts w:asciiTheme="minorHAnsi" w:hAnsiTheme="minorHAnsi" w:cstheme="minorHAnsi"/>
          <w:sz w:val="22"/>
          <w:szCs w:val="22"/>
        </w:rPr>
        <w:t xml:space="preserve"> w Rozporządzeniu KRI występują: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. </w:t>
      </w:r>
      <w:r w:rsidRPr="00992257">
        <w:rPr>
          <w:rFonts w:asciiTheme="minorHAnsi" w:hAnsiTheme="minorHAnsi" w:cstheme="minorHAnsi"/>
          <w:b/>
          <w:sz w:val="22"/>
          <w:szCs w:val="22"/>
        </w:rPr>
        <w:t>Dokumenty złożone w takich plikach zostaną uznane za złożone nieskutecznie.</w:t>
      </w:r>
    </w:p>
    <w:p w14:paraId="4A7AAEBD" w14:textId="02947774" w:rsidR="00F959E7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przypadku stosowania przez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ykonawcę kwalifikowanego podpisu elektronicznego:</w:t>
      </w:r>
    </w:p>
    <w:p w14:paraId="62516723" w14:textId="1C6CD397" w:rsidR="00F959E7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zaleca, w miarę możliwości, 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992257">
        <w:rPr>
          <w:rFonts w:asciiTheme="minorHAnsi" w:hAnsiTheme="minorHAnsi" w:cstheme="minorHAnsi"/>
          <w:b/>
          <w:sz w:val="22"/>
          <w:szCs w:val="22"/>
        </w:rPr>
        <w:t>PAdES</w:t>
      </w:r>
      <w:proofErr w:type="spellEnd"/>
      <w:r w:rsidRPr="0099225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6A7B741" w14:textId="77777777" w:rsidR="00F959E7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Pliki w innych formatach niż PDF 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Pr="00992257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Pr="00992257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Pr="00992257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16A24DA7" w14:textId="5311383F" w:rsidR="006C65D1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6B89BB15" w14:textId="03889CE1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>Zamawiający zaleca aby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w przypadku podpisywania pliku przez kilka osób, stosować podpisy tego samego rodzaju.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DB1668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zaleca</w:t>
      </w:r>
      <w:r w:rsidR="00E87CA3" w:rsidRPr="00992257">
        <w:rPr>
          <w:rFonts w:asciiTheme="minorHAnsi" w:hAnsiTheme="minorHAnsi" w:cstheme="minorHAnsi"/>
          <w:sz w:val="22"/>
          <w:szCs w:val="22"/>
        </w:rPr>
        <w:t>,</w:t>
      </w:r>
      <w:r w:rsidRPr="00992257">
        <w:rPr>
          <w:rFonts w:asciiTheme="minorHAnsi" w:hAnsiTheme="minorHAnsi" w:cstheme="minorHAnsi"/>
          <w:sz w:val="22"/>
          <w:szCs w:val="22"/>
        </w:rPr>
        <w:t xml:space="preserve"> aby </w:t>
      </w:r>
      <w:r w:rsidRPr="00992257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79CB7CB" w14:textId="64659615" w:rsidR="000C1F5E" w:rsidRPr="00992257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</w:t>
      </w:r>
      <w:r w:rsidRPr="00992257">
        <w:rPr>
          <w:rFonts w:asciiTheme="minorHAnsi" w:hAnsiTheme="minorHAnsi" w:cstheme="minorHAnsi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 xml:space="preserve">ykonawcy, </w:t>
      </w:r>
      <w:bookmarkStart w:id="21" w:name="_Hlk64731686"/>
      <w:r w:rsidR="00655D7D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ykonawców wspólnie ubiegających się o udzielenie zamówienia publicznego lub podwykonawcy,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1"/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7931E545" w14:textId="41F28E55" w:rsidR="000C1F5E" w:rsidRPr="00992257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>W przypadku gdy podmiotowe środki dowodowe, inne dokumenty lub dokumenty potwierdzające umocowanie do reprezentowania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zostały wystawione przez upoważnione podmioty jako dokument w postaci papierowej, przekazuje się </w:t>
      </w:r>
      <w:r w:rsidRPr="00992257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tego dokumentu opatrzone kwalifikowanym podpisem elektronicznym,  poświadczające zgodność cyfrowego odwzorowania z dokumentem w postaci papierowej.</w:t>
      </w:r>
    </w:p>
    <w:p w14:paraId="29DF5AE2" w14:textId="77777777" w:rsidR="000C1F5E" w:rsidRPr="00992257" w:rsidRDefault="000C1F5E" w:rsidP="00833A2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Poświadczenia zgodności cyfrowego odwzorowania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dokumentem w postaci papierowej, dokonuje w przypadku:</w:t>
      </w:r>
    </w:p>
    <w:p w14:paraId="4BAAAC95" w14:textId="16213E41" w:rsidR="000C1F5E" w:rsidRPr="00992257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ykonawca, </w:t>
      </w:r>
      <w:r w:rsidR="00655D7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ykonawca wspólnie ubiegający się o udzielenie zamówienia</w:t>
      </w:r>
      <w:r w:rsidR="00374F31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lub podwykonawca, w zakresie podmiotowych środków dowodowych lub dokumentów potwierdzających umocowanie do reprezentowania, które każdego z nich dotyczą;</w:t>
      </w:r>
    </w:p>
    <w:p w14:paraId="31A7105F" w14:textId="77777777" w:rsidR="000C1F5E" w:rsidRPr="00992257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992257" w:rsidRDefault="000C1F5E" w:rsidP="00833A2E">
      <w:pPr>
        <w:numPr>
          <w:ilvl w:val="0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Przez </w:t>
      </w:r>
      <w:r w:rsidRPr="00992257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F9367E5" w14:textId="3889F056" w:rsidR="00BA1DD3" w:rsidRPr="00992257" w:rsidRDefault="004E4D7B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2" w:name="_Toc103068776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 xml:space="preserve">Sposób oraz termin składania </w:t>
      </w:r>
      <w:r w:rsidR="007B1206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ofert</w:t>
      </w:r>
      <w:bookmarkEnd w:id="22"/>
    </w:p>
    <w:p w14:paraId="67B268A3" w14:textId="39B9268F" w:rsidR="00231420" w:rsidRPr="00992257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Ofertę wraz z wymaganymi dokumentami należy </w:t>
      </w:r>
      <w:r w:rsidR="001E6A70" w:rsidRPr="00992257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1E6A70" w:rsidRPr="00992257">
        <w:rPr>
          <w:rFonts w:asciiTheme="minorHAnsi" w:hAnsiTheme="minorHAnsi" w:cstheme="minorHAnsi"/>
          <w:b/>
          <w:bCs/>
          <w:sz w:val="22"/>
          <w:szCs w:val="22"/>
        </w:rPr>
        <w:t>Formularzu składania oferty</w:t>
      </w:r>
      <w:r w:rsidR="001E6A70" w:rsidRPr="00992257">
        <w:rPr>
          <w:rFonts w:asciiTheme="minorHAnsi" w:hAnsiTheme="minorHAnsi" w:cstheme="minorHAnsi"/>
          <w:sz w:val="22"/>
          <w:szCs w:val="22"/>
        </w:rPr>
        <w:t xml:space="preserve"> dostępnym </w:t>
      </w:r>
      <w:r w:rsidRPr="00992257">
        <w:rPr>
          <w:rFonts w:asciiTheme="minorHAnsi" w:hAnsiTheme="minorHAnsi" w:cstheme="minorHAnsi"/>
          <w:sz w:val="22"/>
          <w:szCs w:val="22"/>
        </w:rPr>
        <w:t xml:space="preserve">na </w:t>
      </w:r>
      <w:hyperlink r:id="rId30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w myśl ustawy PZP na stronie internetowej prowadzonego postępowania  do </w:t>
      </w:r>
      <w:r w:rsidRPr="009F6B7A">
        <w:rPr>
          <w:rFonts w:asciiTheme="minorHAnsi" w:hAnsiTheme="minorHAnsi" w:cstheme="minorHAnsi"/>
          <w:sz w:val="22"/>
          <w:szCs w:val="22"/>
        </w:rPr>
        <w:t xml:space="preserve">dnia </w:t>
      </w:r>
      <w:r w:rsidR="00CA008A" w:rsidRPr="00AC1C0A">
        <w:rPr>
          <w:rFonts w:asciiTheme="minorHAnsi" w:hAnsiTheme="minorHAnsi" w:cstheme="minorHAnsi"/>
          <w:sz w:val="22"/>
          <w:szCs w:val="22"/>
          <w:highlight w:val="yellow"/>
        </w:rPr>
        <w:t>0</w:t>
      </w:r>
      <w:r w:rsidR="00F54117" w:rsidRPr="00AC1C0A">
        <w:rPr>
          <w:rFonts w:asciiTheme="minorHAnsi" w:hAnsiTheme="minorHAnsi" w:cstheme="minorHAnsi"/>
          <w:sz w:val="22"/>
          <w:szCs w:val="22"/>
          <w:highlight w:val="yellow"/>
        </w:rPr>
        <w:t>5</w:t>
      </w:r>
      <w:r w:rsidR="00CA008A" w:rsidRPr="00AC1C0A">
        <w:rPr>
          <w:rFonts w:asciiTheme="minorHAnsi" w:hAnsiTheme="minorHAnsi" w:cstheme="minorHAnsi"/>
          <w:sz w:val="22"/>
          <w:szCs w:val="22"/>
          <w:highlight w:val="yellow"/>
        </w:rPr>
        <w:t>.0</w:t>
      </w:r>
      <w:r w:rsidR="00AC085B" w:rsidRPr="00AC1C0A">
        <w:rPr>
          <w:rFonts w:asciiTheme="minorHAnsi" w:hAnsiTheme="minorHAnsi" w:cstheme="minorHAnsi"/>
          <w:sz w:val="22"/>
          <w:szCs w:val="22"/>
          <w:highlight w:val="yellow"/>
        </w:rPr>
        <w:t>7</w:t>
      </w:r>
      <w:r w:rsidR="00CA008A" w:rsidRPr="00AC1C0A">
        <w:rPr>
          <w:rFonts w:asciiTheme="minorHAnsi" w:hAnsiTheme="minorHAnsi" w:cstheme="minorHAnsi"/>
          <w:sz w:val="22"/>
          <w:szCs w:val="22"/>
          <w:highlight w:val="yellow"/>
        </w:rPr>
        <w:t>.2022</w:t>
      </w:r>
      <w:r w:rsidR="00CA008A" w:rsidRPr="009F6B7A">
        <w:rPr>
          <w:rFonts w:asciiTheme="minorHAnsi" w:hAnsiTheme="minorHAnsi" w:cstheme="minorHAnsi"/>
          <w:sz w:val="22"/>
          <w:szCs w:val="22"/>
        </w:rPr>
        <w:t xml:space="preserve"> roku</w:t>
      </w:r>
      <w:r w:rsidRPr="009F6B7A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377679" w:rsidRPr="009F6B7A">
        <w:rPr>
          <w:rFonts w:asciiTheme="minorHAnsi" w:hAnsiTheme="minorHAnsi" w:cstheme="minorHAnsi"/>
          <w:sz w:val="22"/>
          <w:szCs w:val="22"/>
        </w:rPr>
        <w:t>10:00</w:t>
      </w:r>
    </w:p>
    <w:p w14:paraId="4265326C" w14:textId="77777777" w:rsidR="00231420" w:rsidRPr="00992257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Do oferty należy dołączyć wszystkie wymagane w SWZ dokumenty.</w:t>
      </w:r>
    </w:p>
    <w:p w14:paraId="3F4C20B7" w14:textId="673B6C09" w:rsidR="00231420" w:rsidRPr="00992257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Po wypełnieniu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Formularza składania oferty</w:t>
      </w:r>
      <w:r w:rsidRPr="00992257">
        <w:rPr>
          <w:rFonts w:asciiTheme="minorHAnsi" w:hAnsiTheme="minorHAnsi" w:cstheme="minorHAnsi"/>
          <w:sz w:val="22"/>
          <w:szCs w:val="22"/>
        </w:rPr>
        <w:t xml:space="preserve"> i dołączeni</w:t>
      </w:r>
      <w:r w:rsidR="001E6A70" w:rsidRPr="00992257">
        <w:rPr>
          <w:rFonts w:asciiTheme="minorHAnsi" w:hAnsiTheme="minorHAnsi" w:cstheme="minorHAnsi"/>
          <w:sz w:val="22"/>
          <w:szCs w:val="22"/>
        </w:rPr>
        <w:t>u</w:t>
      </w:r>
      <w:r w:rsidRPr="00992257">
        <w:rPr>
          <w:rFonts w:asciiTheme="minorHAnsi" w:hAnsiTheme="minorHAnsi" w:cstheme="minorHAnsi"/>
          <w:sz w:val="22"/>
          <w:szCs w:val="22"/>
        </w:rPr>
        <w:t xml:space="preserve">  wszystkich wymaganych załączników należy kliknąć przycisk </w:t>
      </w:r>
      <w:r w:rsidR="001E6A70" w:rsidRPr="00992257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rzejdź do podsumowania</w:t>
      </w:r>
      <w:r w:rsidR="001E6A70" w:rsidRPr="0099225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68FF142" w14:textId="2C27C929" w:rsidR="00231420" w:rsidRPr="003357A4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kwalifikowanym. W procesie składania oferty za pośrednictwem </w:t>
      </w:r>
      <w:hyperlink r:id="rId31" w:history="1">
        <w:r w:rsidRPr="003357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3357A4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2" w:history="1">
        <w:r w:rsidRPr="003357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3357A4">
        <w:rPr>
          <w:rFonts w:asciiTheme="minorHAnsi" w:hAnsiTheme="minorHAnsi" w:cstheme="minorHAnsi"/>
          <w:sz w:val="22"/>
          <w:szCs w:val="22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elektronicznym.</w:t>
      </w:r>
    </w:p>
    <w:p w14:paraId="5081C462" w14:textId="09967EE6" w:rsidR="005721DA" w:rsidRPr="003357A4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Ścieżka dla złożenia podpisu kwalifikowanego została wskazana w Instrukcji, o której mowa w pkt. </w:t>
      </w:r>
      <w:r w:rsidR="00BD6F0B" w:rsidRPr="003357A4">
        <w:rPr>
          <w:rFonts w:asciiTheme="minorHAnsi" w:hAnsiTheme="minorHAnsi" w:cstheme="minorHAnsi"/>
          <w:sz w:val="22"/>
          <w:szCs w:val="22"/>
        </w:rPr>
        <w:t>8</w:t>
      </w:r>
      <w:r w:rsidRPr="003357A4">
        <w:rPr>
          <w:rFonts w:asciiTheme="minorHAnsi" w:hAnsiTheme="minorHAnsi" w:cstheme="minorHAnsi"/>
          <w:sz w:val="22"/>
          <w:szCs w:val="22"/>
        </w:rPr>
        <w:t xml:space="preserve"> niniejszego Rozdziału.</w:t>
      </w:r>
    </w:p>
    <w:p w14:paraId="50184988" w14:textId="2B906571" w:rsidR="005721DA" w:rsidRPr="003357A4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Kliknięcie przycisku </w:t>
      </w:r>
      <w:r w:rsidRPr="003357A4">
        <w:rPr>
          <w:rFonts w:asciiTheme="minorHAnsi" w:hAnsiTheme="minorHAnsi" w:cstheme="minorHAnsi"/>
          <w:b/>
          <w:bCs/>
          <w:sz w:val="22"/>
          <w:szCs w:val="22"/>
        </w:rPr>
        <w:t>Złóż ofertę</w:t>
      </w:r>
      <w:r w:rsidRPr="003357A4">
        <w:rPr>
          <w:rFonts w:asciiTheme="minorHAnsi" w:hAnsiTheme="minorHAnsi" w:cstheme="minorHAnsi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3357A4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oferty</w:t>
      </w:r>
      <w:r w:rsidR="005721DA" w:rsidRPr="003357A4">
        <w:rPr>
          <w:rFonts w:asciiTheme="minorHAnsi" w:hAnsiTheme="minorHAnsi" w:cstheme="minorHAnsi"/>
          <w:sz w:val="22"/>
          <w:szCs w:val="22"/>
        </w:rPr>
        <w:t>. Po</w:t>
      </w:r>
      <w:r w:rsidRPr="003357A4">
        <w:rPr>
          <w:rFonts w:asciiTheme="minorHAnsi" w:hAnsiTheme="minorHAnsi" w:cstheme="minorHAnsi"/>
          <w:sz w:val="22"/>
          <w:szCs w:val="22"/>
        </w:rPr>
        <w:t xml:space="preserve"> kliknięci</w:t>
      </w:r>
      <w:r w:rsidR="005721DA" w:rsidRPr="003357A4">
        <w:rPr>
          <w:rFonts w:asciiTheme="minorHAnsi" w:hAnsiTheme="minorHAnsi" w:cstheme="minorHAnsi"/>
          <w:sz w:val="22"/>
          <w:szCs w:val="22"/>
        </w:rPr>
        <w:t>u</w:t>
      </w:r>
      <w:r w:rsidRPr="003357A4">
        <w:rPr>
          <w:rFonts w:asciiTheme="minorHAnsi" w:hAnsiTheme="minorHAnsi" w:cstheme="minorHAnsi"/>
          <w:sz w:val="22"/>
          <w:szCs w:val="22"/>
        </w:rPr>
        <w:t xml:space="preserve"> przycisku </w:t>
      </w:r>
      <w:r w:rsidRPr="003357A4">
        <w:rPr>
          <w:rFonts w:asciiTheme="minorHAnsi" w:hAnsiTheme="minorHAnsi" w:cstheme="minorHAnsi"/>
          <w:b/>
          <w:bCs/>
          <w:sz w:val="22"/>
          <w:szCs w:val="22"/>
        </w:rPr>
        <w:t>Złóż ofert</w:t>
      </w:r>
      <w:r w:rsidR="005721DA" w:rsidRPr="003357A4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3357A4">
        <w:rPr>
          <w:rFonts w:asciiTheme="minorHAnsi" w:hAnsiTheme="minorHAnsi" w:cstheme="minorHAnsi"/>
          <w:sz w:val="22"/>
          <w:szCs w:val="22"/>
        </w:rPr>
        <w:t xml:space="preserve"> i </w:t>
      </w:r>
      <w:r w:rsidR="005721DA" w:rsidRPr="003357A4">
        <w:rPr>
          <w:rFonts w:asciiTheme="minorHAnsi" w:hAnsiTheme="minorHAnsi" w:cstheme="minorHAnsi"/>
          <w:sz w:val="22"/>
          <w:szCs w:val="22"/>
        </w:rPr>
        <w:t xml:space="preserve">wyświetla </w:t>
      </w:r>
      <w:r w:rsidRPr="003357A4">
        <w:rPr>
          <w:rFonts w:asciiTheme="minorHAnsi" w:hAnsiTheme="minorHAnsi" w:cstheme="minorHAnsi"/>
          <w:sz w:val="22"/>
          <w:szCs w:val="22"/>
        </w:rPr>
        <w:t>się komunikat, że oferta została zaszyfrowana i złożona.</w:t>
      </w:r>
    </w:p>
    <w:p w14:paraId="11AF9AE7" w14:textId="0D5D06CF" w:rsidR="00BA1DD3" w:rsidRPr="003357A4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3" w:history="1">
        <w:r w:rsidRPr="003357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5EB96795" w14:textId="42E8EA18" w:rsidR="00BA1DD3" w:rsidRPr="003357A4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3" w:name="_Toc103068777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Opis sposobu obliczenia ceny ofert</w:t>
      </w:r>
      <w:bookmarkEnd w:id="23"/>
    </w:p>
    <w:p w14:paraId="2010C40E" w14:textId="23BEC2FF" w:rsidR="0025696F" w:rsidRPr="00087075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7075">
        <w:rPr>
          <w:rFonts w:asciiTheme="minorHAnsi" w:hAnsiTheme="minorHAnsi" w:cstheme="minorHAnsi"/>
          <w:sz w:val="22"/>
          <w:szCs w:val="22"/>
        </w:rPr>
        <w:t xml:space="preserve">Wykonawca zobowiązany jest wypełnić odpowiednio do CZĘŚCI, na które składana jest oferta, </w:t>
      </w:r>
      <w:r w:rsidRPr="0008707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004C6" w:rsidRPr="00087075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D004C6" w:rsidRPr="00087075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ormularz ofertowy.</w:t>
      </w:r>
    </w:p>
    <w:p w14:paraId="3E3E0F40" w14:textId="77777777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ubezpieczenia, a następnie przemnożona przez liczbę lat ubezpieczenia. 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Składki/stawki/ceny podane w formularzu ofertowym traktowane będą jako składki/stawki/ceny ostateczne.</w:t>
      </w:r>
    </w:p>
    <w:p w14:paraId="24466082" w14:textId="23223D48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lastRenderedPageBreak/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E61D5E2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Wykonawca zobowiązany jest do takiego ustalenia ceny oferty by była ona adekwatna do </w:t>
      </w:r>
      <w:r w:rsidRPr="00087075">
        <w:rPr>
          <w:rFonts w:asciiTheme="minorHAnsi" w:hAnsiTheme="minorHAnsi" w:cstheme="minorHAnsi"/>
          <w:sz w:val="22"/>
          <w:szCs w:val="22"/>
        </w:rPr>
        <w:t xml:space="preserve">zaoferowanego zakresu ubezpieczenia/ ryzyka określonego odpowiednio do </w:t>
      </w:r>
      <w:r w:rsidR="00217D7C" w:rsidRPr="00087075">
        <w:rPr>
          <w:rFonts w:asciiTheme="minorHAnsi" w:hAnsiTheme="minorHAnsi" w:cstheme="minorHAnsi"/>
          <w:sz w:val="22"/>
          <w:szCs w:val="22"/>
        </w:rPr>
        <w:t>CZĘŚCI</w:t>
      </w:r>
      <w:r w:rsidRPr="00087075">
        <w:rPr>
          <w:rFonts w:asciiTheme="minorHAnsi" w:hAnsiTheme="minorHAnsi" w:cstheme="minorHAnsi"/>
          <w:sz w:val="22"/>
          <w:szCs w:val="22"/>
        </w:rPr>
        <w:t>, na który składana jest oferta, w </w:t>
      </w:r>
      <w:r w:rsidRPr="00087075">
        <w:rPr>
          <w:rFonts w:asciiTheme="minorHAnsi" w:hAnsiTheme="minorHAnsi" w:cstheme="minorHAnsi"/>
          <w:b/>
          <w:sz w:val="22"/>
          <w:szCs w:val="22"/>
        </w:rPr>
        <w:t xml:space="preserve">Załączniku nr 4 SWZ </w:t>
      </w:r>
      <w:r w:rsidRPr="00087075">
        <w:rPr>
          <w:rFonts w:asciiTheme="minorHAnsi" w:hAnsiTheme="minorHAnsi" w:cstheme="minorHAnsi"/>
          <w:sz w:val="22"/>
          <w:szCs w:val="22"/>
        </w:rPr>
        <w:t>oraz</w:t>
      </w:r>
      <w:r w:rsidRPr="003357A4">
        <w:rPr>
          <w:rFonts w:asciiTheme="minorHAnsi" w:hAnsiTheme="minorHAnsi" w:cstheme="minorHAnsi"/>
          <w:sz w:val="22"/>
          <w:szCs w:val="22"/>
        </w:rPr>
        <w:t xml:space="preserve"> sposobu płatności określonego dla dane</w:t>
      </w:r>
      <w:r w:rsidR="00217D7C" w:rsidRPr="003357A4">
        <w:rPr>
          <w:rFonts w:asciiTheme="minorHAnsi" w:hAnsiTheme="minorHAnsi" w:cstheme="minorHAnsi"/>
          <w:sz w:val="22"/>
          <w:szCs w:val="22"/>
        </w:rPr>
        <w:t>j CZĘŚCI</w:t>
      </w:r>
      <w:r w:rsidRPr="003357A4">
        <w:rPr>
          <w:rFonts w:asciiTheme="minorHAnsi" w:hAnsiTheme="minorHAnsi" w:cstheme="minorHAnsi"/>
          <w:sz w:val="22"/>
          <w:szCs w:val="22"/>
        </w:rPr>
        <w:t>.</w:t>
      </w:r>
      <w:r w:rsidR="002F7F97" w:rsidRPr="003357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47874" w14:textId="77777777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Zamawiający nie przewiduje możliwości udzielenia zaliczki.</w:t>
      </w:r>
    </w:p>
    <w:p w14:paraId="539DDDDF" w14:textId="77777777" w:rsidR="0025696F" w:rsidRPr="003357A4" w:rsidRDefault="0025696F" w:rsidP="00833A2E">
      <w:pPr>
        <w:pStyle w:val="Tekstpodstawowy221"/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57A4">
        <w:rPr>
          <w:rFonts w:asciiTheme="minorHAnsi" w:hAnsiTheme="minorHAnsi" w:cstheme="minorHAnsi"/>
          <w:b/>
          <w:sz w:val="22"/>
          <w:szCs w:val="22"/>
        </w:rPr>
        <w:t>Ewentualne upusty cenowe muszą zawierać się w oferowanej cenie.</w:t>
      </w:r>
    </w:p>
    <w:p w14:paraId="4259DC4D" w14:textId="7B4E7A0C" w:rsidR="00BA1DD3" w:rsidRPr="003357A4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4" w:name="_Toc103068778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4"/>
    </w:p>
    <w:p w14:paraId="3D8C9D30" w14:textId="22CE978C" w:rsidR="00FF256E" w:rsidRDefault="00C04C2F" w:rsidP="00FF256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Zamawiający określa poufny charakter informacji zawartej w części:</w:t>
      </w:r>
    </w:p>
    <w:p w14:paraId="775F043E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 Charakterystyka Zamawiającego</w:t>
      </w:r>
    </w:p>
    <w:p w14:paraId="1332AF85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1a do Charakterystyki Zamawiającego - - Plan usytuowania budynków przy. ul. Żurawiej</w:t>
      </w:r>
    </w:p>
    <w:p w14:paraId="1A84317F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1b do Charakterystyki Zamawiającego - Plan budynków przy ul. Skłodowskiej</w:t>
      </w:r>
    </w:p>
    <w:p w14:paraId="5C6BA71B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1c do Charakterystyki Zamawiającego - Opis budynków</w:t>
      </w:r>
    </w:p>
    <w:p w14:paraId="28F6AC13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1d do Charakterystyki Zamawiającego - Szkodowość </w:t>
      </w:r>
    </w:p>
    <w:p w14:paraId="1A3412A5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2 Opis Przedmiotu Zamówienia</w:t>
      </w:r>
    </w:p>
    <w:p w14:paraId="5ABC1131" w14:textId="000560BA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3a Wzór umowy dla Części 1</w:t>
      </w:r>
    </w:p>
    <w:p w14:paraId="7BEC690D" w14:textId="1871BF29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3b Wzór umowy dla Części 2</w:t>
      </w:r>
    </w:p>
    <w:p w14:paraId="37871946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4 Formularz ofertowy </w:t>
      </w:r>
    </w:p>
    <w:p w14:paraId="5D3FE5C8" w14:textId="77777777" w:rsidR="00DF3D1A" w:rsidRPr="003357A4" w:rsidRDefault="00DF3D1A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  <w:lang w:eastAsia="pl-PL"/>
        </w:rPr>
      </w:pPr>
    </w:p>
    <w:p w14:paraId="466AC015" w14:textId="06A6BA44" w:rsidR="00C04C2F" w:rsidRPr="003357A4" w:rsidRDefault="00C04C2F" w:rsidP="002B0F80">
      <w:pPr>
        <w:pStyle w:val="Default"/>
        <w:numPr>
          <w:ilvl w:val="8"/>
          <w:numId w:val="20"/>
        </w:numPr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3357A4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w formie elektronicznej za pośrednictwem Platformy zakupowej </w:t>
      </w:r>
      <w:r w:rsidR="00DE6AD5" w:rsidRPr="003357A4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https://platformazakupowa.pl/pn/tamal </w:t>
      </w:r>
      <w:r w:rsidRPr="003357A4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zakładce niniejszego postępowania. We wniosku o przesłanie Części poufnej SWZ należy podać dane dotyczące Wnioskodawcy i Wykonawcy, którego reprezentuje powołując się na numer przedmiotowego postępowania. </w:t>
      </w:r>
    </w:p>
    <w:p w14:paraId="0F04256D" w14:textId="26B2FDD3" w:rsidR="00BA1DD3" w:rsidRPr="003357A4" w:rsidRDefault="00231420" w:rsidP="00833A2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Pr="003357A4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3357A4">
        <w:rPr>
          <w:rFonts w:asciiTheme="minorHAnsi" w:hAnsiTheme="minorHAnsi" w:cstheme="minorHAnsi"/>
          <w:sz w:val="22"/>
          <w:szCs w:val="22"/>
          <w:lang w:eastAsia="pl-PL"/>
        </w:rPr>
        <w:t>. Dz.U. z 2020 r. poz. 895 ze zm.).</w:t>
      </w:r>
    </w:p>
    <w:p w14:paraId="260F97DB" w14:textId="77777777" w:rsidR="0061382C" w:rsidRPr="003357A4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103068779"/>
      <w:bookmarkStart w:id="26" w:name="_Hlk63878716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wymagania jakościowe odnoszące się do głównych</w:t>
      </w:r>
      <w:bookmarkEnd w:id="25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618026EC" w14:textId="0C800369" w:rsidR="00BA1DD3" w:rsidRPr="003357A4" w:rsidRDefault="008B54FE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7" w:name="_Toc103068780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elementów przedmiotu zamówienia</w:t>
      </w:r>
      <w:bookmarkEnd w:id="26"/>
      <w:bookmarkEnd w:id="27"/>
    </w:p>
    <w:p w14:paraId="1169D81D" w14:textId="45F3181B" w:rsidR="00C5590B" w:rsidRPr="003357A4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246 </w:t>
      </w:r>
      <w:r w:rsidRPr="003357A4">
        <w:rPr>
          <w:rFonts w:asciiTheme="minorHAnsi" w:hAnsiTheme="minorHAnsi" w:cstheme="minorHAnsi"/>
          <w:sz w:val="22"/>
          <w:szCs w:val="22"/>
          <w:lang w:eastAsia="pl-PL"/>
        </w:rPr>
        <w:t>ust 2 ustawy PZP opisując:</w:t>
      </w:r>
    </w:p>
    <w:p w14:paraId="24949E2A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zakres ubezpieczenia,</w:t>
      </w:r>
    </w:p>
    <w:p w14:paraId="74846BA0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przedmiot ubezpieczenia,</w:t>
      </w:r>
    </w:p>
    <w:p w14:paraId="1721C613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sumy ubezpieczenia, sumy gwarancyjne i limity odpowiedzialności, </w:t>
      </w:r>
    </w:p>
    <w:p w14:paraId="05B87E94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system ubezpieczenia, </w:t>
      </w:r>
    </w:p>
    <w:p w14:paraId="11DCA5AC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wartości ubezpieczenia,</w:t>
      </w:r>
    </w:p>
    <w:p w14:paraId="58CC69E9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klauzule obligatoryjne,</w:t>
      </w:r>
    </w:p>
    <w:p w14:paraId="3507F2DA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franszyzy i udziały własne.</w:t>
      </w:r>
    </w:p>
    <w:p w14:paraId="0CFC5B8E" w14:textId="77777777" w:rsidR="00C5590B" w:rsidRPr="003357A4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37734A30" w:rsidR="00C5590B" w:rsidRPr="003357A4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5CF1DAD8" w14:textId="7DE1D01B" w:rsidR="003C3949" w:rsidRPr="003357A4" w:rsidRDefault="003C3949" w:rsidP="003C3949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W odniesieniu do obowiązkowego ubezpieczenia odpowiedzialności cywilnej posiadacza pojazdów mechanicznych, wymagania jakościowe noszące się do głównych elementów przedmiotu zamówienia określa ustawa z dnia 22.05.2003 o ubezpieczeniach obowiązkowych, Ubezpieczeniowym Funduszu Gwarancyjnym i Polskim Biurze Ubezpieczycieli Komunikacyjnych (Dz.U. 2019 poz. 2214 </w:t>
      </w:r>
      <w:proofErr w:type="spellStart"/>
      <w:r w:rsidRPr="003357A4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3357A4">
        <w:rPr>
          <w:rFonts w:asciiTheme="minorHAnsi" w:hAnsiTheme="minorHAnsi" w:cstheme="minorHAnsi"/>
          <w:sz w:val="22"/>
          <w:szCs w:val="22"/>
          <w:lang w:eastAsia="pl-PL"/>
        </w:rPr>
        <w:t>. ze zm.).</w:t>
      </w:r>
    </w:p>
    <w:p w14:paraId="5E34E42C" w14:textId="19CC48A5" w:rsidR="00BA1DD3" w:rsidRPr="003357A4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8" w:name="_Toc103068781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Kryteria oceny ofert i sposób oceny ofert</w:t>
      </w:r>
      <w:bookmarkEnd w:id="28"/>
    </w:p>
    <w:p w14:paraId="3C8A525A" w14:textId="77777777" w:rsidR="00783330" w:rsidRPr="003E5509" w:rsidRDefault="00783330" w:rsidP="00947C25">
      <w:pPr>
        <w:pStyle w:val="Legenda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Przy dokonywaniu oceny ofert Zamawiający będzie stosował następujące zasady:</w:t>
      </w:r>
    </w:p>
    <w:p w14:paraId="300E4B4A" w14:textId="6D15500E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3E5509">
        <w:rPr>
          <w:rFonts w:asciiTheme="minorHAnsi" w:hAnsiTheme="minorHAnsi" w:cstheme="minorHAnsi"/>
          <w:b w:val="0"/>
          <w:szCs w:val="22"/>
        </w:rPr>
        <w:t>Ocena dokonywana jest dla każdej CZĘŚCI osobno.</w:t>
      </w:r>
    </w:p>
    <w:p w14:paraId="2F6B2888" w14:textId="1B8AF9C4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3E5509">
        <w:rPr>
          <w:rFonts w:asciiTheme="minorHAnsi" w:hAnsiTheme="minorHAnsi" w:cstheme="minorHAnsi"/>
          <w:b w:val="0"/>
          <w:szCs w:val="22"/>
        </w:rPr>
        <w:t>Oceny ofert dokonuje się na podstawie wypełnionego przez Wykonawcę Formularza ofert</w:t>
      </w:r>
      <w:r w:rsidR="007F1E2F" w:rsidRPr="003E5509">
        <w:rPr>
          <w:rFonts w:asciiTheme="minorHAnsi" w:hAnsiTheme="minorHAnsi" w:cstheme="minorHAnsi"/>
          <w:b w:val="0"/>
          <w:szCs w:val="22"/>
        </w:rPr>
        <w:t>owego</w:t>
      </w:r>
      <w:r w:rsidRPr="003E5509">
        <w:rPr>
          <w:rFonts w:asciiTheme="minorHAnsi" w:hAnsiTheme="minorHAnsi" w:cstheme="minorHAnsi"/>
          <w:b w:val="0"/>
          <w:szCs w:val="22"/>
        </w:rPr>
        <w:t xml:space="preserve"> </w:t>
      </w:r>
      <w:r w:rsidR="003C3949" w:rsidRPr="003E5509">
        <w:rPr>
          <w:rFonts w:asciiTheme="minorHAnsi" w:hAnsiTheme="minorHAnsi" w:cstheme="minorHAnsi"/>
          <w:b w:val="0"/>
          <w:szCs w:val="22"/>
        </w:rPr>
        <w:t>Załącznik nr 4 Formularz ofertowy</w:t>
      </w:r>
    </w:p>
    <w:p w14:paraId="3CFEAA4B" w14:textId="71FC88E4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3E5509">
        <w:rPr>
          <w:rFonts w:asciiTheme="minorHAnsi" w:hAnsiTheme="minorHAnsi" w:cstheme="minorHAnsi"/>
          <w:b w:val="0"/>
          <w:szCs w:val="22"/>
        </w:rPr>
        <w:t xml:space="preserve">Kryteria oceny ofert </w:t>
      </w:r>
      <w:r w:rsidRPr="003E5509">
        <w:rPr>
          <w:rFonts w:asciiTheme="minorHAnsi" w:hAnsiTheme="minorHAnsi" w:cstheme="minorHAnsi"/>
          <w:szCs w:val="22"/>
        </w:rPr>
        <w:t xml:space="preserve">dla </w:t>
      </w:r>
      <w:r w:rsidR="008B05D4" w:rsidRPr="003E5509">
        <w:rPr>
          <w:rFonts w:asciiTheme="minorHAnsi" w:hAnsiTheme="minorHAnsi" w:cstheme="minorHAnsi"/>
          <w:szCs w:val="22"/>
        </w:rPr>
        <w:t>CZĘŚCI</w:t>
      </w:r>
      <w:r w:rsidRPr="003E5509">
        <w:rPr>
          <w:rFonts w:asciiTheme="minorHAnsi" w:hAnsiTheme="minorHAnsi" w:cstheme="minorHAnsi"/>
          <w:szCs w:val="22"/>
        </w:rPr>
        <w:t xml:space="preserve"> 1</w:t>
      </w:r>
      <w:r w:rsidR="003E5509" w:rsidRPr="003E5509">
        <w:rPr>
          <w:rFonts w:asciiTheme="minorHAnsi" w:hAnsiTheme="minorHAnsi" w:cstheme="minorHAnsi"/>
          <w:szCs w:val="22"/>
        </w:rPr>
        <w:t xml:space="preserve"> i </w:t>
      </w:r>
      <w:r w:rsidRPr="003E5509">
        <w:rPr>
          <w:rFonts w:asciiTheme="minorHAnsi" w:hAnsiTheme="minorHAnsi" w:cstheme="minorHAnsi"/>
          <w:szCs w:val="22"/>
        </w:rPr>
        <w:t>2</w:t>
      </w:r>
      <w:r w:rsidR="003E5509" w:rsidRPr="003E5509">
        <w:rPr>
          <w:rFonts w:asciiTheme="minorHAnsi" w:hAnsiTheme="minorHAnsi" w:cstheme="minorHAnsi"/>
          <w:szCs w:val="22"/>
        </w:rPr>
        <w:t>:</w:t>
      </w:r>
    </w:p>
    <w:p w14:paraId="10D7E4A1" w14:textId="77777777" w:rsidR="00783330" w:rsidRPr="003E5509" w:rsidRDefault="00783330" w:rsidP="00947C25">
      <w:pPr>
        <w:tabs>
          <w:tab w:val="left" w:pos="709"/>
        </w:tabs>
        <w:spacing w:beforeLines="50" w:before="120" w:afterLines="100" w:after="240" w:line="271" w:lineRule="auto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3E5509">
        <w:rPr>
          <w:rFonts w:asciiTheme="minorHAnsi" w:hAnsiTheme="minorHAnsi" w:cstheme="minorHAnsi"/>
          <w:sz w:val="22"/>
          <w:szCs w:val="22"/>
          <w:u w:val="single"/>
        </w:rPr>
        <w:t xml:space="preserve">Znaczenie (waga) poszczególnych kryteriów w ogólnej ocenie ofert </w:t>
      </w:r>
    </w:p>
    <w:p w14:paraId="456A9EBF" w14:textId="51A0901D" w:rsidR="00783330" w:rsidRPr="003E5509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Cena</w:t>
      </w:r>
      <w:r w:rsidRPr="003E5509">
        <w:rPr>
          <w:rFonts w:asciiTheme="minorHAnsi" w:hAnsiTheme="minorHAnsi" w:cstheme="minorHAnsi"/>
          <w:sz w:val="22"/>
          <w:szCs w:val="22"/>
        </w:rPr>
        <w:tab/>
      </w:r>
      <w:r w:rsidR="003C3949" w:rsidRPr="003E5509">
        <w:rPr>
          <w:rFonts w:asciiTheme="minorHAnsi" w:hAnsiTheme="minorHAnsi" w:cstheme="minorHAnsi"/>
          <w:sz w:val="22"/>
          <w:szCs w:val="22"/>
        </w:rPr>
        <w:t>60</w:t>
      </w:r>
      <w:r w:rsidRPr="003E5509">
        <w:rPr>
          <w:rFonts w:asciiTheme="minorHAnsi" w:hAnsiTheme="minorHAnsi" w:cstheme="minorHAnsi"/>
          <w:sz w:val="22"/>
          <w:szCs w:val="22"/>
        </w:rPr>
        <w:t>%</w:t>
      </w:r>
    </w:p>
    <w:p w14:paraId="2658F050" w14:textId="6F0E1CE2" w:rsidR="00783330" w:rsidRPr="003E5509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Preferowany zakres ubezpieczenia</w:t>
      </w:r>
      <w:r w:rsidRPr="003E5509">
        <w:rPr>
          <w:rFonts w:asciiTheme="minorHAnsi" w:hAnsiTheme="minorHAnsi" w:cstheme="minorHAnsi"/>
          <w:sz w:val="22"/>
          <w:szCs w:val="22"/>
        </w:rPr>
        <w:tab/>
      </w:r>
      <w:r w:rsidR="003C3949" w:rsidRPr="003E5509">
        <w:rPr>
          <w:rFonts w:asciiTheme="minorHAnsi" w:hAnsiTheme="minorHAnsi" w:cstheme="minorHAnsi"/>
          <w:sz w:val="22"/>
          <w:szCs w:val="22"/>
        </w:rPr>
        <w:t>40</w:t>
      </w:r>
      <w:r w:rsidRPr="003E5509">
        <w:rPr>
          <w:rFonts w:asciiTheme="minorHAnsi" w:hAnsiTheme="minorHAnsi" w:cstheme="minorHAnsi"/>
          <w:sz w:val="22"/>
          <w:szCs w:val="22"/>
        </w:rPr>
        <w:t>%</w:t>
      </w:r>
    </w:p>
    <w:p w14:paraId="3D07E842" w14:textId="77777777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Cs w:val="22"/>
          <w:u w:val="single"/>
        </w:rPr>
      </w:pPr>
      <w:r w:rsidRPr="003E5509">
        <w:rPr>
          <w:rFonts w:asciiTheme="minorHAnsi" w:hAnsiTheme="minorHAnsi" w:cstheme="minorHAnsi"/>
          <w:szCs w:val="22"/>
          <w:u w:val="single"/>
        </w:rPr>
        <w:t xml:space="preserve">Sposób </w:t>
      </w:r>
      <w:r w:rsidRPr="003E5509">
        <w:rPr>
          <w:rFonts w:asciiTheme="minorHAnsi" w:hAnsiTheme="minorHAnsi" w:cstheme="minorHAnsi"/>
          <w:bCs/>
          <w:szCs w:val="22"/>
          <w:u w:val="single"/>
        </w:rPr>
        <w:t>przyznawania</w:t>
      </w:r>
      <w:r w:rsidRPr="003E5509">
        <w:rPr>
          <w:rFonts w:asciiTheme="minorHAnsi" w:hAnsiTheme="minorHAnsi" w:cstheme="minorHAnsi"/>
          <w:szCs w:val="22"/>
          <w:u w:val="single"/>
        </w:rPr>
        <w:t xml:space="preserve"> punktów w poszczególnych kryteriach:</w:t>
      </w:r>
    </w:p>
    <w:p w14:paraId="7365F27B" w14:textId="77777777" w:rsidR="00783330" w:rsidRPr="003E5509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Kryterium CENA:</w:t>
      </w:r>
    </w:p>
    <w:p w14:paraId="291455F7" w14:textId="41D77329" w:rsidR="00783330" w:rsidRPr="003E5509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Cena wskazana w formularzu - wartość łącznej składki przedstawionej oferty za wskazany okres </w:t>
      </w:r>
      <w:r w:rsidR="003C3949" w:rsidRPr="003E5509">
        <w:rPr>
          <w:rFonts w:asciiTheme="minorHAnsi" w:hAnsiTheme="minorHAnsi" w:cstheme="minorHAnsi"/>
          <w:sz w:val="22"/>
          <w:szCs w:val="22"/>
        </w:rPr>
        <w:t>ubezpieczenia</w:t>
      </w:r>
    </w:p>
    <w:p w14:paraId="0C32B32F" w14:textId="77777777" w:rsidR="00783330" w:rsidRPr="003E5509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Ocena ofert zostanie dokonana wg wzoru:</w:t>
      </w:r>
    </w:p>
    <w:p w14:paraId="1010CC5F" w14:textId="3DDAF309" w:rsidR="00783330" w:rsidRPr="003E5509" w:rsidRDefault="00783330" w:rsidP="00947C25">
      <w:pPr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E5509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3E5509">
        <w:rPr>
          <w:rFonts w:asciiTheme="minorHAnsi" w:hAnsiTheme="minorHAnsi" w:cstheme="minorHAnsi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x 100 x waga kryterium</m:t>
        </m:r>
      </m:oMath>
    </w:p>
    <w:p w14:paraId="2D1365A2" w14:textId="77777777" w:rsidR="00783330" w:rsidRPr="003E5509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Kryterium PREFEROWANY ZAKRES UBEZPIECZENIA:</w:t>
      </w:r>
      <w:r w:rsidRPr="003E5509">
        <w:rPr>
          <w:rFonts w:asciiTheme="minorHAnsi" w:hAnsiTheme="minorHAnsi" w:cstheme="minorHAnsi"/>
          <w:szCs w:val="22"/>
        </w:rPr>
        <w:tab/>
      </w:r>
    </w:p>
    <w:p w14:paraId="5C2EC1CE" w14:textId="717A3444" w:rsidR="00783330" w:rsidRPr="003E5509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3E5509">
        <w:rPr>
          <w:rFonts w:asciiTheme="minorHAnsi" w:hAnsiTheme="minorHAnsi" w:cstheme="minorHAnsi"/>
          <w:b w:val="0"/>
          <w:bCs/>
          <w:szCs w:val="22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3E5509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3E5509">
        <w:rPr>
          <w:rFonts w:asciiTheme="minorHAnsi" w:hAnsiTheme="minorHAnsi" w:cstheme="minorHAnsi"/>
          <w:b w:val="0"/>
          <w:bCs/>
          <w:szCs w:val="22"/>
        </w:rPr>
        <w:t xml:space="preserve">Złożenie oferty o zakresie mniejszym niż określony w SWZ jako zakres minimalny - niepodlegający żadnym zmianom, spowoduje odrzucenie oferty. </w:t>
      </w:r>
    </w:p>
    <w:p w14:paraId="5D262D06" w14:textId="09892B55" w:rsidR="00783330" w:rsidRPr="003E5509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3E5509">
        <w:rPr>
          <w:rFonts w:asciiTheme="minorHAnsi" w:hAnsiTheme="minorHAnsi" w:cstheme="minorHAnsi"/>
          <w:b w:val="0"/>
          <w:bCs/>
          <w:szCs w:val="22"/>
        </w:rPr>
        <w:t>Zakres preferowany oceniany będzie na podstawie wypełnionego Załącznika nr 4  do SWZ - „Formularz ofertowy – ZAKRES UBEZPIECZENIA”, który określa liczbę punktów za każdą włączoną preferowaną klauzulę lub wysokość limitu dodatkowego.</w:t>
      </w:r>
    </w:p>
    <w:p w14:paraId="6383359D" w14:textId="2760A3D8" w:rsidR="008F7022" w:rsidRPr="00087075" w:rsidRDefault="008F7022" w:rsidP="008F7022">
      <w:pPr>
        <w:pStyle w:val="Legenda"/>
        <w:numPr>
          <w:ilvl w:val="2"/>
          <w:numId w:val="24"/>
        </w:numPr>
        <w:jc w:val="both"/>
        <w:rPr>
          <w:rFonts w:asciiTheme="minorHAnsi" w:hAnsiTheme="minorHAnsi" w:cstheme="minorHAnsi"/>
          <w:b w:val="0"/>
          <w:sz w:val="20"/>
        </w:rPr>
      </w:pPr>
      <w:r w:rsidRPr="00087075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087075">
        <w:rPr>
          <w:rFonts w:asciiTheme="minorHAnsi" w:hAnsiTheme="minorHAnsi" w:cstheme="minorHAnsi"/>
          <w:sz w:val="20"/>
        </w:rPr>
        <w:t>CZĘŚCI 1</w:t>
      </w:r>
    </w:p>
    <w:p w14:paraId="35BF7C35" w14:textId="14D1B962" w:rsidR="00386849" w:rsidRPr="00087075" w:rsidRDefault="00386849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A711E8" w:rsidRPr="00087075">
        <w:rPr>
          <w:rFonts w:asciiTheme="minorHAnsi" w:hAnsiTheme="minorHAnsi" w:cstheme="minorHAnsi"/>
          <w:b/>
          <w:bCs/>
          <w:sz w:val="20"/>
          <w:szCs w:val="20"/>
        </w:rPr>
        <w:t>dóbr osobistych</w:t>
      </w:r>
    </w:p>
    <w:p w14:paraId="0E0CCD5B" w14:textId="77777777" w:rsidR="00386849" w:rsidRPr="0008707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bookmarkStart w:id="29" w:name="_Hlk89861286"/>
      <w:r w:rsidRPr="00087075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1C2ED635" w14:textId="77777777" w:rsidR="00386849" w:rsidRPr="0008707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bookmarkEnd w:id="29"/>
    <w:p w14:paraId="3DBE4525" w14:textId="42BAD4F4" w:rsidR="00386849" w:rsidRPr="00087075" w:rsidRDefault="00386849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087075">
        <w:rPr>
          <w:rFonts w:asciiTheme="minorHAnsi" w:hAnsiTheme="minorHAnsi" w:cstheme="minorHAnsi"/>
          <w:b/>
          <w:bCs/>
          <w:sz w:val="20"/>
          <w:szCs w:val="20"/>
        </w:rPr>
        <w:t>przeoczenia</w:t>
      </w:r>
      <w:r w:rsidR="005B3AF9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76F73E2" w14:textId="77777777" w:rsidR="00386849" w:rsidRPr="0008707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19BD7DF8" w14:textId="77777777" w:rsidR="00386849" w:rsidRPr="0008707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6563C2C4" w14:textId="4A87844B" w:rsidR="00341CFB" w:rsidRPr="00087075" w:rsidRDefault="00341CFB" w:rsidP="00341CFB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87075">
        <w:rPr>
          <w:rFonts w:asciiTheme="minorHAnsi" w:hAnsiTheme="minorHAnsi" w:cstheme="minorHAnsi"/>
          <w:b/>
          <w:bCs/>
          <w:sz w:val="20"/>
          <w:szCs w:val="20"/>
        </w:rPr>
        <w:t>Klauzul</w:t>
      </w:r>
      <w:r w:rsidR="00386849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="00932098" w:rsidRPr="00087075">
        <w:rPr>
          <w:rFonts w:asciiTheme="minorHAnsi" w:hAnsiTheme="minorHAnsi" w:cstheme="minorHAnsi"/>
          <w:b/>
          <w:bCs/>
          <w:sz w:val="20"/>
          <w:szCs w:val="20"/>
        </w:rPr>
        <w:t>regresowa</w:t>
      </w:r>
    </w:p>
    <w:p w14:paraId="685EFA9B" w14:textId="398769EF" w:rsidR="00341CFB" w:rsidRPr="00087075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DB51F9">
        <w:rPr>
          <w:rFonts w:asciiTheme="minorHAnsi" w:hAnsiTheme="minorHAnsi" w:cstheme="minorHAnsi"/>
          <w:b w:val="0"/>
          <w:bCs/>
          <w:sz w:val="20"/>
          <w:highlight w:val="cyan"/>
        </w:rPr>
        <w:t xml:space="preserve">Wykonawca, który zaoferuje klauzulę otrzyma </w:t>
      </w:r>
      <w:r w:rsidR="00DB51F9" w:rsidRPr="00DB51F9">
        <w:rPr>
          <w:rFonts w:asciiTheme="minorHAnsi" w:hAnsiTheme="minorHAnsi" w:cstheme="minorHAnsi"/>
          <w:b w:val="0"/>
          <w:bCs/>
          <w:sz w:val="20"/>
          <w:highlight w:val="cyan"/>
        </w:rPr>
        <w:t xml:space="preserve">5 </w:t>
      </w:r>
      <w:r w:rsidRPr="00DB51F9">
        <w:rPr>
          <w:rFonts w:asciiTheme="minorHAnsi" w:hAnsiTheme="minorHAnsi" w:cstheme="minorHAnsi"/>
          <w:b w:val="0"/>
          <w:bCs/>
          <w:sz w:val="20"/>
          <w:highlight w:val="cyan"/>
        </w:rPr>
        <w:t>pkt.</w:t>
      </w:r>
    </w:p>
    <w:p w14:paraId="3B156CA9" w14:textId="6DF3FA6A" w:rsidR="00341CFB" w:rsidRPr="00087075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087075">
        <w:rPr>
          <w:rFonts w:asciiTheme="minorHAnsi" w:hAnsiTheme="minorHAnsi" w:cstheme="minorHAnsi"/>
          <w:b w:val="0"/>
          <w:bCs/>
          <w:sz w:val="20"/>
        </w:rPr>
        <w:t>Wykonawca, który nie zaoferuje klauzuli otrzyma – 0 pkt</w:t>
      </w:r>
    </w:p>
    <w:p w14:paraId="634FA4DC" w14:textId="1EA5DC40" w:rsidR="00386849" w:rsidRPr="00087075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funduszu prewencyjnego </w:t>
      </w:r>
      <w:r w:rsidR="005B3AF9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6849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BAB8400" w14:textId="18B4989E" w:rsidR="000279CD" w:rsidRPr="00087075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0DF3C60D" w14:textId="77777777" w:rsidR="000279CD" w:rsidRPr="003E5509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1BCC455E" w14:textId="77777777" w:rsidR="00DB51F9" w:rsidRPr="00DB13FD" w:rsidRDefault="00DB51F9" w:rsidP="00DB51F9">
      <w:pPr>
        <w:pStyle w:val="Legenda"/>
        <w:ind w:left="1440"/>
        <w:jc w:val="both"/>
        <w:rPr>
          <w:rFonts w:asciiTheme="minorHAnsi" w:hAnsiTheme="minorHAnsi" w:cstheme="minorHAnsi"/>
          <w:sz w:val="20"/>
          <w:highlight w:val="cyan"/>
        </w:rPr>
      </w:pPr>
      <w:r w:rsidRPr="00DB13FD">
        <w:rPr>
          <w:rFonts w:asciiTheme="minorHAnsi" w:hAnsiTheme="minorHAnsi" w:cstheme="minorHAnsi"/>
          <w:sz w:val="20"/>
          <w:highlight w:val="cyan"/>
        </w:rPr>
        <w:t>Klauzula szkód wynikłych z braku lub niewłaściwego zabezpieczenia</w:t>
      </w:r>
    </w:p>
    <w:p w14:paraId="3A54E24F" w14:textId="77777777" w:rsidR="00DB51F9" w:rsidRPr="00DB51F9" w:rsidRDefault="00DB51F9" w:rsidP="00DB51F9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  <w:highlight w:val="cyan"/>
        </w:rPr>
      </w:pPr>
      <w:r w:rsidRPr="00DB51F9">
        <w:rPr>
          <w:rFonts w:asciiTheme="minorHAnsi" w:hAnsiTheme="minorHAnsi" w:cstheme="minorHAnsi"/>
          <w:b w:val="0"/>
          <w:bCs/>
          <w:sz w:val="20"/>
          <w:highlight w:val="cyan"/>
        </w:rPr>
        <w:t>Wykonawca, który zaoferuje klauzulę otrzyma 5 pkt.</w:t>
      </w:r>
    </w:p>
    <w:p w14:paraId="657ABE66" w14:textId="77777777" w:rsidR="00DB51F9" w:rsidRPr="00DB51F9" w:rsidRDefault="00DB51F9" w:rsidP="00DB51F9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  <w:highlight w:val="cyan"/>
        </w:rPr>
      </w:pPr>
      <w:r w:rsidRPr="00DB51F9">
        <w:rPr>
          <w:rFonts w:asciiTheme="minorHAnsi" w:hAnsiTheme="minorHAnsi" w:cstheme="minorHAnsi"/>
          <w:b w:val="0"/>
          <w:bCs/>
          <w:sz w:val="20"/>
          <w:highlight w:val="cyan"/>
        </w:rPr>
        <w:t>Wykonawca, który nie zaoferuje klauzuli otrzyma – 0 pkt</w:t>
      </w:r>
    </w:p>
    <w:p w14:paraId="6E532341" w14:textId="77777777" w:rsidR="00386849" w:rsidRPr="00B8764E" w:rsidRDefault="00386849" w:rsidP="00386849">
      <w:pPr>
        <w:pStyle w:val="Legenda"/>
        <w:ind w:left="1440"/>
        <w:jc w:val="both"/>
        <w:rPr>
          <w:rFonts w:asciiTheme="minorHAnsi" w:hAnsiTheme="minorHAnsi" w:cstheme="minorHAnsi"/>
          <w:color w:val="FF0000"/>
          <w:sz w:val="20"/>
        </w:rPr>
      </w:pPr>
    </w:p>
    <w:p w14:paraId="7D86F425" w14:textId="067C586C" w:rsidR="000279CD" w:rsidRPr="00CD527E" w:rsidRDefault="000279CD" w:rsidP="000279CD">
      <w:pPr>
        <w:pStyle w:val="Legenda"/>
        <w:numPr>
          <w:ilvl w:val="2"/>
          <w:numId w:val="24"/>
        </w:numPr>
        <w:ind w:hanging="589"/>
        <w:jc w:val="both"/>
        <w:rPr>
          <w:rFonts w:asciiTheme="minorHAnsi" w:hAnsiTheme="minorHAnsi" w:cstheme="minorHAnsi"/>
          <w:sz w:val="20"/>
        </w:rPr>
      </w:pPr>
      <w:r w:rsidRPr="00CD527E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CD527E">
        <w:rPr>
          <w:rFonts w:asciiTheme="minorHAnsi" w:hAnsiTheme="minorHAnsi" w:cstheme="minorHAnsi"/>
          <w:sz w:val="20"/>
        </w:rPr>
        <w:t>CZĘŚCI 2</w:t>
      </w:r>
    </w:p>
    <w:p w14:paraId="612F6669" w14:textId="4E7742D4" w:rsidR="000279CD" w:rsidRPr="00CD527E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D527E">
        <w:rPr>
          <w:rFonts w:asciiTheme="minorHAnsi" w:hAnsiTheme="minorHAnsi" w:cstheme="minorHAnsi"/>
          <w:b/>
          <w:sz w:val="20"/>
          <w:szCs w:val="20"/>
        </w:rPr>
        <w:t xml:space="preserve">Klauzula </w:t>
      </w:r>
      <w:r w:rsidR="00386849" w:rsidRPr="00CD527E">
        <w:rPr>
          <w:rFonts w:asciiTheme="minorHAnsi" w:hAnsiTheme="minorHAnsi" w:cstheme="minorHAnsi"/>
          <w:b/>
          <w:sz w:val="20"/>
          <w:szCs w:val="20"/>
        </w:rPr>
        <w:t>funduszu prewencyjnego</w:t>
      </w:r>
    </w:p>
    <w:p w14:paraId="460D3B4B" w14:textId="17314A5E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6199A">
        <w:rPr>
          <w:rFonts w:asciiTheme="minorHAnsi" w:hAnsiTheme="minorHAnsi" w:cstheme="minorHAnsi"/>
          <w:sz w:val="20"/>
          <w:szCs w:val="20"/>
        </w:rPr>
        <w:t>0</w:t>
      </w:r>
      <w:r w:rsidRPr="00CD527E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04A88F15" w14:textId="77777777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736A0112" w14:textId="79B9EAE5" w:rsidR="000279CD" w:rsidRPr="00CD527E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D527E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CD527E">
        <w:rPr>
          <w:rFonts w:asciiTheme="minorHAnsi" w:hAnsiTheme="minorHAnsi" w:cstheme="minorHAnsi"/>
          <w:b/>
          <w:bCs/>
          <w:sz w:val="20"/>
          <w:szCs w:val="20"/>
        </w:rPr>
        <w:t>zwiększeni</w:t>
      </w:r>
      <w:r w:rsidR="0036199A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932098" w:rsidRPr="00CD527E">
        <w:rPr>
          <w:rFonts w:asciiTheme="minorHAnsi" w:hAnsiTheme="minorHAnsi" w:cstheme="minorHAnsi"/>
          <w:b/>
          <w:bCs/>
          <w:sz w:val="20"/>
          <w:szCs w:val="20"/>
        </w:rPr>
        <w:t xml:space="preserve"> limitu w klauzuli awarii, błędu człowieka </w:t>
      </w:r>
    </w:p>
    <w:p w14:paraId="046BCD10" w14:textId="401E875D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6199A">
        <w:rPr>
          <w:rFonts w:asciiTheme="minorHAnsi" w:hAnsiTheme="minorHAnsi" w:cstheme="minorHAnsi"/>
          <w:sz w:val="20"/>
          <w:szCs w:val="20"/>
        </w:rPr>
        <w:t>0</w:t>
      </w:r>
      <w:r w:rsidRPr="00CD527E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36A6A04D" w14:textId="77777777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4DAC8D48" w14:textId="76C60F32" w:rsidR="00341CFB" w:rsidRPr="00CD527E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D527E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CD527E">
        <w:rPr>
          <w:rFonts w:asciiTheme="minorHAnsi" w:hAnsiTheme="minorHAnsi" w:cstheme="minorHAnsi"/>
          <w:b/>
          <w:bCs/>
          <w:sz w:val="20"/>
          <w:szCs w:val="20"/>
        </w:rPr>
        <w:t>zwiększenia limitu w kradzieży zwykłej</w:t>
      </w:r>
    </w:p>
    <w:p w14:paraId="5FB3CA63" w14:textId="79BC6D7F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86849" w:rsidRPr="00CD527E">
        <w:rPr>
          <w:rFonts w:asciiTheme="minorHAnsi" w:hAnsiTheme="minorHAnsi" w:cstheme="minorHAnsi"/>
          <w:sz w:val="20"/>
          <w:szCs w:val="20"/>
        </w:rPr>
        <w:t>0</w:t>
      </w:r>
      <w:r w:rsidRPr="00CD527E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0F68297C" w14:textId="158C1050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5EF0EC17" w14:textId="1A23D999" w:rsidR="00932098" w:rsidRPr="00CD527E" w:rsidRDefault="00932098" w:rsidP="00932098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D527E">
        <w:rPr>
          <w:rFonts w:asciiTheme="minorHAnsi" w:hAnsiTheme="minorHAnsi" w:cstheme="minorHAnsi"/>
          <w:b/>
          <w:bCs/>
          <w:sz w:val="20"/>
          <w:szCs w:val="20"/>
        </w:rPr>
        <w:t xml:space="preserve">Klauzula zniesienia franszyz integralnych </w:t>
      </w:r>
    </w:p>
    <w:p w14:paraId="5B9E0F9C" w14:textId="0EAE7F4A" w:rsidR="00932098" w:rsidRPr="00CD527E" w:rsidRDefault="00932098" w:rsidP="00932098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DB51F9">
        <w:rPr>
          <w:rFonts w:asciiTheme="minorHAnsi" w:hAnsiTheme="minorHAnsi" w:cstheme="minorHAnsi"/>
          <w:sz w:val="20"/>
          <w:szCs w:val="20"/>
          <w:highlight w:val="cyan"/>
        </w:rPr>
        <w:t xml:space="preserve">Wykonawca, który zaoferuje klauzulę otrzyma </w:t>
      </w:r>
      <w:r w:rsidR="00DB51F9" w:rsidRPr="00DB51F9">
        <w:rPr>
          <w:rFonts w:asciiTheme="minorHAnsi" w:hAnsiTheme="minorHAnsi" w:cstheme="minorHAnsi"/>
          <w:sz w:val="20"/>
          <w:szCs w:val="20"/>
          <w:highlight w:val="cyan"/>
        </w:rPr>
        <w:t>5</w:t>
      </w:r>
      <w:r w:rsidRPr="00DB51F9">
        <w:rPr>
          <w:rFonts w:asciiTheme="minorHAnsi" w:hAnsiTheme="minorHAnsi" w:cstheme="minorHAnsi"/>
          <w:sz w:val="20"/>
          <w:szCs w:val="20"/>
          <w:highlight w:val="cyan"/>
        </w:rPr>
        <w:t xml:space="preserve"> pkt.</w:t>
      </w:r>
    </w:p>
    <w:p w14:paraId="59C9CB08" w14:textId="628C9D5D" w:rsidR="00932098" w:rsidRDefault="00932098" w:rsidP="00932098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477DDA57" w14:textId="62505341" w:rsidR="00DB51F9" w:rsidRPr="00DB51F9" w:rsidRDefault="00DB51F9" w:rsidP="00932098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  <w:highlight w:val="cyan"/>
        </w:rPr>
      </w:pPr>
      <w:r w:rsidRPr="00DB51F9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Klauzula przeoczenia</w:t>
      </w:r>
    </w:p>
    <w:p w14:paraId="0BC804BA" w14:textId="18B9A9E4" w:rsidR="00DB51F9" w:rsidRPr="00DB51F9" w:rsidRDefault="00DB51F9" w:rsidP="00DB51F9">
      <w:pPr>
        <w:ind w:left="708" w:firstLine="708"/>
        <w:rPr>
          <w:rFonts w:asciiTheme="minorHAnsi" w:hAnsiTheme="minorHAnsi" w:cstheme="minorHAnsi"/>
          <w:sz w:val="20"/>
          <w:szCs w:val="20"/>
          <w:highlight w:val="cyan"/>
        </w:rPr>
      </w:pPr>
      <w:r w:rsidRPr="00DB51F9">
        <w:rPr>
          <w:rFonts w:asciiTheme="minorHAnsi" w:hAnsiTheme="minorHAnsi" w:cstheme="minorHAnsi"/>
          <w:sz w:val="20"/>
          <w:szCs w:val="20"/>
          <w:highlight w:val="cyan"/>
        </w:rPr>
        <w:t>Wykonawca, który zaoferuje klauzulę otrzyma 5 pkt.</w:t>
      </w:r>
    </w:p>
    <w:p w14:paraId="136A01A8" w14:textId="77777777" w:rsidR="00DB51F9" w:rsidRDefault="00DB51F9" w:rsidP="00DB51F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DB51F9">
        <w:rPr>
          <w:rFonts w:asciiTheme="minorHAnsi" w:hAnsiTheme="minorHAnsi" w:cstheme="minorHAnsi"/>
          <w:sz w:val="20"/>
          <w:szCs w:val="20"/>
          <w:highlight w:val="cyan"/>
        </w:rPr>
        <w:t>Wykonawca, który nie zaoferuje klauzuli otrzyma – 0 pkt</w:t>
      </w:r>
    </w:p>
    <w:p w14:paraId="395A796C" w14:textId="77777777" w:rsidR="00932098" w:rsidRPr="003E5509" w:rsidRDefault="00932098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02E7CE4F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Punkty w poszczególnych kryteriach będą wyliczane z dokładnością do dwóch miejsc po przecinku.</w:t>
      </w:r>
    </w:p>
    <w:p w14:paraId="11E266B2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Ocena końcowa oferty będzie sumą punktów uzyskanych za wszystkie w/w kryteria.</w:t>
      </w:r>
    </w:p>
    <w:p w14:paraId="358A84C5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Za najkorzystniejszą ofertę Zamawiający uzna tę ofertę, która nie będzie podlegać odrzuceniu oraz uzyska najwyższą ocenę końcową.</w:t>
      </w:r>
    </w:p>
    <w:p w14:paraId="1E145CB3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</w:t>
      </w:r>
      <w:r w:rsidRPr="003E5509">
        <w:rPr>
          <w:rFonts w:asciiTheme="minorHAnsi" w:hAnsiTheme="minorHAnsi" w:cstheme="minorHAnsi"/>
          <w:b w:val="0"/>
          <w:sz w:val="20"/>
        </w:rPr>
        <w:lastRenderedPageBreak/>
        <w:t xml:space="preserve">produktu, OWU lub innych wzorców umowy z postanowieniami określonymi w SWZ lub w Formularzu ofertowym strony związane są postanowieniami określonymi w SWZ lub w Formularzu ofertowym. </w:t>
      </w:r>
    </w:p>
    <w:p w14:paraId="0E34FE6C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603A9D57" w14:textId="77777777" w:rsidR="00265634" w:rsidRPr="003E5509" w:rsidRDefault="00265634" w:rsidP="00265634">
      <w:pPr>
        <w:ind w:left="1416" w:firstLine="2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ECE2EA6" w14:textId="103DDC5A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0" w:name="_Toc103068782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trybu otwarcia</w:t>
      </w:r>
      <w:bookmarkEnd w:id="30"/>
      <w:r w:rsidR="00DB6C30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 </w:t>
      </w:r>
    </w:p>
    <w:p w14:paraId="4B82E490" w14:textId="550ACCF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1" w:name="_Hlk89934874"/>
      <w:r w:rsidRPr="003E5509">
        <w:rPr>
          <w:rFonts w:asciiTheme="minorHAnsi" w:hAnsiTheme="minorHAnsi" w:cstheme="minorHAnsi"/>
          <w:sz w:val="22"/>
          <w:szCs w:val="22"/>
        </w:rPr>
        <w:t xml:space="preserve">Otwarcie ofert następuje niezwłocznie po upływie terminu składania ofert, nie później niż następnego dnia po dniu, w którym upłynął termin </w:t>
      </w:r>
      <w:r w:rsidRPr="009F6B7A">
        <w:rPr>
          <w:rFonts w:asciiTheme="minorHAnsi" w:hAnsiTheme="minorHAnsi" w:cstheme="minorHAnsi"/>
          <w:sz w:val="22"/>
          <w:szCs w:val="22"/>
        </w:rPr>
        <w:t xml:space="preserve">składania ofert tj. </w:t>
      </w:r>
      <w:r w:rsidR="00CA008A" w:rsidRPr="009F6B7A">
        <w:rPr>
          <w:rFonts w:asciiTheme="minorHAnsi" w:hAnsiTheme="minorHAnsi" w:cstheme="minorHAnsi"/>
          <w:sz w:val="22"/>
          <w:szCs w:val="22"/>
        </w:rPr>
        <w:t>0</w:t>
      </w:r>
      <w:r w:rsidR="00AC085B">
        <w:rPr>
          <w:rFonts w:asciiTheme="minorHAnsi" w:hAnsiTheme="minorHAnsi" w:cstheme="minorHAnsi"/>
          <w:sz w:val="22"/>
          <w:szCs w:val="22"/>
        </w:rPr>
        <w:t>1</w:t>
      </w:r>
      <w:r w:rsidR="0003391D" w:rsidRPr="009F6B7A">
        <w:rPr>
          <w:rFonts w:asciiTheme="minorHAnsi" w:hAnsiTheme="minorHAnsi" w:cstheme="minorHAnsi"/>
          <w:sz w:val="22"/>
          <w:szCs w:val="22"/>
        </w:rPr>
        <w:t>.0</w:t>
      </w:r>
      <w:r w:rsidR="00AC085B">
        <w:rPr>
          <w:rFonts w:asciiTheme="minorHAnsi" w:hAnsiTheme="minorHAnsi" w:cstheme="minorHAnsi"/>
          <w:sz w:val="22"/>
          <w:szCs w:val="22"/>
        </w:rPr>
        <w:t>7</w:t>
      </w:r>
      <w:r w:rsidR="0003391D" w:rsidRPr="009F6B7A">
        <w:rPr>
          <w:rFonts w:asciiTheme="minorHAnsi" w:hAnsiTheme="minorHAnsi" w:cstheme="minorHAnsi"/>
          <w:sz w:val="22"/>
          <w:szCs w:val="22"/>
        </w:rPr>
        <w:t>.2022</w:t>
      </w:r>
      <w:r w:rsidR="001C7998" w:rsidRPr="009F6B7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7874343" w14:textId="67F9B134" w:rsidR="00B0232C" w:rsidRPr="003E5509" w:rsidRDefault="009F4EB6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W</w:t>
      </w:r>
      <w:r w:rsidR="00B0232C" w:rsidRPr="003E5509">
        <w:rPr>
          <w:rFonts w:asciiTheme="minorHAnsi" w:hAnsiTheme="minorHAnsi" w:cstheme="minorHAnsi"/>
          <w:sz w:val="22"/>
          <w:szCs w:val="22"/>
        </w:rPr>
        <w:t xml:space="preserve"> przypadku awarii tego systemu, która powoduje brak możliwości otwarcia ofert w terminie określonym przez </w:t>
      </w:r>
      <w:r w:rsidRPr="003E5509">
        <w:rPr>
          <w:rFonts w:asciiTheme="minorHAnsi" w:hAnsiTheme="minorHAnsi" w:cstheme="minorHAnsi"/>
          <w:sz w:val="22"/>
          <w:szCs w:val="22"/>
        </w:rPr>
        <w:t>Z</w:t>
      </w:r>
      <w:r w:rsidR="00B0232C" w:rsidRPr="003E5509">
        <w:rPr>
          <w:rFonts w:asciiTheme="minorHAnsi" w:hAnsiTheme="minorHAnsi" w:cstheme="minorHAnsi"/>
          <w:sz w:val="22"/>
          <w:szCs w:val="22"/>
        </w:rPr>
        <w:t>amawiającego, otwarcie ofert następuje niezwłocznie po usunięciu awarii.</w:t>
      </w:r>
    </w:p>
    <w:p w14:paraId="1B2C65E4" w14:textId="7777777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bookmarkEnd w:id="31"/>
    <w:p w14:paraId="114D9BBF" w14:textId="7777777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24FB5DD2" w14:textId="77777777" w:rsidR="00B0232C" w:rsidRPr="003E5509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042F115" w14:textId="77777777" w:rsidR="005A013D" w:rsidRPr="003E5509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cenach lub kosztach zawartych w ofertach</w:t>
      </w:r>
      <w:r w:rsidR="005A013D" w:rsidRPr="003E5509">
        <w:rPr>
          <w:rFonts w:asciiTheme="minorHAnsi" w:hAnsiTheme="minorHAnsi" w:cstheme="minorHAnsi"/>
          <w:sz w:val="22"/>
          <w:szCs w:val="22"/>
        </w:rPr>
        <w:t>.</w:t>
      </w:r>
    </w:p>
    <w:p w14:paraId="225A56A2" w14:textId="1E293D01" w:rsidR="00B0232C" w:rsidRPr="003E5509" w:rsidRDefault="00B0232C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Informacja zostanie opublikowana na stronie postępowania na</w:t>
      </w:r>
      <w:hyperlink r:id="rId34" w:history="1">
        <w:r w:rsidRPr="003E550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 platformazakupowa.pl</w:t>
        </w:r>
      </w:hyperlink>
      <w:r w:rsidRPr="003E5509">
        <w:rPr>
          <w:rFonts w:asciiTheme="minorHAnsi" w:hAnsiTheme="minorHAnsi" w:cstheme="minorHAnsi"/>
          <w:sz w:val="22"/>
          <w:szCs w:val="22"/>
        </w:rPr>
        <w:t xml:space="preserve"> w sekcji ,,Komunikaty” .</w:t>
      </w:r>
    </w:p>
    <w:p w14:paraId="7EBA4AAE" w14:textId="6D8F0110" w:rsidR="00B0232C" w:rsidRPr="003E5509" w:rsidRDefault="00B0232C" w:rsidP="00947C25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Uwaga! </w:t>
      </w:r>
      <w:r w:rsidRPr="003E5509">
        <w:rPr>
          <w:rFonts w:asciiTheme="minorHAnsi" w:hAnsiTheme="minorHAnsi" w:cstheme="minorHAnsi"/>
          <w:sz w:val="22"/>
          <w:szCs w:val="22"/>
        </w:rPr>
        <w:t>Zgodnie z Ustawą PZP</w:t>
      </w:r>
      <w:r w:rsidRPr="003E5509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2" w:name="_Hlk89934972"/>
      <w:r w:rsidRPr="003E5509">
        <w:rPr>
          <w:rFonts w:asciiTheme="minorHAnsi" w:hAnsiTheme="minorHAnsi" w:cstheme="minorHAnsi"/>
          <w:b/>
          <w:sz w:val="22"/>
          <w:szCs w:val="22"/>
        </w:rPr>
        <w:t>Zamawiający nie ma obowiązku przeprowadzania jawnej sesji otwarcia ofert</w:t>
      </w:r>
      <w:r w:rsidRPr="003E5509">
        <w:rPr>
          <w:rFonts w:asciiTheme="minorHAns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0F13ADE" w14:textId="77777777" w:rsidR="00B30552" w:rsidRPr="003E5509" w:rsidRDefault="00B3055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3" w:name="_Toc103068783"/>
      <w:bookmarkEnd w:id="32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Termin związania ofertą</w:t>
      </w:r>
      <w:bookmarkEnd w:id="33"/>
    </w:p>
    <w:p w14:paraId="1A97F814" w14:textId="68B2CDC7" w:rsidR="00B30552" w:rsidRPr="00AC1C0A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  <w:highlight w:val="yellow"/>
        </w:rPr>
      </w:pPr>
      <w:r w:rsidRPr="003E5509">
        <w:rPr>
          <w:rFonts w:asciiTheme="minorHAnsi" w:hAnsiTheme="minorHAnsi" w:cstheme="minorHAnsi"/>
          <w:szCs w:val="22"/>
        </w:rPr>
        <w:t xml:space="preserve">Wykonawca będzie związany ofertą przez okres </w:t>
      </w:r>
      <w:r w:rsidR="00040ED9" w:rsidRPr="003E5509">
        <w:rPr>
          <w:rFonts w:asciiTheme="minorHAnsi" w:hAnsiTheme="minorHAnsi" w:cstheme="minorHAnsi"/>
          <w:szCs w:val="22"/>
        </w:rPr>
        <w:t>90</w:t>
      </w:r>
      <w:r w:rsidRPr="003E5509">
        <w:rPr>
          <w:rFonts w:asciiTheme="minorHAnsi" w:hAnsiTheme="minorHAnsi" w:cstheme="minorHAnsi"/>
          <w:szCs w:val="22"/>
        </w:rPr>
        <w:t xml:space="preserve"> dni od dnia upływu terminu składania ofert, przy czym pierwszym dniem terminu związania ofertą jest dzień, w którym upływa termin składania ofert, tj. do dnia </w:t>
      </w:r>
      <w:r w:rsidR="00F54117" w:rsidRPr="00AC1C0A">
        <w:rPr>
          <w:rFonts w:asciiTheme="minorHAnsi" w:hAnsiTheme="minorHAnsi" w:cstheme="minorHAnsi"/>
          <w:szCs w:val="22"/>
          <w:highlight w:val="yellow"/>
        </w:rPr>
        <w:t>0</w:t>
      </w:r>
      <w:r w:rsidR="00734424" w:rsidRPr="00AC1C0A">
        <w:rPr>
          <w:rFonts w:asciiTheme="minorHAnsi" w:hAnsiTheme="minorHAnsi" w:cstheme="minorHAnsi"/>
          <w:szCs w:val="22"/>
          <w:highlight w:val="yellow"/>
        </w:rPr>
        <w:t>2.</w:t>
      </w:r>
      <w:r w:rsidR="00F54117" w:rsidRPr="00AC1C0A">
        <w:rPr>
          <w:rFonts w:asciiTheme="minorHAnsi" w:hAnsiTheme="minorHAnsi" w:cstheme="minorHAnsi"/>
          <w:szCs w:val="22"/>
          <w:highlight w:val="yellow"/>
        </w:rPr>
        <w:t>1</w:t>
      </w:r>
      <w:r w:rsidR="00734424" w:rsidRPr="00AC1C0A">
        <w:rPr>
          <w:rFonts w:asciiTheme="minorHAnsi" w:hAnsiTheme="minorHAnsi" w:cstheme="minorHAnsi"/>
          <w:szCs w:val="22"/>
          <w:highlight w:val="yellow"/>
        </w:rPr>
        <w:t>0.20</w:t>
      </w:r>
      <w:r w:rsidR="00786C2B" w:rsidRPr="00AC1C0A">
        <w:rPr>
          <w:rFonts w:asciiTheme="minorHAnsi" w:hAnsiTheme="minorHAnsi" w:cstheme="minorHAnsi"/>
          <w:szCs w:val="22"/>
          <w:highlight w:val="yellow"/>
        </w:rPr>
        <w:t>22</w:t>
      </w:r>
      <w:r w:rsidRPr="00AC1C0A">
        <w:rPr>
          <w:rFonts w:asciiTheme="minorHAnsi" w:hAnsiTheme="minorHAnsi" w:cstheme="minorHAnsi"/>
          <w:szCs w:val="22"/>
          <w:highlight w:val="yellow"/>
        </w:rPr>
        <w:t xml:space="preserve"> r.</w:t>
      </w:r>
    </w:p>
    <w:p w14:paraId="5314E20B" w14:textId="1770C178" w:rsidR="00B30552" w:rsidRPr="003E5509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 xml:space="preserve">W przypadku gdy wybór najkorzystniejszej oferty nie nastąpi przed upływem terminu związania ofertą wskazanego w </w:t>
      </w:r>
      <w:r w:rsidR="00106655" w:rsidRPr="003E5509">
        <w:rPr>
          <w:rFonts w:asciiTheme="minorHAnsi" w:hAnsiTheme="minorHAnsi" w:cstheme="minorHAnsi"/>
          <w:szCs w:val="22"/>
        </w:rPr>
        <w:t>pkt</w:t>
      </w:r>
      <w:r w:rsidRPr="003E5509">
        <w:rPr>
          <w:rFonts w:asciiTheme="minorHAnsi" w:hAnsiTheme="minorHAnsi" w:cstheme="minorHAnsi"/>
          <w:szCs w:val="22"/>
        </w:rPr>
        <w:t xml:space="preserve">. 1, Zamawiający przed upływem terminu związania ofertą zwraca się jednokrotnie do </w:t>
      </w:r>
      <w:r w:rsidR="00655D7D" w:rsidRPr="003E5509">
        <w:rPr>
          <w:rFonts w:asciiTheme="minorHAnsi" w:hAnsiTheme="minorHAnsi" w:cstheme="minorHAnsi"/>
          <w:szCs w:val="22"/>
        </w:rPr>
        <w:t>W</w:t>
      </w:r>
      <w:r w:rsidRPr="003E5509">
        <w:rPr>
          <w:rFonts w:asciiTheme="minorHAnsi" w:hAnsiTheme="minorHAnsi" w:cstheme="minorHAnsi"/>
          <w:szCs w:val="22"/>
        </w:rPr>
        <w:t xml:space="preserve">ykonawców o wyrażenie zgody na przedłużenie tego terminu o wskazywany przez niego okres, nie dłuższy niż 60 dni. </w:t>
      </w:r>
      <w:r w:rsidRPr="003E5509">
        <w:rPr>
          <w:rFonts w:asciiTheme="minorHAnsi" w:hAnsiTheme="minorHAnsi" w:cstheme="minorHAnsi"/>
          <w:szCs w:val="22"/>
        </w:rPr>
        <w:tab/>
      </w:r>
    </w:p>
    <w:p w14:paraId="6330A479" w14:textId="2871368A" w:rsidR="00B30552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4C5D4D9F" w14:textId="7C0EB1EE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4" w:name="_Toc103068784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 xml:space="preserve">Zamówienia, o których mowa w art. </w:t>
      </w:r>
      <w:r w:rsidR="00353047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214</w:t>
      </w:r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ust. </w:t>
      </w:r>
      <w:r w:rsidR="00353047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1</w:t>
      </w:r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pkt. </w:t>
      </w:r>
      <w:r w:rsidR="00353047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7 </w:t>
      </w:r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ustawy PZP</w:t>
      </w:r>
      <w:bookmarkEnd w:id="34"/>
    </w:p>
    <w:p w14:paraId="338150A5" w14:textId="6F6E013A" w:rsidR="00BA1DD3" w:rsidRPr="003E5509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Zgodnie</w:t>
      </w:r>
      <w:r w:rsidRPr="003E5509">
        <w:rPr>
          <w:rFonts w:asciiTheme="minorHAnsi" w:hAnsiTheme="minorHAnsi" w:cstheme="minorHAnsi"/>
          <w:sz w:val="22"/>
          <w:szCs w:val="22"/>
        </w:rPr>
        <w:t xml:space="preserve"> z art. 281 ust. 2 pkt. 11 ustawy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3E5509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Zamawiający</w:t>
      </w:r>
      <w:r w:rsidRPr="003E5509">
        <w:rPr>
          <w:rFonts w:asciiTheme="minorHAnsi" w:hAnsiTheme="minorHAnsi" w:cstheme="minorHAnsi"/>
          <w:sz w:val="22"/>
          <w:szCs w:val="22"/>
        </w:rPr>
        <w:t xml:space="preserve"> przewiduje udzielenie zamówień o których mowa w pkt 1. w wysokości:</w:t>
      </w:r>
    </w:p>
    <w:p w14:paraId="62568C2C" w14:textId="03735A00" w:rsidR="009C667A" w:rsidRPr="003E5509" w:rsidRDefault="009C667A" w:rsidP="00947C25">
      <w:pPr>
        <w:pStyle w:val="punkt"/>
        <w:tabs>
          <w:tab w:val="left" w:pos="284"/>
        </w:tabs>
        <w:suppressAutoHyphens w:val="0"/>
        <w:spacing w:beforeLines="50" w:afterLines="100" w:after="2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F6B7A">
        <w:rPr>
          <w:rFonts w:asciiTheme="minorHAnsi" w:hAnsiTheme="minorHAnsi" w:cstheme="minorHAnsi"/>
          <w:sz w:val="22"/>
          <w:szCs w:val="22"/>
        </w:rPr>
        <w:t xml:space="preserve">- dla </w:t>
      </w:r>
      <w:r w:rsidR="008B05D4" w:rsidRPr="009F6B7A">
        <w:rPr>
          <w:rFonts w:asciiTheme="minorHAnsi" w:hAnsiTheme="minorHAnsi" w:cstheme="minorHAnsi"/>
          <w:sz w:val="22"/>
          <w:szCs w:val="22"/>
        </w:rPr>
        <w:t>CZĘŚCI</w:t>
      </w:r>
      <w:r w:rsidRPr="009F6B7A">
        <w:rPr>
          <w:rFonts w:asciiTheme="minorHAnsi" w:hAnsiTheme="minorHAnsi" w:cstheme="minorHAnsi"/>
          <w:sz w:val="22"/>
          <w:szCs w:val="22"/>
        </w:rPr>
        <w:t xml:space="preserve"> 2 – do </w:t>
      </w:r>
      <w:r w:rsidR="00B71FB1" w:rsidRPr="009F6B7A">
        <w:rPr>
          <w:rFonts w:asciiTheme="minorHAnsi" w:hAnsiTheme="minorHAnsi" w:cstheme="minorHAnsi"/>
          <w:sz w:val="22"/>
          <w:szCs w:val="22"/>
        </w:rPr>
        <w:t>1</w:t>
      </w:r>
      <w:r w:rsidRPr="009F6B7A">
        <w:rPr>
          <w:rFonts w:asciiTheme="minorHAnsi" w:hAnsiTheme="minorHAnsi" w:cstheme="minorHAnsi"/>
          <w:sz w:val="22"/>
          <w:szCs w:val="22"/>
        </w:rPr>
        <w:t>0% szacunkowej wartości zamówienia podstawowego.</w:t>
      </w:r>
    </w:p>
    <w:p w14:paraId="2D4C6ABF" w14:textId="5ACCE48E" w:rsidR="009C667A" w:rsidRPr="003E5509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Warunki udzielenia zamówienia zostały określone w odpowiednim Załączniku nr 3 do SWZ - Wzór umowy.</w:t>
      </w:r>
    </w:p>
    <w:p w14:paraId="29312923" w14:textId="444721CB" w:rsidR="00BA1DD3" w:rsidRPr="003E5509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W przypadku zamówienia określonego w pkt. 1 zastosowanie będą mieć składki ustalone dla zamówienia podstawowego.</w:t>
      </w:r>
    </w:p>
    <w:p w14:paraId="5E03E3B4" w14:textId="14A78DD6" w:rsidR="00BA1DD3" w:rsidRPr="003E5509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b/>
          <w:smallCaps/>
          <w:spacing w:val="50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Inne warunki,</w:t>
      </w:r>
      <w:r w:rsidRPr="003E5509">
        <w:rPr>
          <w:rFonts w:asciiTheme="minorHAnsi" w:hAnsiTheme="minorHAnsi" w:cstheme="minorHAnsi"/>
          <w:sz w:val="22"/>
          <w:szCs w:val="22"/>
        </w:rPr>
        <w:t xml:space="preserve"> w szczególności zakres ochrony, będą zgodnie z warunkami przyjętej oferty Wykonawcy.</w:t>
      </w:r>
    </w:p>
    <w:p w14:paraId="7C8A096A" w14:textId="72F9750C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5" w:name="_Toc103068785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Wzór umowy i warunki zmiany umowy</w:t>
      </w:r>
      <w:bookmarkEnd w:id="35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7F8AEB1" w14:textId="6398F397" w:rsidR="00BA1DD3" w:rsidRPr="009F6B7A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F6B7A">
        <w:rPr>
          <w:rFonts w:asciiTheme="minorHAnsi" w:hAnsiTheme="minorHAnsi" w:cstheme="minorHAnsi"/>
          <w:sz w:val="22"/>
          <w:szCs w:val="22"/>
        </w:rPr>
        <w:t>Istotne warunki umowy w sprawie zamówienia publicznego zostały określone we wzorze umowy, który stanowi Załącznik nr 3</w:t>
      </w:r>
      <w:r w:rsidR="00CA008A" w:rsidRPr="009F6B7A">
        <w:rPr>
          <w:rFonts w:asciiTheme="minorHAnsi" w:hAnsiTheme="minorHAnsi" w:cstheme="minorHAnsi"/>
          <w:sz w:val="22"/>
          <w:szCs w:val="22"/>
        </w:rPr>
        <w:t>a i 3b</w:t>
      </w:r>
      <w:r w:rsidRPr="009F6B7A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A527F97" w14:textId="77777777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 przewiduje możliwość zmiany postanowień Umowy, zawartej w wyniku udzielenia niniejszego zamówienia, w zakresie:</w:t>
      </w:r>
    </w:p>
    <w:p w14:paraId="19F57BAE" w14:textId="77777777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przedmiotu zamówienia (przedmiotu i zakresu ubezpieczenia),</w:t>
      </w:r>
    </w:p>
    <w:p w14:paraId="7996820C" w14:textId="77777777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terminu wykonania zamówienia,</w:t>
      </w:r>
    </w:p>
    <w:p w14:paraId="1E07FD46" w14:textId="3B4F317E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wynagrodzenia Wykonawcy</w:t>
      </w:r>
      <w:r w:rsidR="00ED7177" w:rsidRPr="003E5509">
        <w:rPr>
          <w:rFonts w:asciiTheme="minorHAnsi" w:hAnsiTheme="minorHAnsi" w:cstheme="minorHAnsi"/>
          <w:sz w:val="22"/>
          <w:szCs w:val="22"/>
        </w:rPr>
        <w:t>,</w:t>
      </w:r>
    </w:p>
    <w:p w14:paraId="71200C17" w14:textId="065AC1BC" w:rsidR="00ED7177" w:rsidRPr="003E5509" w:rsidRDefault="00ED7177" w:rsidP="00ED7177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-  przy zmianach umowy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CB9708F" w14:textId="77777777" w:rsidR="00ED7177" w:rsidRPr="003E5509" w:rsidRDefault="00ED7177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338C2419" w14:textId="77777777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Do okoliczności, po wystąpieniu których Zamawiający przewiduje możliwość wprowadzenia zmiany należą:</w:t>
      </w:r>
    </w:p>
    <w:p w14:paraId="2251995E" w14:textId="77777777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zmiana obowiązujących przepisów prawa powodującą konieczność dostosowania do nich warunków umowy,</w:t>
      </w:r>
    </w:p>
    <w:p w14:paraId="2F756D29" w14:textId="5BBADECD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-    zmiany korzystne dla Zamawiającego/Ubezpieczającego/Ubezpieczonego.</w:t>
      </w:r>
    </w:p>
    <w:p w14:paraId="46E998B5" w14:textId="3210D464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Inne zmiany umowy są możliwe tylko w okolicznościach określonych w art. 454 i 455 ustawy PZP.</w:t>
      </w:r>
    </w:p>
    <w:p w14:paraId="4CC0C30E" w14:textId="127673BA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6" w:name="_Toc103068786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Środki ochrony prawnej przysługujące Wykonawcom</w:t>
      </w:r>
      <w:bookmarkEnd w:id="36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3C2EE1D9" w14:textId="7FC0CECB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Środki ochrony prawnej określone w niniejszym dziale przysługują </w:t>
      </w:r>
      <w:r w:rsidR="00282090" w:rsidRPr="003E5509">
        <w:rPr>
          <w:rFonts w:asciiTheme="minorHAnsi" w:hAnsiTheme="minorHAnsi" w:cstheme="minorHAnsi"/>
          <w:sz w:val="22"/>
          <w:szCs w:val="22"/>
        </w:rPr>
        <w:t>W</w:t>
      </w:r>
      <w:r w:rsidRPr="003E5509">
        <w:rPr>
          <w:rFonts w:asciiTheme="minorHAnsi" w:hAnsiTheme="minorHAnsi" w:cstheme="minorHAnsi"/>
          <w:sz w:val="22"/>
          <w:szCs w:val="22"/>
        </w:rPr>
        <w:t xml:space="preserve">ykonawcy, uczestnikowi konkursu oraz innemu podmiotowi, jeżeli ma lub miał interes w uzyskaniu zamówienia lub nagrody </w:t>
      </w:r>
      <w:r w:rsidRPr="003E5509">
        <w:rPr>
          <w:rFonts w:asciiTheme="minorHAnsi" w:hAnsiTheme="minorHAnsi" w:cstheme="minorHAnsi"/>
          <w:sz w:val="22"/>
          <w:szCs w:val="22"/>
        </w:rPr>
        <w:lastRenderedPageBreak/>
        <w:t xml:space="preserve">w konkursie oraz poniósł lub może ponieść szkodę w wyniku naruszenia przez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amawiającego przepisów ustawy PZP</w:t>
      </w:r>
      <w:r w:rsidR="00040ED9" w:rsidRPr="003E5509">
        <w:rPr>
          <w:rFonts w:asciiTheme="minorHAnsi" w:hAnsiTheme="minorHAnsi" w:cstheme="minorHAnsi"/>
          <w:sz w:val="22"/>
          <w:szCs w:val="22"/>
        </w:rPr>
        <w:t>.</w:t>
      </w:r>
      <w:r w:rsidRPr="003E55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B039E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204B499B" w14:textId="77777777" w:rsidR="00783330" w:rsidRPr="003E5509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3E5509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 do której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amawiający był obowiązany na podstawie ustawy;</w:t>
      </w:r>
    </w:p>
    <w:p w14:paraId="0E335670" w14:textId="12E668C9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Odwołanie wnosi się do Prezesa Izby. Odwołujący przekazuje kopię odwołania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6287B85D" w14:textId="33545A8A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Odwołanie wobec treści ogłoszenia lub treści SWZ wnosi się w terminie</w:t>
      </w:r>
      <w:r w:rsidR="00DE7742" w:rsidRPr="003E5509">
        <w:rPr>
          <w:rFonts w:asciiTheme="minorHAnsi" w:hAnsiTheme="minorHAnsi" w:cstheme="minorHAnsi"/>
          <w:sz w:val="22"/>
          <w:szCs w:val="22"/>
        </w:rPr>
        <w:t xml:space="preserve"> </w:t>
      </w:r>
      <w:r w:rsidR="00040ED9" w:rsidRPr="003E5509">
        <w:rPr>
          <w:rFonts w:asciiTheme="minorHAnsi" w:hAnsiTheme="minorHAnsi" w:cstheme="minorHAnsi"/>
          <w:sz w:val="22"/>
          <w:szCs w:val="22"/>
        </w:rPr>
        <w:t>10</w:t>
      </w:r>
      <w:r w:rsidRPr="003E5509">
        <w:rPr>
          <w:rFonts w:asciiTheme="minorHAnsi" w:hAnsiTheme="minorHAnsi" w:cstheme="minorHAnsi"/>
          <w:sz w:val="22"/>
          <w:szCs w:val="22"/>
        </w:rPr>
        <w:t xml:space="preserve"> dni od dnia zamieszczenia ogłoszenia w </w:t>
      </w:r>
      <w:r w:rsidR="00DE7742" w:rsidRPr="003E5509">
        <w:rPr>
          <w:rFonts w:asciiTheme="minorHAnsi" w:hAnsiTheme="minorHAnsi" w:cstheme="minorHAnsi"/>
          <w:sz w:val="22"/>
          <w:szCs w:val="22"/>
        </w:rPr>
        <w:t>Dzienniku Urzędowym Unii Europejskiej</w:t>
      </w:r>
      <w:r w:rsidRPr="003E5509">
        <w:rPr>
          <w:rFonts w:asciiTheme="minorHAnsi" w:hAnsiTheme="minorHAnsi" w:cstheme="minorHAnsi"/>
          <w:sz w:val="22"/>
          <w:szCs w:val="22"/>
        </w:rPr>
        <w:t xml:space="preserve"> lub treści SWZ na stronie internetowej.</w:t>
      </w:r>
    </w:p>
    <w:p w14:paraId="5F967CEF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Odwołanie wnosi się w terminie:</w:t>
      </w:r>
    </w:p>
    <w:p w14:paraId="13017FE3" w14:textId="731AADB9" w:rsidR="00783330" w:rsidRPr="003E5509" w:rsidRDefault="00040ED9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10 </w:t>
      </w:r>
      <w:r w:rsidR="00783330" w:rsidRPr="003E5509">
        <w:rPr>
          <w:rFonts w:asciiTheme="minorHAnsi" w:hAnsiTheme="minorHAnsi" w:cstheme="minorHAnsi"/>
          <w:sz w:val="22"/>
          <w:szCs w:val="22"/>
        </w:rPr>
        <w:t xml:space="preserve">dni od dnia przekazania informacji o czynności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="00783330" w:rsidRPr="003E5509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65BB298D" w14:textId="2928368C" w:rsidR="00783330" w:rsidRPr="003E5509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1</w:t>
      </w:r>
      <w:r w:rsidR="00040ED9" w:rsidRPr="003E5509">
        <w:rPr>
          <w:rFonts w:asciiTheme="minorHAnsi" w:hAnsiTheme="minorHAnsi" w:cstheme="minorHAnsi"/>
          <w:sz w:val="22"/>
          <w:szCs w:val="22"/>
        </w:rPr>
        <w:t>5</w:t>
      </w:r>
      <w:r w:rsidRPr="003E5509">
        <w:rPr>
          <w:rFonts w:asciiTheme="minorHAnsi" w:hAnsiTheme="minorHAnsi" w:cstheme="minorHAnsi"/>
          <w:sz w:val="22"/>
          <w:szCs w:val="22"/>
        </w:rPr>
        <w:t xml:space="preserve"> dni od dnia przekazania informacji o czynności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58360021" w14:textId="6596655A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Odwołanie w przypadkach innych niż określone w pkt 5 i 6 wnosi się w terminie </w:t>
      </w:r>
      <w:r w:rsidR="00040ED9" w:rsidRPr="003E5509">
        <w:rPr>
          <w:rFonts w:asciiTheme="minorHAnsi" w:hAnsiTheme="minorHAnsi" w:cstheme="minorHAnsi"/>
          <w:sz w:val="22"/>
          <w:szCs w:val="22"/>
        </w:rPr>
        <w:t>10</w:t>
      </w:r>
      <w:r w:rsidRPr="003E5509">
        <w:rPr>
          <w:rFonts w:asciiTheme="minorHAnsi" w:hAnsiTheme="minorHAnsi" w:cstheme="minorHAnsi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</w:t>
      </w:r>
      <w:r w:rsidRPr="003E5509">
        <w:rPr>
          <w:rFonts w:asciiTheme="minorHAnsi" w:hAnsiTheme="minorHAnsi" w:cstheme="minorHAnsi"/>
          <w:sz w:val="22"/>
          <w:szCs w:val="22"/>
        </w:rPr>
        <w:lastRenderedPageBreak/>
        <w:t>wyznaczonego w rozumieniu ustawy z dnia 23 listopada 2012 r. - Prawo pocztowe jest równoznaczne z jej wniesieniem.</w:t>
      </w:r>
    </w:p>
    <w:p w14:paraId="7D9FFFC5" w14:textId="7E69D475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C00A630" w14:textId="71A34C36" w:rsidR="005C3A5C" w:rsidRPr="003E5509" w:rsidRDefault="00BA1DD3" w:rsidP="00CA008A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7" w:name="_Toc103068787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Wymagania dotyczące wadium oraz zabezpieczenia należytego</w:t>
      </w:r>
      <w:bookmarkEnd w:id="37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1DB3ABAE" w14:textId="030EDB53" w:rsidR="00BA1DD3" w:rsidRPr="003E5509" w:rsidRDefault="00BA1DD3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8" w:name="_Toc103068788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wykonania umowy</w:t>
      </w:r>
      <w:bookmarkEnd w:id="38"/>
    </w:p>
    <w:p w14:paraId="76FE6F1B" w14:textId="2B023FE2" w:rsidR="00C24310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9" w:name="_Hlk89935289"/>
      <w:r w:rsidRPr="003E5509">
        <w:rPr>
          <w:rFonts w:asciiTheme="minorHAnsi" w:hAnsiTheme="minorHAnsi" w:cstheme="minorHAnsi"/>
          <w:bCs/>
          <w:sz w:val="22"/>
          <w:szCs w:val="22"/>
        </w:rPr>
        <w:t xml:space="preserve">Wykonawca zobowiązany jest do </w:t>
      </w:r>
      <w:r w:rsidR="00B42B0A" w:rsidRPr="003E5509">
        <w:rPr>
          <w:rFonts w:asciiTheme="minorHAnsi" w:hAnsiTheme="minorHAnsi" w:cstheme="minorHAnsi"/>
          <w:bCs/>
          <w:sz w:val="22"/>
          <w:szCs w:val="22"/>
        </w:rPr>
        <w:t>wniesienia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wadium w wysokości: </w:t>
      </w:r>
    </w:p>
    <w:p w14:paraId="43F03327" w14:textId="5690E3AA" w:rsidR="00C24310" w:rsidRPr="00C5457F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57F">
        <w:rPr>
          <w:rFonts w:asciiTheme="minorHAnsi" w:hAnsiTheme="minorHAnsi" w:cstheme="minorHAnsi"/>
          <w:bCs/>
          <w:sz w:val="22"/>
          <w:szCs w:val="22"/>
        </w:rPr>
        <w:t>dla CZĘŚCI 1 -</w:t>
      </w:r>
      <w:r w:rsidR="009F6B7A" w:rsidRPr="00C5457F">
        <w:rPr>
          <w:rFonts w:asciiTheme="minorHAnsi" w:hAnsiTheme="minorHAnsi" w:cstheme="minorHAnsi"/>
          <w:bCs/>
          <w:sz w:val="22"/>
          <w:szCs w:val="22"/>
        </w:rPr>
        <w:t xml:space="preserve">49 800,00 </w:t>
      </w:r>
      <w:r w:rsidRPr="00C5457F">
        <w:rPr>
          <w:rFonts w:asciiTheme="minorHAnsi" w:hAnsiTheme="minorHAnsi" w:cstheme="minorHAnsi"/>
          <w:bCs/>
          <w:sz w:val="22"/>
          <w:szCs w:val="22"/>
        </w:rPr>
        <w:t>zł (</w:t>
      </w:r>
      <w:r w:rsidR="009F6B7A" w:rsidRPr="00C5457F">
        <w:rPr>
          <w:rFonts w:asciiTheme="minorHAnsi" w:hAnsiTheme="minorHAnsi" w:cstheme="minorHAnsi"/>
          <w:bCs/>
          <w:sz w:val="22"/>
          <w:szCs w:val="22"/>
        </w:rPr>
        <w:t>czterdzieści dziewięć tysięcy osiemset złotych</w:t>
      </w:r>
      <w:r w:rsidRPr="00C5457F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p w14:paraId="70E73435" w14:textId="5979270D" w:rsidR="00C24310" w:rsidRPr="00C5457F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57F">
        <w:rPr>
          <w:rFonts w:asciiTheme="minorHAnsi" w:hAnsiTheme="minorHAnsi" w:cstheme="minorHAnsi"/>
          <w:bCs/>
          <w:sz w:val="22"/>
          <w:szCs w:val="22"/>
        </w:rPr>
        <w:t>dla CZĘŚCI 2</w:t>
      </w:r>
      <w:r w:rsidR="00AC6554" w:rsidRPr="00C545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6B7A" w:rsidRPr="00C5457F">
        <w:rPr>
          <w:rFonts w:asciiTheme="minorHAnsi" w:hAnsiTheme="minorHAnsi" w:cstheme="minorHAnsi"/>
          <w:bCs/>
          <w:sz w:val="22"/>
          <w:szCs w:val="22"/>
        </w:rPr>
        <w:t>–</w:t>
      </w:r>
      <w:r w:rsidRPr="00C545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457F" w:rsidRPr="00C5457F">
        <w:rPr>
          <w:rFonts w:asciiTheme="minorHAnsi" w:hAnsiTheme="minorHAnsi" w:cstheme="minorHAnsi"/>
          <w:bCs/>
          <w:sz w:val="22"/>
          <w:szCs w:val="22"/>
        </w:rPr>
        <w:t>19 800,00</w:t>
      </w:r>
      <w:r w:rsidRPr="00C5457F">
        <w:rPr>
          <w:rFonts w:asciiTheme="minorHAnsi" w:hAnsiTheme="minorHAnsi" w:cstheme="minorHAnsi"/>
          <w:bCs/>
          <w:sz w:val="22"/>
          <w:szCs w:val="22"/>
        </w:rPr>
        <w:t xml:space="preserve"> zł (</w:t>
      </w:r>
      <w:r w:rsidR="00C5457F" w:rsidRPr="00C5457F">
        <w:rPr>
          <w:rFonts w:asciiTheme="minorHAnsi" w:hAnsiTheme="minorHAnsi" w:cstheme="minorHAnsi"/>
          <w:bCs/>
          <w:sz w:val="22"/>
          <w:szCs w:val="22"/>
        </w:rPr>
        <w:t>dziewiętnaście tysięcy osiemset złotych</w:t>
      </w:r>
      <w:r w:rsidRPr="00C5457F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bookmarkEnd w:id="39"/>
    <w:p w14:paraId="51E53790" w14:textId="5A607DA9" w:rsidR="00040ED9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Wadium wnosi się przed upływem terminu składania ofert i utrzymuje nieprzerwanie do dnia upływu terminu związania ofertą, z wyjątkiem przypadków, o których mowa w art. 98 ust. 1 pkt 2 i 3 oraz ust. 2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 xml:space="preserve"> ustawy PZP.</w:t>
      </w:r>
    </w:p>
    <w:p w14:paraId="52D6AECE" w14:textId="77777777" w:rsidR="00C24310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Wadium może być wnoszone według wyboru Wykonawcy w jednej lub kilku następujących formach:</w:t>
      </w:r>
    </w:p>
    <w:p w14:paraId="44F49551" w14:textId="77777777" w:rsidR="005A013D" w:rsidRPr="003E5509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040ED9" w:rsidRPr="003E5509">
        <w:rPr>
          <w:rFonts w:asciiTheme="minorHAnsi" w:hAnsiTheme="minorHAnsi" w:cstheme="minorHAnsi"/>
          <w:b/>
          <w:sz w:val="22"/>
          <w:szCs w:val="22"/>
        </w:rPr>
        <w:t>pieniądzu</w:t>
      </w:r>
      <w:r w:rsidR="00040ED9" w:rsidRPr="003E5509">
        <w:rPr>
          <w:rFonts w:asciiTheme="minorHAnsi" w:hAnsiTheme="minorHAnsi" w:cstheme="minorHAnsi"/>
          <w:bCs/>
          <w:sz w:val="22"/>
          <w:szCs w:val="22"/>
        </w:rPr>
        <w:t>;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należy wnieść przelewem na konto:  </w:t>
      </w:r>
    </w:p>
    <w:p w14:paraId="12D6C1B0" w14:textId="4B6651FD" w:rsidR="00AC6554" w:rsidRPr="003E5509" w:rsidRDefault="00AC6554" w:rsidP="00AC6554">
      <w:pPr>
        <w:pStyle w:val="Akapitzlist"/>
        <w:suppressAutoHyphens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rachunek bankowy Zamawiającego, wskazany w Rozdziale I, z dopiskiem "Wadium - nr postępowania </w:t>
      </w:r>
      <w:r w:rsidR="00CA008A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……………….</w:t>
      </w:r>
      <w:r w:rsidR="00734424" w:rsidRPr="003E550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E80A9E" w:rsidRPr="003E5509">
        <w:rPr>
          <w:rFonts w:asciiTheme="minorHAnsi" w:hAnsiTheme="minorHAnsi" w:cstheme="minorHAnsi"/>
          <w:b/>
          <w:bCs/>
          <w:sz w:val="22"/>
          <w:szCs w:val="22"/>
          <w:lang w:val="pl-PL"/>
        </w:rPr>
        <w:t>dl</w:t>
      </w:r>
      <w:r w:rsidRPr="003E5509">
        <w:rPr>
          <w:rFonts w:asciiTheme="minorHAnsi" w:hAnsiTheme="minorHAnsi" w:cstheme="minorHAnsi"/>
          <w:b/>
          <w:sz w:val="22"/>
          <w:szCs w:val="22"/>
        </w:rPr>
        <w:t>a CZĘŚCI ………………….</w:t>
      </w:r>
    </w:p>
    <w:p w14:paraId="029290FE" w14:textId="5D0B3AAC" w:rsidR="005A013D" w:rsidRPr="003E5509" w:rsidRDefault="005A013D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UWAGA: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Za termin wniesienia wadium w formie pieniężnej zostanie przyjęty termin uznania rachunku Zamawiającego.</w:t>
      </w:r>
    </w:p>
    <w:p w14:paraId="15C5A1FC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gwarancjach bankowych;</w:t>
      </w:r>
    </w:p>
    <w:p w14:paraId="36F4D73E" w14:textId="68015278" w:rsidR="00040ED9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gwarancjach ubezpieczeniowych;</w:t>
      </w:r>
    </w:p>
    <w:p w14:paraId="69F23E3D" w14:textId="57195227" w:rsidR="00040ED9" w:rsidRPr="003E5509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040ED9" w:rsidRPr="003E5509">
        <w:rPr>
          <w:rFonts w:asciiTheme="minorHAnsi" w:hAnsiTheme="minorHAnsi" w:cstheme="minorHAnsi"/>
          <w:bCs/>
          <w:sz w:val="22"/>
          <w:szCs w:val="22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75ACB6A5" w14:textId="0E31825B" w:rsidR="00040ED9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Wadium wnoszone w formie poręczeń lub gwarancji musi spełniać co najmniej poniższe wymagania:</w:t>
      </w:r>
    </w:p>
    <w:p w14:paraId="76FA463C" w14:textId="43F7277F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musi obejmować odpowiedzialność za wszystkie przypadki powodujące utratę wadium przez Wykonawcę określone w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ustawie PZP</w:t>
      </w:r>
      <w:r w:rsidRPr="003E5509">
        <w:rPr>
          <w:rFonts w:asciiTheme="minorHAnsi" w:hAnsiTheme="minorHAnsi" w:cstheme="minorHAnsi"/>
          <w:bCs/>
          <w:sz w:val="22"/>
          <w:szCs w:val="22"/>
        </w:rPr>
        <w:t>, bez potwierdzania tych okoliczności;</w:t>
      </w:r>
    </w:p>
    <w:p w14:paraId="587A96F4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z jej treści powinno jednoznacznej wynikać zobowiązanie gwaranta do zapłaty całej kwoty wadium;</w:t>
      </w:r>
    </w:p>
    <w:p w14:paraId="030AA505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powinno być nieodwołalne i bezwarunkowe oraz płatne na pierwsze żądanie;</w:t>
      </w:r>
    </w:p>
    <w:p w14:paraId="63864D46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648F5FB7" w14:textId="593B1CC6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lastRenderedPageBreak/>
        <w:t>w treści poręczenia lub gwarancji powinna znaleźć się nazwa oraz numer przedmiotowego postępowania;</w:t>
      </w:r>
    </w:p>
    <w:p w14:paraId="3AF3DE90" w14:textId="3C3CFE76" w:rsidR="00230712" w:rsidRPr="003E5509" w:rsidRDefault="00040ED9" w:rsidP="00972010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beneficjentem poręczenia lub gwarancji jest: </w:t>
      </w:r>
      <w:r w:rsidR="00F25B3A">
        <w:rPr>
          <w:rFonts w:asciiTheme="minorHAnsi" w:hAnsiTheme="minorHAnsi" w:cstheme="minorHAnsi"/>
          <w:bCs/>
          <w:sz w:val="22"/>
          <w:szCs w:val="22"/>
        </w:rPr>
        <w:t xml:space="preserve">Uniwersytecki Szpital Kliniczny w Białymstoku </w:t>
      </w:r>
    </w:p>
    <w:p w14:paraId="55383C9D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w przypadku Wykonawców wspólnie ubiegających się o udzielenie zamówienia (art. 58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ustawy PZP</w:t>
      </w:r>
      <w:r w:rsidRPr="003E5509">
        <w:rPr>
          <w:rFonts w:asciiTheme="minorHAnsi" w:hAnsiTheme="minorHAnsi" w:cstheme="minorHAnsi"/>
          <w:bCs/>
          <w:sz w:val="22"/>
          <w:szCs w:val="22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429FC3B" w14:textId="25B19526" w:rsidR="00040ED9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musi zostać złożone w </w:t>
      </w:r>
      <w:r w:rsidR="00F9309A" w:rsidRPr="003E5509">
        <w:rPr>
          <w:rFonts w:asciiTheme="minorHAnsi" w:hAnsiTheme="minorHAnsi" w:cstheme="minorHAnsi"/>
          <w:b/>
          <w:sz w:val="22"/>
          <w:szCs w:val="22"/>
        </w:rPr>
        <w:t>formie</w:t>
      </w:r>
      <w:r w:rsidRPr="003E5509">
        <w:rPr>
          <w:rFonts w:asciiTheme="minorHAnsi" w:hAnsiTheme="minorHAnsi" w:cstheme="minorHAnsi"/>
          <w:b/>
          <w:sz w:val="22"/>
          <w:szCs w:val="22"/>
        </w:rPr>
        <w:t xml:space="preserve"> elektronicznej, opatrzone kwalifikowanym podpisem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5509">
        <w:rPr>
          <w:rFonts w:asciiTheme="minorHAnsi" w:hAnsiTheme="minorHAnsi" w:cstheme="minorHAnsi"/>
          <w:b/>
          <w:sz w:val="22"/>
          <w:szCs w:val="22"/>
        </w:rPr>
        <w:t>elektronicznym przez wystawcę poręczenia lub gwarancji.</w:t>
      </w:r>
    </w:p>
    <w:p w14:paraId="4D46D286" w14:textId="77777777" w:rsidR="00C24310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W przypadku wniesienia wadium w formie:</w:t>
      </w:r>
    </w:p>
    <w:p w14:paraId="59C4A421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pieniężnej - zaleca się, by dowód dokonania przelewu został dołączony do oferty;</w:t>
      </w:r>
    </w:p>
    <w:p w14:paraId="3B86F540" w14:textId="6CE64A7E" w:rsidR="00040ED9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poręczeń lub gwarancji - wymaga się, by oryginał dokumentu został złożony wraz z ofertą</w:t>
      </w:r>
      <w:r w:rsidRPr="003E55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7B5B76" w14:textId="16B6B3D0" w:rsidR="00040ED9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W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ustawy PZP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zostanie odrzucona.</w:t>
      </w:r>
    </w:p>
    <w:p w14:paraId="0FEBD8A0" w14:textId="1AFE63F6" w:rsidR="00BA1DD3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Zasady zwrotu oraz okoliczności zatrzymania wadium określa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ustawa PZP</w:t>
      </w:r>
      <w:r w:rsidR="00D44F2A" w:rsidRPr="003E55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4D8A78" w14:textId="63B094B3" w:rsidR="00125C59" w:rsidRPr="00C23189" w:rsidRDefault="00125C5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3189">
        <w:rPr>
          <w:rFonts w:asciiTheme="minorHAnsi" w:hAnsiTheme="minorHAnsi" w:cstheme="minorHAnsi"/>
          <w:bCs/>
          <w:sz w:val="22"/>
          <w:szCs w:val="22"/>
        </w:rPr>
        <w:t>Zamawiający nie wymaga wniesienia zabezpieczenia należytego wykonania umowy.</w:t>
      </w:r>
    </w:p>
    <w:p w14:paraId="32ACB356" w14:textId="7E1045FB" w:rsidR="00BA1DD3" w:rsidRPr="00C23189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0" w:name="_Toc103068789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walut obcych</w:t>
      </w:r>
      <w:bookmarkEnd w:id="40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1A31C295" w14:textId="4C5E406B" w:rsidR="00BA1DD3" w:rsidRPr="00C23189" w:rsidRDefault="00BA1DD3" w:rsidP="00947C25">
      <w:pPr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77FDD98F" w14:textId="3BF2870C" w:rsidR="00BA1DD3" w:rsidRPr="00C5457F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1" w:name="_Toc103068790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Informacje o formalnościach, jakie powinny zostać dopełnione po wyborze </w:t>
      </w:r>
      <w:r w:rsidRPr="00C5457F">
        <w:rPr>
          <w:rFonts w:asciiTheme="minorHAnsi" w:hAnsiTheme="minorHAnsi" w:cstheme="minorHAnsi"/>
          <w:bCs/>
          <w:i w:val="0"/>
          <w:color w:val="auto"/>
          <w:spacing w:val="20"/>
        </w:rPr>
        <w:t>oferty w celu zawarcia umowy w sprawie zamówienia publicznego</w:t>
      </w:r>
      <w:bookmarkEnd w:id="41"/>
    </w:p>
    <w:p w14:paraId="21D43127" w14:textId="18BD5B73" w:rsidR="008B54FE" w:rsidRPr="00C5457F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5457F">
        <w:rPr>
          <w:rFonts w:asciiTheme="minorHAnsi" w:hAnsiTheme="minorHAnsi" w:cstheme="minorHAnsi"/>
          <w:sz w:val="22"/>
          <w:szCs w:val="22"/>
        </w:rPr>
        <w:t>Wybrany Wykonawca</w:t>
      </w:r>
      <w:r w:rsidRPr="00C23189">
        <w:rPr>
          <w:rFonts w:asciiTheme="minorHAnsi" w:hAnsiTheme="minorHAnsi" w:cstheme="minorHAnsi"/>
          <w:sz w:val="22"/>
          <w:szCs w:val="22"/>
        </w:rPr>
        <w:t xml:space="preserve"> jest zobowiązany do zawarcia umowy w sprawie zamówienia publicznego na warunkach określonych we Wzorze Umowy, stanowiącym odpowiedni </w:t>
      </w:r>
      <w:r w:rsidRPr="00C5457F">
        <w:rPr>
          <w:rFonts w:asciiTheme="minorHAnsi" w:hAnsiTheme="minorHAnsi" w:cstheme="minorHAnsi"/>
          <w:sz w:val="22"/>
          <w:szCs w:val="22"/>
        </w:rPr>
        <w:t>Załącznik nr 3</w:t>
      </w:r>
      <w:r w:rsidR="00CA008A" w:rsidRPr="00C5457F">
        <w:rPr>
          <w:rFonts w:asciiTheme="minorHAnsi" w:hAnsiTheme="minorHAnsi" w:cstheme="minorHAnsi"/>
          <w:sz w:val="22"/>
          <w:szCs w:val="22"/>
        </w:rPr>
        <w:t>a, 3b</w:t>
      </w:r>
      <w:r w:rsidRPr="00C5457F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646E7843" w14:textId="022AF0DD" w:rsidR="008B54FE" w:rsidRPr="00C23189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Zakres świadczenia Wykonawcy wynikający z umowy jest tożsamy z jego zobowiązaniem zawartym w ofercie.</w:t>
      </w:r>
    </w:p>
    <w:p w14:paraId="7B924901" w14:textId="3CDFC21E" w:rsidR="008B6FDE" w:rsidRPr="00C23189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 przypadku wyboru oferty złożonej przez Wykonawców wspólnie ubiegających się o udzielenie zamówienia</w:t>
      </w:r>
      <w:r w:rsidR="00D44F2A" w:rsidRPr="00C23189">
        <w:rPr>
          <w:rFonts w:asciiTheme="minorHAnsi" w:hAnsiTheme="minorHAnsi" w:cstheme="minorHAnsi"/>
          <w:sz w:val="22"/>
          <w:szCs w:val="22"/>
        </w:rPr>
        <w:t>,</w:t>
      </w:r>
      <w:r w:rsidRPr="00C23189">
        <w:rPr>
          <w:rFonts w:asciiTheme="minorHAnsi" w:hAnsiTheme="minorHAnsi" w:cstheme="minorHAnsi"/>
          <w:sz w:val="22"/>
          <w:szCs w:val="22"/>
        </w:rPr>
        <w:t xml:space="preserve"> Zamawiający zastrzega sobie prawo żądania przed zawarciem umowy w sprawie zamówienia publicznego</w:t>
      </w:r>
      <w:r w:rsidR="00D44F2A" w:rsidRPr="00C23189">
        <w:rPr>
          <w:rFonts w:asciiTheme="minorHAnsi" w:hAnsiTheme="minorHAnsi" w:cstheme="minorHAnsi"/>
          <w:sz w:val="22"/>
          <w:szCs w:val="22"/>
        </w:rPr>
        <w:t>,</w:t>
      </w:r>
      <w:r w:rsidRPr="00C23189">
        <w:rPr>
          <w:rFonts w:asciiTheme="minorHAnsi" w:hAnsiTheme="minorHAnsi" w:cstheme="minorHAnsi"/>
          <w:sz w:val="22"/>
          <w:szCs w:val="22"/>
        </w:rPr>
        <w:t xml:space="preserve"> umowy regulującej współpracę tych Wykonawców.</w:t>
      </w:r>
    </w:p>
    <w:p w14:paraId="360792C4" w14:textId="77777777" w:rsidR="008B6FDE" w:rsidRPr="00C23189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Wykonawca będzie zobowiązany do podpisania umowy w miejscu i terminie wskazanym przez Zamawiającego.</w:t>
      </w:r>
    </w:p>
    <w:p w14:paraId="4868BC96" w14:textId="77777777" w:rsidR="00BA1DD3" w:rsidRPr="00C23189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2" w:name="_Toc103068791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Obowiązki Informacyjne wynikające z RODO</w:t>
      </w:r>
      <w:bookmarkEnd w:id="42"/>
    </w:p>
    <w:p w14:paraId="37F00A6F" w14:textId="2148C23D" w:rsidR="008B54FE" w:rsidRPr="00C23189" w:rsidRDefault="008B54FE" w:rsidP="00833A2E">
      <w:pPr>
        <w:numPr>
          <w:ilvl w:val="0"/>
          <w:numId w:val="27"/>
        </w:numPr>
        <w:suppressAutoHyphens w:val="0"/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</w:t>
      </w:r>
      <w:r w:rsidR="00B25210" w:rsidRPr="00C23189">
        <w:rPr>
          <w:rFonts w:asciiTheme="minorHAnsi" w:hAnsiTheme="minorHAnsi" w:cstheme="minorHAnsi"/>
          <w:sz w:val="22"/>
          <w:szCs w:val="22"/>
        </w:rPr>
        <w:t>) informuje, że</w:t>
      </w:r>
      <w:r w:rsidR="00CF3932" w:rsidRPr="00C23189">
        <w:rPr>
          <w:rFonts w:asciiTheme="minorHAnsi" w:hAnsiTheme="minorHAnsi" w:cstheme="minorHAnsi"/>
          <w:sz w:val="22"/>
          <w:szCs w:val="22"/>
        </w:rPr>
        <w:t>:</w:t>
      </w:r>
    </w:p>
    <w:p w14:paraId="22528915" w14:textId="47BD0535" w:rsidR="000F6283" w:rsidRPr="00C23189" w:rsidRDefault="00CF3932" w:rsidP="00CD17B2">
      <w:pPr>
        <w:pStyle w:val="Akapitzlist"/>
        <w:numPr>
          <w:ilvl w:val="1"/>
          <w:numId w:val="27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3189">
        <w:rPr>
          <w:rFonts w:asciiTheme="minorHAnsi" w:hAnsiTheme="minorHAnsi" w:cstheme="minorHAnsi"/>
          <w:sz w:val="22"/>
          <w:szCs w:val="22"/>
          <w:lang w:val="pl-PL"/>
        </w:rPr>
        <w:t xml:space="preserve">administratorem Pana/Pani danych osobowych jest </w:t>
      </w:r>
      <w:r w:rsidR="00C23189" w:rsidRPr="00C23189">
        <w:rPr>
          <w:rFonts w:asciiTheme="minorHAnsi" w:hAnsiTheme="minorHAnsi" w:cstheme="minorHAnsi"/>
          <w:sz w:val="22"/>
          <w:szCs w:val="22"/>
          <w:lang w:val="pl-PL"/>
        </w:rPr>
        <w:t xml:space="preserve">Uniwersytecki Szpital Kliniczny w Białymstoku </w:t>
      </w:r>
    </w:p>
    <w:p w14:paraId="31BD4361" w14:textId="68B5987C" w:rsidR="008B54FE" w:rsidRPr="00AC085B" w:rsidRDefault="008B54FE" w:rsidP="00AC085B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AC085B">
        <w:rPr>
          <w:rFonts w:asciiTheme="minorHAnsi" w:hAnsiTheme="minorHAnsi" w:cstheme="minorHAnsi"/>
          <w:sz w:val="22"/>
          <w:szCs w:val="22"/>
        </w:rPr>
        <w:t>administrator wyznaczył Inspektora Danych Osobowych, z którym można się kontaktować pod adresem e-mail</w:t>
      </w:r>
      <w:r w:rsidR="00E80A9E" w:rsidRPr="00AC085B">
        <w:rPr>
          <w:rFonts w:asciiTheme="minorHAnsi" w:hAnsiTheme="minorHAnsi" w:cstheme="minorHAnsi"/>
          <w:sz w:val="22"/>
          <w:szCs w:val="22"/>
        </w:rPr>
        <w:t xml:space="preserve">: </w:t>
      </w:r>
      <w:hyperlink r:id="rId35" w:history="1">
        <w:r w:rsidR="00AC085B" w:rsidRPr="00AC085B">
          <w:rPr>
            <w:rFonts w:asciiTheme="minorHAnsi" w:hAnsiTheme="minorHAnsi" w:cstheme="minorHAnsi"/>
            <w:sz w:val="22"/>
            <w:szCs w:val="22"/>
          </w:rPr>
          <w:t>Zygmunt.karp@uskwb.pl</w:t>
        </w:r>
      </w:hyperlink>
    </w:p>
    <w:p w14:paraId="5CDEF69C" w14:textId="323B8DD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70A7B308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6C8C3D7A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BD13724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posiada Pani/Pan:</w:t>
      </w:r>
    </w:p>
    <w:p w14:paraId="343D490E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C23189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23189">
        <w:rPr>
          <w:rFonts w:asciiTheme="minorHAnsi" w:hAnsiTheme="minorHAnsi" w:cstheme="minorHAnsi"/>
          <w:sz w:val="22"/>
          <w:szCs w:val="22"/>
        </w:rPr>
        <w:t>);</w:t>
      </w:r>
    </w:p>
    <w:p w14:paraId="5E8E134C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</w:t>
      </w:r>
      <w:r w:rsidRPr="00C23189">
        <w:rPr>
          <w:rFonts w:asciiTheme="minorHAnsi" w:hAnsiTheme="minorHAnsi" w:cstheme="minorHAnsi"/>
          <w:sz w:val="22"/>
          <w:szCs w:val="22"/>
        </w:rPr>
        <w:lastRenderedPageBreak/>
        <w:t>udzielenie zamówienia publicznego lub konkursu oraz przypadków, o których mowa w art. 18 ust. 2 RODO (</w:t>
      </w:r>
      <w:r w:rsidRPr="00C23189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23189">
        <w:rPr>
          <w:rFonts w:asciiTheme="minorHAnsi" w:hAnsiTheme="minorHAnsi" w:cstheme="minorHAnsi"/>
          <w:sz w:val="22"/>
          <w:szCs w:val="22"/>
        </w:rPr>
        <w:t>);</w:t>
      </w:r>
    </w:p>
    <w:p w14:paraId="0B873E27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C2318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E681517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59FDF2AA" w14:textId="77777777" w:rsidR="008B54FE" w:rsidRPr="00C23189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E533F64" w14:textId="77777777" w:rsidR="008B54FE" w:rsidRPr="00C23189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AB3E526" w14:textId="77777777" w:rsidR="008B54FE" w:rsidRPr="00C23189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C23189" w:rsidRDefault="008B54FE" w:rsidP="00972010">
      <w:pPr>
        <w:numPr>
          <w:ilvl w:val="1"/>
          <w:numId w:val="27"/>
        </w:numPr>
        <w:suppressAutoHyphens w:val="0"/>
        <w:spacing w:beforeLines="77" w:before="184" w:afterLines="120" w:after="288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B54FE" w:rsidRPr="00C23189" w:rsidSect="00B96E57">
      <w:headerReference w:type="default" r:id="rId36"/>
      <w:footerReference w:type="default" r:id="rId37"/>
      <w:footerReference w:type="first" r:id="rId38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EBC3" w14:textId="77777777" w:rsidR="004412E5" w:rsidRDefault="004412E5" w:rsidP="00BA1DD3">
      <w:r>
        <w:separator/>
      </w:r>
    </w:p>
  </w:endnote>
  <w:endnote w:type="continuationSeparator" w:id="0">
    <w:p w14:paraId="4CEEEDCD" w14:textId="77777777" w:rsidR="004412E5" w:rsidRDefault="004412E5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2888097F" w:rsidR="00240125" w:rsidRPr="00D3043C" w:rsidRDefault="00240125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481C03">
      <w:rPr>
        <w:rStyle w:val="Numerstrony"/>
        <w:rFonts w:ascii="Calibri" w:hAnsi="Calibri"/>
        <w:noProof/>
        <w:sz w:val="20"/>
      </w:rPr>
      <w:t>8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240125" w:rsidRPr="001F5552" w:rsidRDefault="00240125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240125" w:rsidRPr="00506324" w:rsidRDefault="00240125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EndPr/>
    <w:sdtContent>
      <w:p w14:paraId="737C7782" w14:textId="529A778C" w:rsidR="00240125" w:rsidRDefault="00240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03" w:rsidRPr="00481C03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240125" w:rsidRDefault="00240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21A5" w14:textId="77777777" w:rsidR="004412E5" w:rsidRDefault="004412E5" w:rsidP="00BA1DD3">
      <w:r>
        <w:separator/>
      </w:r>
    </w:p>
  </w:footnote>
  <w:footnote w:type="continuationSeparator" w:id="0">
    <w:p w14:paraId="269FEFBE" w14:textId="77777777" w:rsidR="004412E5" w:rsidRDefault="004412E5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349" w14:textId="55B977CB" w:rsidR="00240125" w:rsidRPr="00C67377" w:rsidRDefault="00240125" w:rsidP="00430BDE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ab/>
    </w:r>
    <w:r w:rsidRPr="0092402C">
      <w:rPr>
        <w:rFonts w:ascii="Calibri" w:hAnsi="Calibri" w:cs="Arial"/>
        <w:color w:val="0D0D0D"/>
        <w:sz w:val="16"/>
        <w:szCs w:val="16"/>
      </w:rPr>
      <w:t>Specyfikacja Warunków Zamówienia</w:t>
    </w:r>
    <w:r w:rsidR="00656BA6">
      <w:rPr>
        <w:rFonts w:ascii="Calibri" w:hAnsi="Calibri" w:cs="Arial"/>
        <w:color w:val="0D0D0D"/>
        <w:sz w:val="16"/>
        <w:szCs w:val="16"/>
      </w:rPr>
      <w:t xml:space="preserve"> </w:t>
    </w:r>
    <w:r w:rsidR="00DB51F9">
      <w:rPr>
        <w:rFonts w:ascii="Calibri" w:hAnsi="Calibri" w:cs="Arial"/>
        <w:color w:val="0D0D0D"/>
        <w:sz w:val="16"/>
        <w:szCs w:val="16"/>
      </w:rPr>
      <w:t>–</w:t>
    </w:r>
    <w:r w:rsidR="00656BA6">
      <w:rPr>
        <w:rFonts w:ascii="Calibri" w:hAnsi="Calibri" w:cs="Arial"/>
        <w:color w:val="0D0D0D"/>
        <w:sz w:val="16"/>
        <w:szCs w:val="16"/>
      </w:rPr>
      <w:t xml:space="preserve"> </w:t>
    </w:r>
    <w:r w:rsidR="00656BA6" w:rsidRPr="00DB51F9">
      <w:rPr>
        <w:rFonts w:ascii="Calibri" w:hAnsi="Calibri" w:cs="Arial"/>
        <w:color w:val="0D0D0D"/>
        <w:sz w:val="16"/>
        <w:szCs w:val="16"/>
        <w:highlight w:val="cyan"/>
      </w:rPr>
      <w:t>MODYFIKACJA</w:t>
    </w:r>
    <w:r w:rsidR="00DB51F9" w:rsidRPr="00DB51F9">
      <w:rPr>
        <w:rFonts w:ascii="Calibri" w:hAnsi="Calibri" w:cs="Arial"/>
        <w:color w:val="0D0D0D"/>
        <w:sz w:val="16"/>
        <w:szCs w:val="16"/>
        <w:highlight w:val="cyan"/>
      </w:rPr>
      <w:t xml:space="preserve"> - 2</w:t>
    </w:r>
  </w:p>
  <w:p w14:paraId="422CA7BA" w14:textId="74106620" w:rsidR="00240125" w:rsidRPr="00430BDE" w:rsidRDefault="00240125" w:rsidP="00B96E57">
    <w:pPr>
      <w:pStyle w:val="Bezodstpw"/>
      <w:rPr>
        <w:rFonts w:ascii="Calibri" w:hAnsi="Calibri"/>
        <w:color w:val="0D0D0D"/>
        <w:sz w:val="14"/>
        <w:szCs w:val="14"/>
      </w:rPr>
    </w:pPr>
    <w:r w:rsidRPr="00E61D01">
      <w:rPr>
        <w:rFonts w:ascii="Calibri" w:hAnsi="Calibri"/>
        <w:color w:val="0D0D0D"/>
        <w:sz w:val="14"/>
        <w:szCs w:val="14"/>
      </w:rPr>
      <w:t xml:space="preserve">Znak sprawy:  </w:t>
    </w:r>
    <w:r>
      <w:rPr>
        <w:rFonts w:asciiTheme="minorHAnsi" w:hAnsiTheme="minorHAnsi" w:cstheme="minorHAnsi"/>
        <w:sz w:val="18"/>
        <w:szCs w:val="18"/>
      </w:rPr>
      <w:t>54/2022</w:t>
    </w:r>
  </w:p>
  <w:p w14:paraId="462B71F9" w14:textId="77777777" w:rsidR="00240125" w:rsidRPr="00E868AE" w:rsidRDefault="00240125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D71AD3"/>
    <w:multiLevelType w:val="hybridMultilevel"/>
    <w:tmpl w:val="F47E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F5D786C"/>
    <w:multiLevelType w:val="multilevel"/>
    <w:tmpl w:val="A91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0A637A3"/>
    <w:multiLevelType w:val="hybridMultilevel"/>
    <w:tmpl w:val="8A1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0D19"/>
    <w:multiLevelType w:val="hybridMultilevel"/>
    <w:tmpl w:val="CB808AE6"/>
    <w:lvl w:ilvl="0" w:tplc="CAE4031C">
      <w:start w:val="2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2D87"/>
    <w:multiLevelType w:val="hybridMultilevel"/>
    <w:tmpl w:val="E730C994"/>
    <w:lvl w:ilvl="0" w:tplc="D41253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613474"/>
    <w:multiLevelType w:val="hybridMultilevel"/>
    <w:tmpl w:val="46BA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329A0D6D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0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D567C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3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decimal"/>
      <w:lvlText w:val="%9."/>
      <w:lvlJc w:val="left"/>
      <w:pPr>
        <w:tabs>
          <w:tab w:val="num" w:pos="20"/>
        </w:tabs>
        <w:ind w:left="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7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40509CE"/>
    <w:multiLevelType w:val="multilevel"/>
    <w:tmpl w:val="6342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9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72C4A"/>
    <w:multiLevelType w:val="multilevel"/>
    <w:tmpl w:val="0638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3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5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6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40" w15:restartNumberingAfterBreak="0">
    <w:nsid w:val="791D0F73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A6F4E0D"/>
    <w:multiLevelType w:val="multilevel"/>
    <w:tmpl w:val="DECE4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250F07"/>
    <w:multiLevelType w:val="multilevel"/>
    <w:tmpl w:val="D35A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D0D0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7609828">
    <w:abstractNumId w:val="0"/>
  </w:num>
  <w:num w:numId="2" w16cid:durableId="703948079">
    <w:abstractNumId w:val="1"/>
  </w:num>
  <w:num w:numId="3" w16cid:durableId="788595088">
    <w:abstractNumId w:val="3"/>
  </w:num>
  <w:num w:numId="4" w16cid:durableId="416632974">
    <w:abstractNumId w:val="4"/>
  </w:num>
  <w:num w:numId="5" w16cid:durableId="1365180787">
    <w:abstractNumId w:val="5"/>
  </w:num>
  <w:num w:numId="6" w16cid:durableId="107505639">
    <w:abstractNumId w:val="18"/>
  </w:num>
  <w:num w:numId="7" w16cid:durableId="627587081">
    <w:abstractNumId w:val="42"/>
  </w:num>
  <w:num w:numId="8" w16cid:durableId="560678327">
    <w:abstractNumId w:val="34"/>
  </w:num>
  <w:num w:numId="9" w16cid:durableId="391346853">
    <w:abstractNumId w:val="2"/>
  </w:num>
  <w:num w:numId="10" w16cid:durableId="735007913">
    <w:abstractNumId w:val="33"/>
  </w:num>
  <w:num w:numId="11" w16cid:durableId="962033110">
    <w:abstractNumId w:val="29"/>
  </w:num>
  <w:num w:numId="12" w16cid:durableId="1330064720">
    <w:abstractNumId w:val="43"/>
  </w:num>
  <w:num w:numId="13" w16cid:durableId="1868516712">
    <w:abstractNumId w:val="11"/>
  </w:num>
  <w:num w:numId="14" w16cid:durableId="1372342733">
    <w:abstractNumId w:val="26"/>
  </w:num>
  <w:num w:numId="15" w16cid:durableId="576940045">
    <w:abstractNumId w:val="21"/>
  </w:num>
  <w:num w:numId="16" w16cid:durableId="1074284021">
    <w:abstractNumId w:val="10"/>
  </w:num>
  <w:num w:numId="17" w16cid:durableId="1566254764">
    <w:abstractNumId w:val="9"/>
  </w:num>
  <w:num w:numId="18" w16cid:durableId="700013112">
    <w:abstractNumId w:val="39"/>
  </w:num>
  <w:num w:numId="19" w16cid:durableId="17555924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323899">
    <w:abstractNumId w:val="35"/>
  </w:num>
  <w:num w:numId="21" w16cid:durableId="1356926216">
    <w:abstractNumId w:val="15"/>
  </w:num>
  <w:num w:numId="22" w16cid:durableId="500390529">
    <w:abstractNumId w:val="6"/>
  </w:num>
  <w:num w:numId="23" w16cid:durableId="670328694">
    <w:abstractNumId w:val="31"/>
  </w:num>
  <w:num w:numId="24" w16cid:durableId="2035695000">
    <w:abstractNumId w:val="32"/>
  </w:num>
  <w:num w:numId="25" w16cid:durableId="1712076701">
    <w:abstractNumId w:val="22"/>
  </w:num>
  <w:num w:numId="26" w16cid:durableId="766536165">
    <w:abstractNumId w:val="2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9359376">
    <w:abstractNumId w:val="28"/>
  </w:num>
  <w:num w:numId="28" w16cid:durableId="11075837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01957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2771229">
    <w:abstractNumId w:val="36"/>
  </w:num>
  <w:num w:numId="31" w16cid:durableId="1059863335">
    <w:abstractNumId w:val="41"/>
  </w:num>
  <w:num w:numId="32" w16cid:durableId="1731883437">
    <w:abstractNumId w:val="8"/>
  </w:num>
  <w:num w:numId="33" w16cid:durableId="1857114821">
    <w:abstractNumId w:val="23"/>
  </w:num>
  <w:num w:numId="34" w16cid:durableId="1405385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0063347">
    <w:abstractNumId w:val="33"/>
  </w:num>
  <w:num w:numId="36" w16cid:durableId="1797329422">
    <w:abstractNumId w:val="30"/>
    <w:lvlOverride w:ilvl="0">
      <w:startOverride w:val="1"/>
    </w:lvlOverride>
  </w:num>
  <w:num w:numId="37" w16cid:durableId="1505629556">
    <w:abstractNumId w:val="37"/>
  </w:num>
  <w:num w:numId="38" w16cid:durableId="342321922">
    <w:abstractNumId w:val="40"/>
  </w:num>
  <w:num w:numId="39" w16cid:durableId="652872480">
    <w:abstractNumId w:val="13"/>
  </w:num>
  <w:num w:numId="40" w16cid:durableId="536354599">
    <w:abstractNumId w:val="12"/>
  </w:num>
  <w:num w:numId="41" w16cid:durableId="436290982">
    <w:abstractNumId w:val="7"/>
  </w:num>
  <w:num w:numId="42" w16cid:durableId="1430005496">
    <w:abstractNumId w:val="16"/>
  </w:num>
  <w:num w:numId="43" w16cid:durableId="1590505144">
    <w:abstractNumId w:val="14"/>
  </w:num>
  <w:num w:numId="44" w16cid:durableId="1186019262">
    <w:abstractNumId w:val="14"/>
    <w:lvlOverride w:ilvl="0">
      <w:startOverride w:val="1"/>
    </w:lvlOverride>
  </w:num>
  <w:num w:numId="45" w16cid:durableId="1864048911">
    <w:abstractNumId w:val="19"/>
  </w:num>
  <w:num w:numId="46" w16cid:durableId="35855340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1226B"/>
    <w:rsid w:val="00012524"/>
    <w:rsid w:val="00016611"/>
    <w:rsid w:val="00017802"/>
    <w:rsid w:val="00021F23"/>
    <w:rsid w:val="000279CD"/>
    <w:rsid w:val="0003391D"/>
    <w:rsid w:val="00040AAB"/>
    <w:rsid w:val="00040ED9"/>
    <w:rsid w:val="00042341"/>
    <w:rsid w:val="00047AD2"/>
    <w:rsid w:val="00051D03"/>
    <w:rsid w:val="00071021"/>
    <w:rsid w:val="00071E1B"/>
    <w:rsid w:val="000729C8"/>
    <w:rsid w:val="0007451B"/>
    <w:rsid w:val="00087075"/>
    <w:rsid w:val="0009359D"/>
    <w:rsid w:val="000A3A17"/>
    <w:rsid w:val="000A7407"/>
    <w:rsid w:val="000C1F5E"/>
    <w:rsid w:val="000C497F"/>
    <w:rsid w:val="000C6C25"/>
    <w:rsid w:val="000E7334"/>
    <w:rsid w:val="000F03EA"/>
    <w:rsid w:val="000F47E9"/>
    <w:rsid w:val="000F6283"/>
    <w:rsid w:val="000F75FB"/>
    <w:rsid w:val="00101397"/>
    <w:rsid w:val="00103737"/>
    <w:rsid w:val="00106655"/>
    <w:rsid w:val="00117FBD"/>
    <w:rsid w:val="00121A53"/>
    <w:rsid w:val="001223C8"/>
    <w:rsid w:val="00125C59"/>
    <w:rsid w:val="00145C51"/>
    <w:rsid w:val="00153876"/>
    <w:rsid w:val="00162718"/>
    <w:rsid w:val="00173A6D"/>
    <w:rsid w:val="001769E5"/>
    <w:rsid w:val="00185E7A"/>
    <w:rsid w:val="00194729"/>
    <w:rsid w:val="001957EA"/>
    <w:rsid w:val="001A047D"/>
    <w:rsid w:val="001A15D8"/>
    <w:rsid w:val="001A1926"/>
    <w:rsid w:val="001A4378"/>
    <w:rsid w:val="001B571B"/>
    <w:rsid w:val="001C4C99"/>
    <w:rsid w:val="001C7998"/>
    <w:rsid w:val="001D3D3F"/>
    <w:rsid w:val="001D58A2"/>
    <w:rsid w:val="001D5DE5"/>
    <w:rsid w:val="001D613B"/>
    <w:rsid w:val="001D7112"/>
    <w:rsid w:val="001E091F"/>
    <w:rsid w:val="001E6A70"/>
    <w:rsid w:val="0020793A"/>
    <w:rsid w:val="0021528F"/>
    <w:rsid w:val="00216EAD"/>
    <w:rsid w:val="00217D7C"/>
    <w:rsid w:val="00220E29"/>
    <w:rsid w:val="0022321E"/>
    <w:rsid w:val="00223FD0"/>
    <w:rsid w:val="00226554"/>
    <w:rsid w:val="00230712"/>
    <w:rsid w:val="00231420"/>
    <w:rsid w:val="00240125"/>
    <w:rsid w:val="00251884"/>
    <w:rsid w:val="0025696F"/>
    <w:rsid w:val="00265634"/>
    <w:rsid w:val="00276CED"/>
    <w:rsid w:val="00277BDF"/>
    <w:rsid w:val="00282090"/>
    <w:rsid w:val="002A2C62"/>
    <w:rsid w:val="002A43B5"/>
    <w:rsid w:val="002A50B1"/>
    <w:rsid w:val="002B0F80"/>
    <w:rsid w:val="002B5EC3"/>
    <w:rsid w:val="002B6C06"/>
    <w:rsid w:val="002B7F99"/>
    <w:rsid w:val="002D6BB0"/>
    <w:rsid w:val="002F6002"/>
    <w:rsid w:val="002F6B36"/>
    <w:rsid w:val="002F7F97"/>
    <w:rsid w:val="003043C1"/>
    <w:rsid w:val="00307616"/>
    <w:rsid w:val="0031399F"/>
    <w:rsid w:val="00320B67"/>
    <w:rsid w:val="003258CA"/>
    <w:rsid w:val="0033237E"/>
    <w:rsid w:val="003357A4"/>
    <w:rsid w:val="00341CFB"/>
    <w:rsid w:val="00346BD5"/>
    <w:rsid w:val="00353047"/>
    <w:rsid w:val="0036199A"/>
    <w:rsid w:val="0037069A"/>
    <w:rsid w:val="00374F31"/>
    <w:rsid w:val="00374F55"/>
    <w:rsid w:val="003764CE"/>
    <w:rsid w:val="00377679"/>
    <w:rsid w:val="00381C4E"/>
    <w:rsid w:val="00383DE8"/>
    <w:rsid w:val="00384CB8"/>
    <w:rsid w:val="00386849"/>
    <w:rsid w:val="003905A5"/>
    <w:rsid w:val="003A04DB"/>
    <w:rsid w:val="003B052E"/>
    <w:rsid w:val="003B077E"/>
    <w:rsid w:val="003B7224"/>
    <w:rsid w:val="003C3949"/>
    <w:rsid w:val="003D202B"/>
    <w:rsid w:val="003E38D9"/>
    <w:rsid w:val="003E5509"/>
    <w:rsid w:val="003E6379"/>
    <w:rsid w:val="004005D3"/>
    <w:rsid w:val="004074AA"/>
    <w:rsid w:val="004121DF"/>
    <w:rsid w:val="0042407F"/>
    <w:rsid w:val="00426E76"/>
    <w:rsid w:val="004304DD"/>
    <w:rsid w:val="00430BDE"/>
    <w:rsid w:val="0044069A"/>
    <w:rsid w:val="004412E5"/>
    <w:rsid w:val="00445D2F"/>
    <w:rsid w:val="00445D67"/>
    <w:rsid w:val="00456983"/>
    <w:rsid w:val="00460437"/>
    <w:rsid w:val="0046279D"/>
    <w:rsid w:val="004679B9"/>
    <w:rsid w:val="004765D2"/>
    <w:rsid w:val="00481C03"/>
    <w:rsid w:val="00481C64"/>
    <w:rsid w:val="00482DC2"/>
    <w:rsid w:val="004851ED"/>
    <w:rsid w:val="00491974"/>
    <w:rsid w:val="0049231D"/>
    <w:rsid w:val="00492334"/>
    <w:rsid w:val="004A1D3D"/>
    <w:rsid w:val="004A39AF"/>
    <w:rsid w:val="004A6F16"/>
    <w:rsid w:val="004B1DC3"/>
    <w:rsid w:val="004B2E5A"/>
    <w:rsid w:val="004B557E"/>
    <w:rsid w:val="004B630B"/>
    <w:rsid w:val="004B64F4"/>
    <w:rsid w:val="004C10F8"/>
    <w:rsid w:val="004D1216"/>
    <w:rsid w:val="004D2FDC"/>
    <w:rsid w:val="004E4338"/>
    <w:rsid w:val="004E4D7B"/>
    <w:rsid w:val="004E7BFE"/>
    <w:rsid w:val="004F74A2"/>
    <w:rsid w:val="004F75CC"/>
    <w:rsid w:val="00504E9D"/>
    <w:rsid w:val="00505590"/>
    <w:rsid w:val="00514E4C"/>
    <w:rsid w:val="00527900"/>
    <w:rsid w:val="005552C8"/>
    <w:rsid w:val="005576C2"/>
    <w:rsid w:val="005651D8"/>
    <w:rsid w:val="0056688F"/>
    <w:rsid w:val="005721DA"/>
    <w:rsid w:val="00573EE1"/>
    <w:rsid w:val="00574E8A"/>
    <w:rsid w:val="00577077"/>
    <w:rsid w:val="0058163D"/>
    <w:rsid w:val="00583518"/>
    <w:rsid w:val="005904A3"/>
    <w:rsid w:val="005A013D"/>
    <w:rsid w:val="005A5FA8"/>
    <w:rsid w:val="005A7345"/>
    <w:rsid w:val="005A7D5D"/>
    <w:rsid w:val="005B352C"/>
    <w:rsid w:val="005B3AF9"/>
    <w:rsid w:val="005B6770"/>
    <w:rsid w:val="005C31DB"/>
    <w:rsid w:val="005C3A5C"/>
    <w:rsid w:val="005C50D3"/>
    <w:rsid w:val="005C58B2"/>
    <w:rsid w:val="005E38FB"/>
    <w:rsid w:val="0060788E"/>
    <w:rsid w:val="0061382C"/>
    <w:rsid w:val="00613C5B"/>
    <w:rsid w:val="0062245D"/>
    <w:rsid w:val="00624912"/>
    <w:rsid w:val="00625EAE"/>
    <w:rsid w:val="00630CB9"/>
    <w:rsid w:val="0063309D"/>
    <w:rsid w:val="00642AEB"/>
    <w:rsid w:val="00645731"/>
    <w:rsid w:val="00645B3C"/>
    <w:rsid w:val="00655D7D"/>
    <w:rsid w:val="00656BA6"/>
    <w:rsid w:val="00665984"/>
    <w:rsid w:val="0066793F"/>
    <w:rsid w:val="00685166"/>
    <w:rsid w:val="0068577A"/>
    <w:rsid w:val="006A62CC"/>
    <w:rsid w:val="006A707B"/>
    <w:rsid w:val="006B5C4E"/>
    <w:rsid w:val="006C0F0F"/>
    <w:rsid w:val="006C2B18"/>
    <w:rsid w:val="006C65D1"/>
    <w:rsid w:val="006C6F14"/>
    <w:rsid w:val="006E2184"/>
    <w:rsid w:val="006E3BD2"/>
    <w:rsid w:val="006E5971"/>
    <w:rsid w:val="006F380F"/>
    <w:rsid w:val="007019D7"/>
    <w:rsid w:val="00702BB4"/>
    <w:rsid w:val="00727D12"/>
    <w:rsid w:val="00731F33"/>
    <w:rsid w:val="00734424"/>
    <w:rsid w:val="00735145"/>
    <w:rsid w:val="00746519"/>
    <w:rsid w:val="00746578"/>
    <w:rsid w:val="00755234"/>
    <w:rsid w:val="00763CE2"/>
    <w:rsid w:val="00766E6A"/>
    <w:rsid w:val="007730AF"/>
    <w:rsid w:val="00780F76"/>
    <w:rsid w:val="00783330"/>
    <w:rsid w:val="00786C2B"/>
    <w:rsid w:val="00787A92"/>
    <w:rsid w:val="0079095A"/>
    <w:rsid w:val="00792A38"/>
    <w:rsid w:val="007B1206"/>
    <w:rsid w:val="007B49C4"/>
    <w:rsid w:val="007B70B8"/>
    <w:rsid w:val="007C492E"/>
    <w:rsid w:val="007D53E0"/>
    <w:rsid w:val="007D5DE8"/>
    <w:rsid w:val="007E15DE"/>
    <w:rsid w:val="007E2587"/>
    <w:rsid w:val="007E38AF"/>
    <w:rsid w:val="007E5F54"/>
    <w:rsid w:val="007F1E2F"/>
    <w:rsid w:val="00802A47"/>
    <w:rsid w:val="00804C6F"/>
    <w:rsid w:val="00822394"/>
    <w:rsid w:val="0083295F"/>
    <w:rsid w:val="00833A2E"/>
    <w:rsid w:val="00837829"/>
    <w:rsid w:val="0084477A"/>
    <w:rsid w:val="00854F1F"/>
    <w:rsid w:val="008552E6"/>
    <w:rsid w:val="008638F2"/>
    <w:rsid w:val="00865E6F"/>
    <w:rsid w:val="00870E37"/>
    <w:rsid w:val="00880A28"/>
    <w:rsid w:val="008811EA"/>
    <w:rsid w:val="0088175D"/>
    <w:rsid w:val="00881B5C"/>
    <w:rsid w:val="0088333E"/>
    <w:rsid w:val="00886E99"/>
    <w:rsid w:val="008874BB"/>
    <w:rsid w:val="008919D7"/>
    <w:rsid w:val="008A1AB6"/>
    <w:rsid w:val="008B05D4"/>
    <w:rsid w:val="008B1C33"/>
    <w:rsid w:val="008B49C8"/>
    <w:rsid w:val="008B54FE"/>
    <w:rsid w:val="008B6FDE"/>
    <w:rsid w:val="008C226C"/>
    <w:rsid w:val="008D1155"/>
    <w:rsid w:val="008D5AE4"/>
    <w:rsid w:val="008E48D7"/>
    <w:rsid w:val="008F434B"/>
    <w:rsid w:val="008F7022"/>
    <w:rsid w:val="00903A95"/>
    <w:rsid w:val="009129C7"/>
    <w:rsid w:val="00913103"/>
    <w:rsid w:val="00914EA9"/>
    <w:rsid w:val="009200ED"/>
    <w:rsid w:val="009252F4"/>
    <w:rsid w:val="009310D6"/>
    <w:rsid w:val="00932098"/>
    <w:rsid w:val="009338B2"/>
    <w:rsid w:val="00935675"/>
    <w:rsid w:val="009373C3"/>
    <w:rsid w:val="00940977"/>
    <w:rsid w:val="00947C25"/>
    <w:rsid w:val="00956E79"/>
    <w:rsid w:val="0095786F"/>
    <w:rsid w:val="00963BFC"/>
    <w:rsid w:val="0096415D"/>
    <w:rsid w:val="00971B07"/>
    <w:rsid w:val="00972010"/>
    <w:rsid w:val="00975B96"/>
    <w:rsid w:val="00976373"/>
    <w:rsid w:val="009801BC"/>
    <w:rsid w:val="00982A80"/>
    <w:rsid w:val="009848C9"/>
    <w:rsid w:val="00985CAB"/>
    <w:rsid w:val="00992257"/>
    <w:rsid w:val="00997EA9"/>
    <w:rsid w:val="009B19B8"/>
    <w:rsid w:val="009C2E99"/>
    <w:rsid w:val="009C3CCA"/>
    <w:rsid w:val="009C667A"/>
    <w:rsid w:val="009D03DE"/>
    <w:rsid w:val="009D4C65"/>
    <w:rsid w:val="009D6376"/>
    <w:rsid w:val="009E6A2B"/>
    <w:rsid w:val="009F025F"/>
    <w:rsid w:val="009F4EB6"/>
    <w:rsid w:val="009F654D"/>
    <w:rsid w:val="009F6B7A"/>
    <w:rsid w:val="00A10F5A"/>
    <w:rsid w:val="00A171C5"/>
    <w:rsid w:val="00A25E8E"/>
    <w:rsid w:val="00A26E4E"/>
    <w:rsid w:val="00A42BDF"/>
    <w:rsid w:val="00A454D9"/>
    <w:rsid w:val="00A711E8"/>
    <w:rsid w:val="00A74248"/>
    <w:rsid w:val="00A82EA1"/>
    <w:rsid w:val="00A83977"/>
    <w:rsid w:val="00A848C0"/>
    <w:rsid w:val="00A870BD"/>
    <w:rsid w:val="00A92D28"/>
    <w:rsid w:val="00A957C6"/>
    <w:rsid w:val="00AB2104"/>
    <w:rsid w:val="00AB248F"/>
    <w:rsid w:val="00AB392D"/>
    <w:rsid w:val="00AC085B"/>
    <w:rsid w:val="00AC1C0A"/>
    <w:rsid w:val="00AC6554"/>
    <w:rsid w:val="00AD4763"/>
    <w:rsid w:val="00AD735E"/>
    <w:rsid w:val="00AE690B"/>
    <w:rsid w:val="00B0232C"/>
    <w:rsid w:val="00B25210"/>
    <w:rsid w:val="00B30552"/>
    <w:rsid w:val="00B429B1"/>
    <w:rsid w:val="00B42B0A"/>
    <w:rsid w:val="00B4312F"/>
    <w:rsid w:val="00B50160"/>
    <w:rsid w:val="00B5365D"/>
    <w:rsid w:val="00B552A2"/>
    <w:rsid w:val="00B6156E"/>
    <w:rsid w:val="00B6260A"/>
    <w:rsid w:val="00B66F09"/>
    <w:rsid w:val="00B71FB1"/>
    <w:rsid w:val="00B75343"/>
    <w:rsid w:val="00B875D4"/>
    <w:rsid w:val="00B8764E"/>
    <w:rsid w:val="00B91147"/>
    <w:rsid w:val="00B95F35"/>
    <w:rsid w:val="00B96E57"/>
    <w:rsid w:val="00BA0E2A"/>
    <w:rsid w:val="00BA1DD3"/>
    <w:rsid w:val="00BB32B4"/>
    <w:rsid w:val="00BB772D"/>
    <w:rsid w:val="00BC6BFA"/>
    <w:rsid w:val="00BC739B"/>
    <w:rsid w:val="00BD6F0B"/>
    <w:rsid w:val="00BD7029"/>
    <w:rsid w:val="00BD7F64"/>
    <w:rsid w:val="00BF70FB"/>
    <w:rsid w:val="00C00CC7"/>
    <w:rsid w:val="00C00D40"/>
    <w:rsid w:val="00C04C2F"/>
    <w:rsid w:val="00C06005"/>
    <w:rsid w:val="00C12355"/>
    <w:rsid w:val="00C207AC"/>
    <w:rsid w:val="00C20FA2"/>
    <w:rsid w:val="00C22BDF"/>
    <w:rsid w:val="00C23189"/>
    <w:rsid w:val="00C24310"/>
    <w:rsid w:val="00C46F09"/>
    <w:rsid w:val="00C5099F"/>
    <w:rsid w:val="00C53B85"/>
    <w:rsid w:val="00C5457F"/>
    <w:rsid w:val="00C55771"/>
    <w:rsid w:val="00C5590B"/>
    <w:rsid w:val="00C85741"/>
    <w:rsid w:val="00CA008A"/>
    <w:rsid w:val="00CA5797"/>
    <w:rsid w:val="00CB1667"/>
    <w:rsid w:val="00CB3E8A"/>
    <w:rsid w:val="00CB545F"/>
    <w:rsid w:val="00CC0FDF"/>
    <w:rsid w:val="00CC578B"/>
    <w:rsid w:val="00CC6204"/>
    <w:rsid w:val="00CD17B2"/>
    <w:rsid w:val="00CD2D78"/>
    <w:rsid w:val="00CD527E"/>
    <w:rsid w:val="00CD7E0F"/>
    <w:rsid w:val="00CF3932"/>
    <w:rsid w:val="00D004C6"/>
    <w:rsid w:val="00D00C6C"/>
    <w:rsid w:val="00D05CE7"/>
    <w:rsid w:val="00D20184"/>
    <w:rsid w:val="00D24463"/>
    <w:rsid w:val="00D268BF"/>
    <w:rsid w:val="00D3723B"/>
    <w:rsid w:val="00D3734E"/>
    <w:rsid w:val="00D37F61"/>
    <w:rsid w:val="00D42CE0"/>
    <w:rsid w:val="00D44EA6"/>
    <w:rsid w:val="00D44F2A"/>
    <w:rsid w:val="00D54FEE"/>
    <w:rsid w:val="00D60F44"/>
    <w:rsid w:val="00D656FA"/>
    <w:rsid w:val="00D65A08"/>
    <w:rsid w:val="00D734C8"/>
    <w:rsid w:val="00D7523C"/>
    <w:rsid w:val="00D83155"/>
    <w:rsid w:val="00D83398"/>
    <w:rsid w:val="00D85416"/>
    <w:rsid w:val="00DA1D36"/>
    <w:rsid w:val="00DA1E3F"/>
    <w:rsid w:val="00DA32AE"/>
    <w:rsid w:val="00DA415F"/>
    <w:rsid w:val="00DB13FD"/>
    <w:rsid w:val="00DB16A3"/>
    <w:rsid w:val="00DB51F9"/>
    <w:rsid w:val="00DB6C30"/>
    <w:rsid w:val="00DC3EF1"/>
    <w:rsid w:val="00DC530B"/>
    <w:rsid w:val="00DE0F5D"/>
    <w:rsid w:val="00DE577B"/>
    <w:rsid w:val="00DE6AD5"/>
    <w:rsid w:val="00DE7742"/>
    <w:rsid w:val="00DE77B5"/>
    <w:rsid w:val="00DF3D1A"/>
    <w:rsid w:val="00E00820"/>
    <w:rsid w:val="00E03E2F"/>
    <w:rsid w:val="00E110A2"/>
    <w:rsid w:val="00E13275"/>
    <w:rsid w:val="00E1335C"/>
    <w:rsid w:val="00E24EF0"/>
    <w:rsid w:val="00E30738"/>
    <w:rsid w:val="00E359A3"/>
    <w:rsid w:val="00E4441E"/>
    <w:rsid w:val="00E50D58"/>
    <w:rsid w:val="00E52DD4"/>
    <w:rsid w:val="00E5429C"/>
    <w:rsid w:val="00E55D11"/>
    <w:rsid w:val="00E57538"/>
    <w:rsid w:val="00E61D01"/>
    <w:rsid w:val="00E7459E"/>
    <w:rsid w:val="00E77C6D"/>
    <w:rsid w:val="00E8071E"/>
    <w:rsid w:val="00E80A9E"/>
    <w:rsid w:val="00E83BAC"/>
    <w:rsid w:val="00E87CA3"/>
    <w:rsid w:val="00E919F7"/>
    <w:rsid w:val="00E93777"/>
    <w:rsid w:val="00EA664B"/>
    <w:rsid w:val="00EA6DAB"/>
    <w:rsid w:val="00EC5346"/>
    <w:rsid w:val="00EC6A46"/>
    <w:rsid w:val="00EC77EC"/>
    <w:rsid w:val="00ED34FE"/>
    <w:rsid w:val="00ED7177"/>
    <w:rsid w:val="00EE6D58"/>
    <w:rsid w:val="00EF0A77"/>
    <w:rsid w:val="00EF3239"/>
    <w:rsid w:val="00EF75C1"/>
    <w:rsid w:val="00F2393D"/>
    <w:rsid w:val="00F25B3A"/>
    <w:rsid w:val="00F31DB2"/>
    <w:rsid w:val="00F360C5"/>
    <w:rsid w:val="00F4261B"/>
    <w:rsid w:val="00F43616"/>
    <w:rsid w:val="00F50AD3"/>
    <w:rsid w:val="00F520A7"/>
    <w:rsid w:val="00F54117"/>
    <w:rsid w:val="00F61006"/>
    <w:rsid w:val="00F66E00"/>
    <w:rsid w:val="00F71DE5"/>
    <w:rsid w:val="00F82353"/>
    <w:rsid w:val="00F9309A"/>
    <w:rsid w:val="00F959E7"/>
    <w:rsid w:val="00FA56C3"/>
    <w:rsid w:val="00FB520B"/>
    <w:rsid w:val="00FD2D39"/>
    <w:rsid w:val="00FD46C1"/>
    <w:rsid w:val="00FE61DD"/>
    <w:rsid w:val="00FE76A1"/>
    <w:rsid w:val="00FE7824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45AC3CBD-33F4-4489-AF84-0BB13E3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112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  <w:rPr>
      <w:rFonts w:ascii="Calibri" w:hAnsi="Calibri" w:cstheme="minorHAnsi"/>
      <w:bCs/>
      <w:i/>
      <w:iCs/>
      <w:noProof/>
      <w:spacing w:val="20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6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WW8Num2z2">
    <w:name w:val="WW8Num2z2"/>
    <w:rsid w:val="000E733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8CA"/>
    <w:rPr>
      <w:color w:val="605E5C"/>
      <w:shd w:val="clear" w:color="auto" w:fill="E1DFDD"/>
    </w:rPr>
  </w:style>
  <w:style w:type="paragraph" w:customStyle="1" w:styleId="Standard">
    <w:name w:val="Standard"/>
    <w:rsid w:val="00E1335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C3CCA"/>
    <w:pPr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.bialystok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Zygmunt.karp@uskwb.pl" TargetMode="External"/><Relationship Id="rId8" Type="http://schemas.openxmlformats.org/officeDocument/2006/relationships/hyperlink" Target="http://www.usk.bialystok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25A8-CB5D-4555-B634-5F28EA16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9290</Words>
  <Characters>55742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Merydian  BDU SA</dc:creator>
  <cp:keywords/>
  <dc:description/>
  <cp:lastModifiedBy>Tamal</cp:lastModifiedBy>
  <cp:revision>18</cp:revision>
  <cp:lastPrinted>2021-03-04T06:34:00Z</cp:lastPrinted>
  <dcterms:created xsi:type="dcterms:W3CDTF">2022-06-22T09:25:00Z</dcterms:created>
  <dcterms:modified xsi:type="dcterms:W3CDTF">2022-06-24T14:16:00Z</dcterms:modified>
</cp:coreProperties>
</file>