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6886DEF2" w14:textId="77777777" w:rsidR="004D6936" w:rsidRDefault="004D6936" w:rsidP="004D6936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11 do SWZ</w:t>
      </w:r>
    </w:p>
    <w:p w14:paraId="7F11AFC9" w14:textId="2ACD6BE1" w:rsidR="0051031D" w:rsidRPr="00C82991" w:rsidRDefault="0051031D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 w:rsidRPr="00C82991">
        <w:rPr>
          <w:rFonts w:eastAsia="SimSun" w:cs="Calibri"/>
          <w:bCs/>
          <w:kern w:val="2"/>
          <w:lang w:eastAsia="zh-CN" w:bidi="hi-IN"/>
        </w:rPr>
        <w:t>MCPS-WZU/KBCH/351-</w:t>
      </w:r>
      <w:r w:rsidR="00CD065C">
        <w:rPr>
          <w:rFonts w:eastAsia="SimSun" w:cs="Calibri"/>
          <w:bCs/>
          <w:kern w:val="2"/>
          <w:lang w:eastAsia="zh-CN" w:bidi="hi-IN"/>
        </w:rPr>
        <w:t>33</w:t>
      </w:r>
      <w:r w:rsidRPr="00C82991">
        <w:rPr>
          <w:rFonts w:eastAsia="SimSun" w:cs="Calibri"/>
          <w:bCs/>
          <w:kern w:val="2"/>
          <w:lang w:eastAsia="zh-CN" w:bidi="hi-IN"/>
        </w:rPr>
        <w:t>/2024 PN/U/S</w:t>
      </w:r>
    </w:p>
    <w:p w14:paraId="024BC570" w14:textId="6488D109" w:rsidR="00294959" w:rsidRDefault="00294959" w:rsidP="00294959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0CFAA320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294959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1078D993" w:rsidR="00D81585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proofErr w:type="spellStart"/>
      <w:r w:rsidR="002F1E8C">
        <w:rPr>
          <w:rFonts w:ascii="Arial" w:hAnsi="Arial" w:cs="Arial"/>
          <w:sz w:val="21"/>
          <w:szCs w:val="21"/>
        </w:rPr>
        <w:t>pn</w:t>
      </w:r>
      <w:proofErr w:type="spellEnd"/>
      <w:r w:rsidR="00CD065C" w:rsidRPr="00CD065C">
        <w:t xml:space="preserve"> </w:t>
      </w:r>
      <w:r w:rsidR="00CD065C" w:rsidRPr="00CD065C">
        <w:rPr>
          <w:rFonts w:ascii="Arial" w:hAnsi="Arial" w:cs="Arial"/>
          <w:sz w:val="21"/>
          <w:szCs w:val="21"/>
        </w:rPr>
        <w:t>Przeprowadzenie badań podłużnych pn.: „Dalsze losy prywatne i zawodowe członków spółdzielni socjalnych na Mazowszu” oraz „Ocena efektywności centrów Integracji społecznej na obszarze województwa mazowieckiego w procesie adaptacji społecznej uczest</w:t>
      </w:r>
      <w:r w:rsidR="00CD065C">
        <w:rPr>
          <w:rFonts w:ascii="Arial" w:hAnsi="Arial" w:cs="Arial"/>
          <w:sz w:val="21"/>
          <w:szCs w:val="21"/>
        </w:rPr>
        <w:t>ników CIS”</w:t>
      </w:r>
      <w:bookmarkStart w:id="0" w:name="_GoBack"/>
      <w:bookmarkEnd w:id="0"/>
      <w:r w:rsidR="0051031D" w:rsidRPr="00FA5F5C">
        <w:rPr>
          <w:rFonts w:ascii="Arial" w:hAnsi="Arial" w:cs="Arial"/>
          <w:b/>
          <w:sz w:val="21"/>
          <w:szCs w:val="21"/>
        </w:rPr>
        <w:t xml:space="preserve"> </w:t>
      </w:r>
      <w:r w:rsidRPr="00FA5F5C">
        <w:rPr>
          <w:rFonts w:ascii="Arial" w:hAnsi="Arial" w:cs="Arial"/>
          <w:b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8D16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713C" w14:textId="77777777" w:rsidR="00770645" w:rsidRDefault="00770645" w:rsidP="00D81585">
      <w:pPr>
        <w:spacing w:after="0" w:line="240" w:lineRule="auto"/>
      </w:pPr>
      <w:r>
        <w:separator/>
      </w:r>
    </w:p>
  </w:endnote>
  <w:endnote w:type="continuationSeparator" w:id="0">
    <w:p w14:paraId="0D0F216E" w14:textId="77777777" w:rsidR="00770645" w:rsidRDefault="0077064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07F7" w14:textId="77777777" w:rsidR="00770645" w:rsidRDefault="00770645" w:rsidP="00D81585">
      <w:pPr>
        <w:spacing w:after="0" w:line="240" w:lineRule="auto"/>
      </w:pPr>
      <w:r>
        <w:separator/>
      </w:r>
    </w:p>
  </w:footnote>
  <w:footnote w:type="continuationSeparator" w:id="0">
    <w:p w14:paraId="1078FF6D" w14:textId="77777777" w:rsidR="00770645" w:rsidRDefault="0077064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25DAE"/>
    <w:rsid w:val="0007612A"/>
    <w:rsid w:val="00086E46"/>
    <w:rsid w:val="000A6D1B"/>
    <w:rsid w:val="00110AA3"/>
    <w:rsid w:val="00121439"/>
    <w:rsid w:val="00162444"/>
    <w:rsid w:val="0018128C"/>
    <w:rsid w:val="0019486C"/>
    <w:rsid w:val="001C256C"/>
    <w:rsid w:val="00245040"/>
    <w:rsid w:val="00294959"/>
    <w:rsid w:val="002C22D2"/>
    <w:rsid w:val="002F1996"/>
    <w:rsid w:val="002F1E8C"/>
    <w:rsid w:val="00392515"/>
    <w:rsid w:val="003B1084"/>
    <w:rsid w:val="003B17BC"/>
    <w:rsid w:val="00462120"/>
    <w:rsid w:val="004B1DD2"/>
    <w:rsid w:val="004D6936"/>
    <w:rsid w:val="004D7493"/>
    <w:rsid w:val="004E3659"/>
    <w:rsid w:val="004F1033"/>
    <w:rsid w:val="005020A9"/>
    <w:rsid w:val="0051031D"/>
    <w:rsid w:val="005B1094"/>
    <w:rsid w:val="005B5344"/>
    <w:rsid w:val="005E21A9"/>
    <w:rsid w:val="00664CCA"/>
    <w:rsid w:val="006B7BF5"/>
    <w:rsid w:val="00747FD7"/>
    <w:rsid w:val="00770645"/>
    <w:rsid w:val="007843B3"/>
    <w:rsid w:val="007A7503"/>
    <w:rsid w:val="007C24F5"/>
    <w:rsid w:val="00803D1C"/>
    <w:rsid w:val="00834047"/>
    <w:rsid w:val="008573CB"/>
    <w:rsid w:val="0089705F"/>
    <w:rsid w:val="00897CFE"/>
    <w:rsid w:val="008C1EE8"/>
    <w:rsid w:val="008D161D"/>
    <w:rsid w:val="008D2AAD"/>
    <w:rsid w:val="008E52CF"/>
    <w:rsid w:val="009022AB"/>
    <w:rsid w:val="00916460"/>
    <w:rsid w:val="009658CC"/>
    <w:rsid w:val="009673A4"/>
    <w:rsid w:val="0098444C"/>
    <w:rsid w:val="009877FB"/>
    <w:rsid w:val="009A53A6"/>
    <w:rsid w:val="009C0CC2"/>
    <w:rsid w:val="00A13BE1"/>
    <w:rsid w:val="00AF3026"/>
    <w:rsid w:val="00B035E5"/>
    <w:rsid w:val="00B701F7"/>
    <w:rsid w:val="00BC03FF"/>
    <w:rsid w:val="00BC2C33"/>
    <w:rsid w:val="00C57760"/>
    <w:rsid w:val="00C67E98"/>
    <w:rsid w:val="00CD065C"/>
    <w:rsid w:val="00D02901"/>
    <w:rsid w:val="00D10644"/>
    <w:rsid w:val="00D81585"/>
    <w:rsid w:val="00E44E15"/>
    <w:rsid w:val="00EC2674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Paweł Ginel</cp:lastModifiedBy>
  <cp:revision>3</cp:revision>
  <dcterms:created xsi:type="dcterms:W3CDTF">2024-04-17T13:17:00Z</dcterms:created>
  <dcterms:modified xsi:type="dcterms:W3CDTF">2024-08-26T12:52:00Z</dcterms:modified>
</cp:coreProperties>
</file>