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00FF349D" w14:textId="4F8E6140" w:rsidR="00BA762E" w:rsidRDefault="005C1A20" w:rsidP="00BA762E">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9B5EE9">
        <w:rPr>
          <w:rFonts w:asciiTheme="majorHAnsi" w:hAnsiTheme="majorHAnsi"/>
        </w:rPr>
        <w:t>Dostawa</w:t>
      </w:r>
      <w:r w:rsidR="002208EE" w:rsidRPr="009C7562">
        <w:rPr>
          <w:rFonts w:asciiTheme="majorHAnsi" w:hAnsiTheme="majorHAnsi"/>
        </w:rPr>
        <w:t xml:space="preserve"> betonu asfaltowego:</w:t>
      </w:r>
      <w:r w:rsidR="002208EE">
        <w:rPr>
          <w:rFonts w:asciiTheme="majorHAnsi" w:hAnsiTheme="majorHAnsi"/>
        </w:rPr>
        <w:t xml:space="preserve"> </w:t>
      </w:r>
      <w:r w:rsidR="002208EE" w:rsidRPr="009C7562">
        <w:rPr>
          <w:rFonts w:asciiTheme="majorHAnsi" w:hAnsiTheme="majorHAnsi"/>
        </w:rPr>
        <w:t>- warstwa ścieralna AC 11S,</w:t>
      </w:r>
      <w:r w:rsidR="002208EE">
        <w:rPr>
          <w:rFonts w:asciiTheme="majorHAnsi" w:hAnsiTheme="majorHAnsi"/>
        </w:rPr>
        <w:t xml:space="preserve">                                   </w:t>
      </w:r>
      <w:r w:rsidR="002208EE" w:rsidRPr="009C7562">
        <w:rPr>
          <w:rFonts w:asciiTheme="majorHAnsi" w:hAnsiTheme="majorHAnsi"/>
        </w:rPr>
        <w:t>-  podbudowa AC 16W</w:t>
      </w:r>
      <w:r w:rsidR="00BA762E">
        <w:rPr>
          <w:rFonts w:asciiTheme="majorHAnsi" w:hAnsiTheme="majorHAnsi"/>
        </w:rPr>
        <w:t xml:space="preserve"> </w:t>
      </w:r>
      <w:r w:rsidR="00BA762E">
        <w:rPr>
          <w:rFonts w:ascii="Cambria" w:hAnsi="Cambria"/>
        </w:rPr>
        <w:t>do zadania: „</w:t>
      </w:r>
      <w:r w:rsidR="00FF770F" w:rsidRPr="00FF770F">
        <w:rPr>
          <w:rFonts w:ascii="Cambria" w:hAnsi="Cambria"/>
        </w:rPr>
        <w:t>Przebudowa drogi powiatowej nr 4793P Brylewo- Bielawy</w:t>
      </w:r>
      <w:r w:rsidR="00BA762E">
        <w:rPr>
          <w:rFonts w:ascii="Cambria" w:hAnsi="Cambria"/>
        </w:rPr>
        <w:t>”</w:t>
      </w:r>
    </w:p>
    <w:p w14:paraId="5A9F078D" w14:textId="0CD275D5" w:rsidR="00546983" w:rsidRDefault="00546983" w:rsidP="00BA762E">
      <w:pPr>
        <w:jc w:val="both"/>
        <w:rPr>
          <w:rFonts w:ascii="Cambria" w:eastAsiaTheme="majorEastAsia" w:hAnsi="Cambria" w:cs="Arial"/>
          <w:b/>
          <w:color w:val="002060"/>
          <w:lang w:eastAsia="en-US"/>
        </w:rPr>
      </w:pPr>
    </w:p>
    <w:p w14:paraId="56B5973B" w14:textId="103D3B4D" w:rsidR="00546983" w:rsidRPr="00546983" w:rsidRDefault="001F1B9F" w:rsidP="00546983">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546983">
        <w:rPr>
          <w:rFonts w:asciiTheme="majorHAnsi" w:hAnsiTheme="majorHAnsi"/>
        </w:rPr>
        <w:t>4411380</w:t>
      </w:r>
      <w:r w:rsidR="00546983" w:rsidRPr="00546983">
        <w:rPr>
          <w:rFonts w:asciiTheme="majorHAnsi" w:hAnsiTheme="majorHAnsi"/>
        </w:rPr>
        <w:t>0-</w:t>
      </w:r>
      <w:r w:rsidR="00546983">
        <w:rPr>
          <w:rFonts w:asciiTheme="majorHAnsi" w:hAnsiTheme="majorHAnsi"/>
        </w:rPr>
        <w:t xml:space="preserve">3 - </w:t>
      </w:r>
      <w:r w:rsidR="00546983" w:rsidRPr="00546983">
        <w:rPr>
          <w:rFonts w:asciiTheme="majorHAnsi" w:hAnsiTheme="majorHAnsi"/>
        </w:rPr>
        <w:t>Materiały do układania nawierzchni drogowych</w:t>
      </w:r>
    </w:p>
    <w:p w14:paraId="0F779258" w14:textId="77777777" w:rsidR="00546983" w:rsidRPr="00546983" w:rsidRDefault="00546983" w:rsidP="00546983">
      <w:pPr>
        <w:ind w:left="851" w:hanging="851"/>
        <w:rPr>
          <w:rFonts w:asciiTheme="majorHAnsi" w:hAnsiTheme="majorHAnsi"/>
        </w:rPr>
      </w:pPr>
    </w:p>
    <w:p w14:paraId="5FE20231" w14:textId="1CBAEAA8"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w:t>
      </w:r>
      <w:r w:rsidR="002208EE">
        <w:rPr>
          <w:rFonts w:asciiTheme="majorHAnsi" w:eastAsiaTheme="majorEastAsia" w:hAnsiTheme="majorHAnsi" w:cs="Arial"/>
          <w:lang w:eastAsia="en-US"/>
        </w:rPr>
        <w:t>22</w:t>
      </w:r>
      <w:r w:rsidR="00773D17" w:rsidRPr="00773D17">
        <w:rPr>
          <w:rFonts w:asciiTheme="majorHAnsi" w:eastAsiaTheme="majorEastAsia" w:hAnsiTheme="majorHAnsi" w:cs="Arial"/>
          <w:lang w:eastAsia="en-US"/>
        </w:rPr>
        <w:t xml:space="preserve"> </w:t>
      </w:r>
      <w:r w:rsidR="002208EE">
        <w:rPr>
          <w:rFonts w:asciiTheme="majorHAnsi" w:eastAsiaTheme="majorEastAsia" w:hAnsiTheme="majorHAnsi" w:cs="Arial"/>
          <w:lang w:eastAsia="en-US"/>
        </w:rPr>
        <w:t xml:space="preserve">poz. 1710 </w:t>
      </w:r>
      <w:r w:rsidR="00773D17" w:rsidRPr="00773D17">
        <w:rPr>
          <w:rFonts w:asciiTheme="majorHAnsi" w:eastAsiaTheme="majorEastAsia" w:hAnsiTheme="majorHAnsi" w:cs="Arial"/>
          <w:lang w:eastAsia="en-US"/>
        </w:rPr>
        <w:t>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2208EE" w:rsidRDefault="00AB0104" w:rsidP="00AA4F20">
      <w:pPr>
        <w:jc w:val="both"/>
        <w:rPr>
          <w:rFonts w:ascii="Cambria" w:eastAsiaTheme="majorEastAsia" w:hAnsi="Cambria" w:cs="Arial"/>
          <w:lang w:eastAsia="en-US"/>
        </w:rPr>
      </w:pPr>
    </w:p>
    <w:p w14:paraId="2DC5098A" w14:textId="24F5168C" w:rsidR="008A0C60" w:rsidRPr="002208EE" w:rsidRDefault="008A0C60" w:rsidP="008A0C60">
      <w:pPr>
        <w:suppressAutoHyphens/>
        <w:spacing w:after="200" w:line="276" w:lineRule="auto"/>
        <w:jc w:val="center"/>
        <w:rPr>
          <w:rFonts w:ascii="Cambria" w:hAnsi="Cambria"/>
          <w:b/>
          <w:sz w:val="28"/>
          <w:lang w:eastAsia="ar-SA"/>
        </w:rPr>
      </w:pPr>
      <w:r w:rsidRPr="002208EE">
        <w:rPr>
          <w:rFonts w:ascii="Cambria" w:hAnsi="Cambria"/>
          <w:b/>
          <w:sz w:val="28"/>
          <w:lang w:eastAsia="ar-SA"/>
        </w:rPr>
        <w:t xml:space="preserve">                                                                                             </w:t>
      </w:r>
      <w:r w:rsidR="002208EE">
        <w:rPr>
          <w:rFonts w:ascii="Cambria" w:hAnsi="Cambria"/>
          <w:b/>
          <w:sz w:val="28"/>
          <w:lang w:eastAsia="ar-SA"/>
        </w:rPr>
        <w:t xml:space="preserve">            </w:t>
      </w:r>
      <w:r w:rsidRPr="002208EE">
        <w:rPr>
          <w:rFonts w:ascii="Cambria" w:hAnsi="Cambria"/>
          <w:b/>
          <w:sz w:val="28"/>
          <w:lang w:eastAsia="ar-SA"/>
        </w:rPr>
        <w:t>Z a t w i e r d z o n o:</w:t>
      </w:r>
    </w:p>
    <w:p w14:paraId="7B0BC660" w14:textId="4A2E598A" w:rsidR="008A0C60" w:rsidRPr="002208EE" w:rsidRDefault="008A0C60" w:rsidP="008A0C60">
      <w:pPr>
        <w:suppressAutoHyphens/>
        <w:autoSpaceDE w:val="0"/>
        <w:autoSpaceDN w:val="0"/>
        <w:adjustRightInd w:val="0"/>
        <w:jc w:val="right"/>
        <w:rPr>
          <w:rFonts w:ascii="Cambria" w:hAnsi="Cambria"/>
          <w:lang w:eastAsia="ar-SA"/>
        </w:rPr>
      </w:pPr>
      <w:r w:rsidRPr="002208EE">
        <w:rPr>
          <w:rFonts w:ascii="Cambria" w:hAnsi="Cambria"/>
          <w:b/>
          <w:lang w:eastAsia="ar-SA"/>
        </w:rPr>
        <w:t xml:space="preserve">                                                                            </w:t>
      </w:r>
      <w:r w:rsidRPr="002208EE">
        <w:rPr>
          <w:rFonts w:ascii="Cambria" w:hAnsi="Cambria"/>
          <w:lang w:eastAsia="ar-SA"/>
        </w:rPr>
        <w:t>Kierownik Zarządu Dróg Powiatowych:</w:t>
      </w:r>
    </w:p>
    <w:p w14:paraId="2EFA6003" w14:textId="43DB2CA6" w:rsidR="00C113C9" w:rsidRPr="002208EE" w:rsidRDefault="008A0C60" w:rsidP="00AD4F05">
      <w:pPr>
        <w:suppressAutoHyphens/>
        <w:autoSpaceDE w:val="0"/>
        <w:autoSpaceDN w:val="0"/>
        <w:adjustRightInd w:val="0"/>
        <w:jc w:val="right"/>
        <w:rPr>
          <w:rFonts w:ascii="Cambria" w:hAnsi="Cambria"/>
          <w:lang w:eastAsia="ar-SA"/>
        </w:rPr>
      </w:pPr>
      <w:r w:rsidRPr="002208EE">
        <w:rPr>
          <w:rFonts w:ascii="Cambria" w:hAnsi="Cambria"/>
          <w:lang w:eastAsia="ar-SA"/>
        </w:rPr>
        <w:t xml:space="preserve">                                                                             /-/ </w:t>
      </w:r>
      <w:r w:rsidR="002208EE" w:rsidRPr="002208EE">
        <w:rPr>
          <w:rFonts w:ascii="Cambria" w:hAnsi="Cambria"/>
          <w:lang w:eastAsia="ar-SA"/>
        </w:rPr>
        <w:t>Dariusz Pasterkiewicz</w:t>
      </w:r>
    </w:p>
    <w:p w14:paraId="56422DD4" w14:textId="77777777" w:rsidR="00C113C9" w:rsidRPr="002208EE" w:rsidRDefault="00C113C9" w:rsidP="008A0C60">
      <w:pPr>
        <w:spacing w:line="252" w:lineRule="auto"/>
        <w:rPr>
          <w:rFonts w:ascii="Cambria" w:eastAsiaTheme="majorEastAsia" w:hAnsi="Cambria" w:cs="Arial"/>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0B2437D8" w14:textId="77777777" w:rsidR="00BA762E" w:rsidRDefault="00BA762E" w:rsidP="003B40C8">
      <w:pPr>
        <w:spacing w:line="252" w:lineRule="auto"/>
        <w:rPr>
          <w:rFonts w:asciiTheme="majorHAnsi" w:eastAsiaTheme="majorEastAsia" w:hAnsiTheme="majorHAnsi" w:cs="Arial"/>
          <w:bCs/>
          <w:lang w:eastAsia="en-US"/>
        </w:rPr>
      </w:pPr>
    </w:p>
    <w:p w14:paraId="2E79E499" w14:textId="77777777" w:rsidR="00BA762E" w:rsidRDefault="00BA762E" w:rsidP="003B40C8">
      <w:pPr>
        <w:spacing w:line="252" w:lineRule="auto"/>
        <w:rPr>
          <w:rFonts w:asciiTheme="majorHAnsi" w:eastAsiaTheme="majorEastAsia" w:hAnsiTheme="majorHAnsi" w:cs="Arial"/>
          <w:bCs/>
          <w:lang w:eastAsia="en-US"/>
        </w:rPr>
      </w:pPr>
    </w:p>
    <w:p w14:paraId="7561887B" w14:textId="213AEB15" w:rsidR="00165D6A" w:rsidRDefault="00FF770F"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1F1B9F">
        <w:rPr>
          <w:rFonts w:asciiTheme="majorHAnsi" w:eastAsiaTheme="majorEastAsia" w:hAnsiTheme="majorHAnsi" w:cs="Arial"/>
          <w:bCs/>
          <w:lang w:eastAsia="en-US"/>
        </w:rPr>
        <w:t>, 202</w:t>
      </w:r>
      <w:r w:rsidR="00D7294F">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640BD5AC" w14:textId="77777777" w:rsidR="00D7294F" w:rsidRPr="00165D6A" w:rsidRDefault="00D7294F" w:rsidP="00AD4F05">
      <w:pPr>
        <w:spacing w:line="252" w:lineRule="auto"/>
        <w:jc w:val="center"/>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41E13C8"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D7294F">
        <w:rPr>
          <w:rFonts w:ascii="Cambria" w:eastAsiaTheme="majorEastAsia" w:hAnsi="Cambria" w:cs="Arial"/>
          <w:lang w:eastAsia="en-US"/>
        </w:rPr>
        <w:t xml:space="preserve">z 2022 r. </w:t>
      </w:r>
      <w:r w:rsidRPr="00E37C11">
        <w:rPr>
          <w:rFonts w:ascii="Cambria" w:eastAsiaTheme="majorEastAsia" w:hAnsi="Cambria" w:cs="Arial"/>
          <w:lang w:eastAsia="en-US"/>
        </w:rPr>
        <w:t xml:space="preserve">poz. </w:t>
      </w:r>
      <w:r w:rsidR="009C7562">
        <w:rPr>
          <w:rFonts w:ascii="Cambria" w:eastAsiaTheme="majorEastAsia" w:hAnsi="Cambria" w:cs="Arial"/>
          <w:lang w:eastAsia="en-US"/>
        </w:rPr>
        <w:t>1</w:t>
      </w:r>
      <w:r w:rsidR="00D7294F">
        <w:rPr>
          <w:rFonts w:ascii="Cambria" w:eastAsiaTheme="majorEastAsia" w:hAnsi="Cambria" w:cs="Arial"/>
          <w:lang w:eastAsia="en-US"/>
        </w:rPr>
        <w:t>710</w:t>
      </w:r>
      <w:r w:rsidRPr="00E37C11">
        <w:rPr>
          <w:rFonts w:ascii="Cambria" w:eastAsiaTheme="majorEastAsia" w:hAnsi="Cambria" w:cs="Arial"/>
          <w:lang w:eastAsia="en-US"/>
        </w:rPr>
        <w:t xml:space="preserve">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4F247E54"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1F697389"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5B00DD8C"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Zamawiający nie zastrzega możliwości ubiegania się o udzielenie zamówienia wyłącznie przez wykonawców, o których mowa w art. 94 p.</w:t>
      </w:r>
      <w:r w:rsidR="00E37C11" w:rsidRPr="001C6495">
        <w:rPr>
          <w:rFonts w:ascii="Cambria" w:hAnsi="Cambria"/>
        </w:rPr>
        <w:t xml:space="preserve"> </w:t>
      </w:r>
      <w:r w:rsidRPr="001C6495">
        <w:rPr>
          <w:rFonts w:ascii="Cambria" w:hAnsi="Cambria"/>
        </w:rPr>
        <w:t>z.</w:t>
      </w:r>
      <w:r w:rsidR="00E37C11" w:rsidRPr="001C6495">
        <w:rPr>
          <w:rFonts w:ascii="Cambria" w:hAnsi="Cambria"/>
        </w:rPr>
        <w:t xml:space="preserve"> </w:t>
      </w:r>
      <w:r w:rsidRPr="001C6495">
        <w:rPr>
          <w:rFonts w:ascii="Cambria" w:hAnsi="Cambria"/>
        </w:rPr>
        <w:t xml:space="preserve">p. </w:t>
      </w:r>
    </w:p>
    <w:p w14:paraId="5368B9B4" w14:textId="4B401CCD" w:rsidR="00C37169"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D7294F"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D7294F" w:rsidRDefault="00DE29D2" w:rsidP="00DE29D2">
      <w:pPr>
        <w:ind w:left="709" w:hanging="709"/>
        <w:jc w:val="both"/>
        <w:rPr>
          <w:rFonts w:ascii="Cambria" w:hAnsi="Cambria"/>
        </w:rPr>
      </w:pPr>
      <w:r w:rsidRPr="00E6254D">
        <w:t xml:space="preserve">            </w:t>
      </w:r>
      <w:r w:rsidRPr="00D7294F">
        <w:rPr>
          <w:rFonts w:ascii="Cambria" w:hAnsi="Cambria"/>
        </w:rPr>
        <w:t xml:space="preserve">-  kierowca, </w:t>
      </w:r>
    </w:p>
    <w:p w14:paraId="4B53D959" w14:textId="5731CEFD" w:rsidR="00DE29D2" w:rsidRPr="00D7294F" w:rsidRDefault="00DE29D2" w:rsidP="00DE29D2">
      <w:pPr>
        <w:pStyle w:val="pkt"/>
        <w:tabs>
          <w:tab w:val="left" w:pos="426"/>
        </w:tabs>
        <w:spacing w:before="0" w:after="0" w:line="240" w:lineRule="auto"/>
        <w:ind w:left="284" w:hanging="284"/>
        <w:rPr>
          <w:rFonts w:ascii="Cambria" w:hAnsi="Cambria"/>
        </w:rPr>
      </w:pPr>
      <w:r w:rsidRPr="00D7294F">
        <w:rPr>
          <w:rFonts w:ascii="Cambria" w:hAnsi="Cambria"/>
          <w:szCs w:val="24"/>
        </w:rPr>
        <w:t xml:space="preserve">            -</w:t>
      </w:r>
      <w:r w:rsidR="00837337" w:rsidRPr="00D7294F">
        <w:rPr>
          <w:rFonts w:ascii="Cambria" w:hAnsi="Cambria"/>
          <w:szCs w:val="24"/>
        </w:rPr>
        <w:t xml:space="preserve">  </w:t>
      </w:r>
      <w:r w:rsidRPr="00D7294F">
        <w:rPr>
          <w:rFonts w:ascii="Cambria" w:hAnsi="Cambria"/>
          <w:szCs w:val="24"/>
        </w:rPr>
        <w:t>operator sprzętu</w:t>
      </w:r>
      <w:r w:rsidRPr="00D7294F">
        <w:rPr>
          <w:rFonts w:ascii="Cambria" w:hAnsi="Cambria"/>
        </w:rPr>
        <w:t xml:space="preserve"> </w:t>
      </w:r>
    </w:p>
    <w:p w14:paraId="10BC3379" w14:textId="4368BAD3" w:rsidR="00C37169" w:rsidRPr="009F6F18" w:rsidRDefault="00C37169" w:rsidP="001C6495">
      <w:pPr>
        <w:pStyle w:val="pkt"/>
        <w:numPr>
          <w:ilvl w:val="0"/>
          <w:numId w:val="30"/>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1C6495">
      <w:pPr>
        <w:pStyle w:val="pkt"/>
        <w:numPr>
          <w:ilvl w:val="0"/>
          <w:numId w:val="30"/>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 xml:space="preserve">budowlanych lub obiektu budowlanego, dostawę produktów lub świadczenie usług </w:t>
      </w:r>
      <w:r w:rsidR="00412BC8" w:rsidRPr="00773D17">
        <w:rPr>
          <w:rFonts w:asciiTheme="majorHAnsi" w:eastAsiaTheme="majorEastAsia" w:hAnsiTheme="majorHAnsi" w:cstheme="majorBidi"/>
          <w:lang w:eastAsia="en-US"/>
        </w:rPr>
        <w:lastRenderedPageBreak/>
        <w:t>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6B21A4F8" w14:textId="793ECB6D" w:rsidR="00D7294F" w:rsidRDefault="00D7294F" w:rsidP="00D7294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A762E">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04C2A98B"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potwierdzenia, czy przetwarzane są dane osobowe jego dotyczące, prawem wykonawcy do bycia poinformowanym o odpowiednich zabezpieczeniach, o </w:t>
      </w:r>
      <w:r w:rsidR="00587F52" w:rsidRPr="00773D17">
        <w:rPr>
          <w:rFonts w:asciiTheme="majorHAnsi" w:eastAsiaTheme="majorEastAsia" w:hAnsiTheme="majorHAnsi" w:cstheme="majorBidi"/>
          <w:lang w:eastAsia="en-US"/>
        </w:rPr>
        <w:lastRenderedPageBreak/>
        <w:t>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6A22F273"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47F1">
        <w:rPr>
          <w:rFonts w:asciiTheme="majorHAnsi" w:hAnsiTheme="majorHAnsi" w:cstheme="majorBidi"/>
          <w:b/>
          <w:highlight w:val="lightGray"/>
          <w:lang w:eastAsia="en-US"/>
        </w:rPr>
        <w:t xml:space="preserve">z 2022 </w:t>
      </w:r>
      <w:r w:rsidRPr="00773D17">
        <w:rPr>
          <w:rFonts w:asciiTheme="majorHAnsi" w:hAnsiTheme="majorHAnsi" w:cstheme="majorBidi"/>
          <w:b/>
          <w:highlight w:val="lightGray"/>
          <w:lang w:eastAsia="en-US"/>
        </w:rPr>
        <w:t xml:space="preserve">poz. </w:t>
      </w:r>
      <w:r w:rsidR="004347F1">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6C822690" w14:textId="0571AA8E" w:rsidR="004347F1" w:rsidRPr="00BA762E" w:rsidRDefault="00AA4F20" w:rsidP="00BA762E">
      <w:pPr>
        <w:pStyle w:val="Akapitzlist"/>
        <w:numPr>
          <w:ilvl w:val="0"/>
          <w:numId w:val="78"/>
        </w:numPr>
        <w:jc w:val="both"/>
        <w:rPr>
          <w:rFonts w:ascii="Cambria" w:hAnsi="Cambria"/>
        </w:rPr>
      </w:pPr>
      <w:r w:rsidRPr="004347F1">
        <w:rPr>
          <w:rFonts w:ascii="Cambria" w:eastAsiaTheme="majorEastAsia" w:hAnsi="Cambria" w:cstheme="majorBidi"/>
          <w:b/>
          <w:lang w:eastAsia="en-US"/>
        </w:rPr>
        <w:t>Przedmiot zamówienia stanowi</w:t>
      </w:r>
      <w:r w:rsidR="001C6A9E" w:rsidRPr="004347F1">
        <w:rPr>
          <w:rFonts w:asciiTheme="majorHAnsi" w:eastAsiaTheme="majorEastAsia" w:hAnsiTheme="majorHAnsi" w:cstheme="majorBidi"/>
          <w:b/>
          <w:lang w:eastAsia="en-US"/>
        </w:rPr>
        <w:t xml:space="preserve">: </w:t>
      </w:r>
      <w:r w:rsidR="004347F1" w:rsidRPr="004347F1">
        <w:rPr>
          <w:rFonts w:ascii="Cambria" w:hAnsi="Cambria"/>
        </w:rPr>
        <w:t>„</w:t>
      </w:r>
      <w:r w:rsidR="004347F1" w:rsidRPr="004347F1">
        <w:rPr>
          <w:rFonts w:asciiTheme="majorHAnsi" w:hAnsiTheme="majorHAnsi"/>
        </w:rPr>
        <w:t xml:space="preserve">Dostawę </w:t>
      </w:r>
      <w:r w:rsidR="00BA762E" w:rsidRPr="00BA762E">
        <w:rPr>
          <w:rFonts w:ascii="Cambria" w:hAnsi="Cambria"/>
        </w:rPr>
        <w:t>betonu asfaltowego: - warstwa ścieralna AC 11S,</w:t>
      </w:r>
      <w:r w:rsidR="00BA762E">
        <w:rPr>
          <w:rFonts w:ascii="Cambria" w:hAnsi="Cambria"/>
        </w:rPr>
        <w:t xml:space="preserve"> </w:t>
      </w:r>
      <w:r w:rsidR="00BA762E" w:rsidRPr="00BA762E">
        <w:rPr>
          <w:rFonts w:ascii="Cambria" w:hAnsi="Cambria"/>
        </w:rPr>
        <w:t>-  podbudowa AC 16W do zadania: „</w:t>
      </w:r>
      <w:r w:rsidR="00861856" w:rsidRPr="00861856">
        <w:rPr>
          <w:rFonts w:ascii="Cambria" w:hAnsi="Cambria"/>
        </w:rPr>
        <w:t>Przebudowa drogi powiatowej nr 4793P Brylewo- Bielawy</w:t>
      </w:r>
      <w:r w:rsidR="00BA762E" w:rsidRPr="00BA762E">
        <w:rPr>
          <w:rFonts w:ascii="Cambria" w:hAnsi="Cambria"/>
        </w:rPr>
        <w:t>”</w:t>
      </w:r>
    </w:p>
    <w:p w14:paraId="387A6430" w14:textId="77777777" w:rsidR="004347F1" w:rsidRPr="004347F1" w:rsidRDefault="00AA4F20" w:rsidP="006C1B99">
      <w:pPr>
        <w:pStyle w:val="Nagwek"/>
        <w:numPr>
          <w:ilvl w:val="0"/>
          <w:numId w:val="78"/>
        </w:numPr>
        <w:jc w:val="both"/>
        <w:rPr>
          <w:rFonts w:asciiTheme="majorHAnsi" w:hAnsiTheme="majorHAnsi"/>
          <w:lang w:val="pl-PL"/>
        </w:rPr>
      </w:pPr>
      <w:r w:rsidRPr="004347F1">
        <w:rPr>
          <w:rFonts w:asciiTheme="majorHAnsi" w:eastAsiaTheme="majorEastAsia" w:hAnsiTheme="majorHAnsi" w:cstheme="majorBidi"/>
          <w:b/>
          <w:lang w:eastAsia="en-US"/>
        </w:rPr>
        <w:t>Zakres przedmiotu zamówienia obejmuje</w:t>
      </w:r>
      <w:r w:rsidR="001C6A9E" w:rsidRPr="004347F1">
        <w:rPr>
          <w:rFonts w:asciiTheme="majorHAnsi" w:eastAsiaTheme="majorEastAsia" w:hAnsiTheme="majorHAnsi" w:cstheme="majorBidi"/>
          <w:b/>
          <w:lang w:eastAsia="en-US"/>
        </w:rPr>
        <w:t xml:space="preserve">: </w:t>
      </w:r>
      <w:r w:rsidR="00A25ADD" w:rsidRPr="004347F1">
        <w:rPr>
          <w:rFonts w:asciiTheme="majorHAnsi" w:eastAsiaTheme="majorEastAsia" w:hAnsiTheme="majorHAnsi" w:cstheme="majorBidi"/>
          <w:b/>
          <w:lang w:val="pl-PL" w:eastAsia="en-US"/>
        </w:rPr>
        <w:t xml:space="preserve"> </w:t>
      </w:r>
    </w:p>
    <w:p w14:paraId="4F238DAF" w14:textId="155CC2FC" w:rsidR="004347F1" w:rsidRDefault="00A25ADD" w:rsidP="004347F1">
      <w:pPr>
        <w:pStyle w:val="Nagwek"/>
        <w:ind w:left="360"/>
        <w:jc w:val="both"/>
        <w:rPr>
          <w:rFonts w:asciiTheme="majorHAnsi" w:hAnsiTheme="majorHAnsi"/>
        </w:rPr>
      </w:pPr>
      <w:r w:rsidRPr="004347F1">
        <w:rPr>
          <w:rFonts w:asciiTheme="majorHAnsi" w:hAnsiTheme="majorHAnsi"/>
        </w:rPr>
        <w:t xml:space="preserve">Przedmiotem zamówienia jest dostawa betonu asfaltowego: -warstwa ścieralna </w:t>
      </w:r>
      <w:r w:rsidR="001C6495">
        <w:rPr>
          <w:rFonts w:asciiTheme="majorHAnsi" w:hAnsiTheme="majorHAnsi"/>
          <w:lang w:val="pl-PL"/>
        </w:rPr>
        <w:t xml:space="preserve">                  </w:t>
      </w:r>
      <w:r w:rsidRPr="004347F1">
        <w:rPr>
          <w:rFonts w:asciiTheme="majorHAnsi" w:hAnsiTheme="majorHAnsi"/>
          <w:b/>
        </w:rPr>
        <w:t>AC 11S</w:t>
      </w:r>
      <w:r w:rsidRPr="004347F1">
        <w:rPr>
          <w:rFonts w:asciiTheme="majorHAnsi" w:hAnsiTheme="majorHAnsi"/>
        </w:rPr>
        <w:t xml:space="preserve">,  szacunkowa  ilość  </w:t>
      </w:r>
      <w:r w:rsidR="00A706F4">
        <w:rPr>
          <w:rFonts w:asciiTheme="majorHAnsi" w:hAnsiTheme="majorHAnsi"/>
          <w:b/>
          <w:lang w:val="pl-PL"/>
        </w:rPr>
        <w:t>20</w:t>
      </w:r>
      <w:r w:rsidR="004347F1" w:rsidRPr="004347F1">
        <w:rPr>
          <w:rFonts w:asciiTheme="majorHAnsi" w:hAnsiTheme="majorHAnsi"/>
          <w:b/>
          <w:lang w:val="pl-PL"/>
        </w:rPr>
        <w:t>0</w:t>
      </w:r>
      <w:r w:rsidRPr="004347F1">
        <w:rPr>
          <w:rFonts w:asciiTheme="majorHAnsi" w:hAnsiTheme="majorHAnsi"/>
          <w:b/>
        </w:rPr>
        <w:t xml:space="preserve"> ton</w:t>
      </w:r>
      <w:r w:rsidRPr="004347F1">
        <w:rPr>
          <w:rFonts w:asciiTheme="majorHAnsi" w:hAnsiTheme="majorHAnsi"/>
        </w:rPr>
        <w:t xml:space="preserve">, -podbudowa </w:t>
      </w:r>
      <w:r w:rsidRPr="004347F1">
        <w:rPr>
          <w:rFonts w:asciiTheme="majorHAnsi" w:hAnsiTheme="majorHAnsi"/>
          <w:b/>
        </w:rPr>
        <w:t>AC 16W</w:t>
      </w:r>
      <w:r w:rsidR="004347F1">
        <w:rPr>
          <w:rFonts w:asciiTheme="majorHAnsi" w:hAnsiTheme="majorHAnsi"/>
        </w:rPr>
        <w:t xml:space="preserve">, szacunkowa ilość </w:t>
      </w:r>
      <w:r w:rsidR="00A706F4">
        <w:rPr>
          <w:rFonts w:asciiTheme="majorHAnsi" w:hAnsiTheme="majorHAnsi"/>
          <w:b/>
          <w:lang w:val="pl-PL"/>
        </w:rPr>
        <w:t>30</w:t>
      </w:r>
      <w:r w:rsidR="004347F1" w:rsidRPr="004347F1">
        <w:rPr>
          <w:rFonts w:asciiTheme="majorHAnsi" w:hAnsiTheme="majorHAnsi"/>
          <w:b/>
          <w:lang w:val="pl-PL"/>
        </w:rPr>
        <w:t>0</w:t>
      </w:r>
      <w:r w:rsidRPr="004347F1">
        <w:rPr>
          <w:rFonts w:asciiTheme="majorHAnsi" w:hAnsiTheme="majorHAnsi"/>
          <w:b/>
        </w:rPr>
        <w:t xml:space="preserve"> ton</w:t>
      </w:r>
      <w:r w:rsidRPr="004347F1">
        <w:rPr>
          <w:rFonts w:asciiTheme="majorHAnsi" w:hAnsiTheme="majorHAnsi"/>
        </w:rPr>
        <w:t xml:space="preserve">. </w:t>
      </w:r>
    </w:p>
    <w:p w14:paraId="77CD96C7" w14:textId="21FF5B40" w:rsidR="00A25ADD" w:rsidRPr="004347F1" w:rsidRDefault="00A25ADD" w:rsidP="004347F1">
      <w:pPr>
        <w:pStyle w:val="Nagwek"/>
        <w:ind w:left="360"/>
        <w:jc w:val="both"/>
        <w:rPr>
          <w:rFonts w:asciiTheme="majorHAnsi" w:hAnsiTheme="majorHAnsi"/>
          <w:lang w:val="pl-PL"/>
        </w:rPr>
      </w:pPr>
      <w:r w:rsidRPr="004347F1">
        <w:rPr>
          <w:rFonts w:asciiTheme="majorHAnsi" w:hAnsiTheme="majorHAnsi"/>
        </w:rPr>
        <w:t xml:space="preserve"> </w:t>
      </w:r>
    </w:p>
    <w:p w14:paraId="251E46FB" w14:textId="39A413FE" w:rsidR="00A25ADD" w:rsidRPr="00A25ADD" w:rsidRDefault="00A25ADD" w:rsidP="004347F1">
      <w:pPr>
        <w:pStyle w:val="Akapitzlist"/>
        <w:overflowPunct w:val="0"/>
        <w:autoSpaceDE w:val="0"/>
        <w:autoSpaceDN w:val="0"/>
        <w:adjustRightInd w:val="0"/>
        <w:ind w:left="360"/>
        <w:jc w:val="both"/>
        <w:textAlignment w:val="baseline"/>
        <w:rPr>
          <w:rFonts w:asciiTheme="majorHAnsi" w:hAnsiTheme="majorHAnsi"/>
        </w:rPr>
      </w:pPr>
      <w:r w:rsidRPr="00A25ADD">
        <w:rPr>
          <w:rFonts w:asciiTheme="majorHAnsi" w:hAnsiTheme="majorHAnsi"/>
        </w:rPr>
        <w:t>Beton asfaltowy powinien odpowia</w:t>
      </w:r>
      <w:r>
        <w:rPr>
          <w:rFonts w:asciiTheme="majorHAnsi" w:hAnsiTheme="majorHAnsi"/>
        </w:rPr>
        <w:t>dać wymaganiom określonym w SST</w:t>
      </w:r>
    </w:p>
    <w:p w14:paraId="35D34C14" w14:textId="77777777" w:rsidR="00A25ADD" w:rsidRDefault="00A25ADD" w:rsidP="006C1B99">
      <w:pPr>
        <w:pStyle w:val="Akapitzlist"/>
        <w:numPr>
          <w:ilvl w:val="0"/>
          <w:numId w:val="75"/>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wielkość jednorazowej dostawy od 25 do 50 ton,</w:t>
      </w:r>
    </w:p>
    <w:p w14:paraId="2894D2F9" w14:textId="77777777" w:rsidR="00A25ADD" w:rsidRDefault="00A25ADD" w:rsidP="006C1B99">
      <w:pPr>
        <w:pStyle w:val="Akapitzlist"/>
        <w:numPr>
          <w:ilvl w:val="0"/>
          <w:numId w:val="75"/>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dostawa  -  miejsce wskazane przez Zamawiającego, </w:t>
      </w:r>
    </w:p>
    <w:p w14:paraId="2F8C6B7F" w14:textId="77777777" w:rsidR="004347F1" w:rsidRDefault="004347F1" w:rsidP="004347F1">
      <w:pPr>
        <w:pStyle w:val="Akapitzlist"/>
        <w:overflowPunct w:val="0"/>
        <w:autoSpaceDE w:val="0"/>
        <w:autoSpaceDN w:val="0"/>
        <w:adjustRightInd w:val="0"/>
        <w:ind w:left="1080"/>
        <w:jc w:val="both"/>
        <w:textAlignment w:val="baseline"/>
        <w:rPr>
          <w:rFonts w:asciiTheme="majorHAnsi" w:hAnsiTheme="majorHAnsi"/>
        </w:rPr>
      </w:pPr>
    </w:p>
    <w:p w14:paraId="2C64E487" w14:textId="77777777" w:rsidR="00493027" w:rsidRPr="00A25ADD" w:rsidRDefault="00D73E9A" w:rsidP="006C1B99">
      <w:pPr>
        <w:pStyle w:val="Akapitzlist"/>
        <w:numPr>
          <w:ilvl w:val="0"/>
          <w:numId w:val="7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Zamawiający zastrzega, że podane ilości są ilościami szacunkowymi, obrazują możliwą wielkość, zakres przedmiotu zamówienia i mogą być pomocne na etapie przygotowywania ofert.</w:t>
      </w:r>
    </w:p>
    <w:p w14:paraId="78201B9B" w14:textId="442E054D" w:rsidR="004B0015" w:rsidRPr="004B0015" w:rsidRDefault="004B0015" w:rsidP="006C1B99">
      <w:pPr>
        <w:pStyle w:val="Akapitzlist"/>
        <w:numPr>
          <w:ilvl w:val="0"/>
          <w:numId w:val="72"/>
        </w:numPr>
        <w:jc w:val="both"/>
        <w:rPr>
          <w:rFonts w:asciiTheme="majorHAnsi" w:hAnsiTheme="majorHAnsi"/>
        </w:rPr>
      </w:pPr>
      <w:r w:rsidRPr="004B0015">
        <w:rPr>
          <w:rFonts w:asciiTheme="majorHAnsi" w:hAnsiTheme="majorHAnsi"/>
        </w:rPr>
        <w:t xml:space="preserve">Przedmiot zamówienia dotyczy dostawy </w:t>
      </w:r>
      <w:r w:rsidR="00A25ADD">
        <w:rPr>
          <w:rFonts w:asciiTheme="majorHAnsi" w:hAnsiTheme="majorHAnsi"/>
        </w:rPr>
        <w:t>betonu asfaltowego</w:t>
      </w:r>
      <w:r w:rsidRPr="004B0015">
        <w:rPr>
          <w:rFonts w:asciiTheme="majorHAnsi" w:hAnsiTheme="majorHAnsi"/>
        </w:rPr>
        <w:t xml:space="preserve"> dla robót wykonywanych na terenie powiatu leszczyńskiego.</w:t>
      </w:r>
    </w:p>
    <w:p w14:paraId="103EF0F4" w14:textId="3195ABE9" w:rsidR="00AA4F20" w:rsidRPr="004B0015" w:rsidRDefault="00D73E9A" w:rsidP="006C1B99">
      <w:pPr>
        <w:pStyle w:val="Akapitzlist"/>
        <w:numPr>
          <w:ilvl w:val="0"/>
          <w:numId w:val="7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6C1B9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25E4EC3B" w14:textId="77777777" w:rsidR="00665775" w:rsidRDefault="00447382" w:rsidP="006C1B99">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6C1B99">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6C1B99">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6C1B99">
      <w:pPr>
        <w:pStyle w:val="Akapitzlist"/>
        <w:numPr>
          <w:ilvl w:val="0"/>
          <w:numId w:val="67"/>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6C1B99">
      <w:pPr>
        <w:pStyle w:val="Akapitzlist"/>
        <w:numPr>
          <w:ilvl w:val="0"/>
          <w:numId w:val="67"/>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6C1B99">
      <w:pPr>
        <w:pStyle w:val="Akapitzlist"/>
        <w:numPr>
          <w:ilvl w:val="0"/>
          <w:numId w:val="67"/>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6C1B99">
      <w:pPr>
        <w:pStyle w:val="Akapitzlist"/>
        <w:numPr>
          <w:ilvl w:val="0"/>
          <w:numId w:val="68"/>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6C1B99">
      <w:pPr>
        <w:pStyle w:val="Akapitzlist"/>
        <w:numPr>
          <w:ilvl w:val="0"/>
          <w:numId w:val="68"/>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w:t>
      </w:r>
      <w:r w:rsidRPr="00837337">
        <w:rPr>
          <w:rFonts w:ascii="Cambria" w:hAnsi="Cambria"/>
        </w:rPr>
        <w:lastRenderedPageBreak/>
        <w:t>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6C1B99">
      <w:pPr>
        <w:pStyle w:val="Akapitzlist"/>
        <w:numPr>
          <w:ilvl w:val="0"/>
          <w:numId w:val="68"/>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6C1B99">
      <w:pPr>
        <w:pStyle w:val="Akapitzlist"/>
        <w:numPr>
          <w:ilvl w:val="0"/>
          <w:numId w:val="68"/>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6C1B99">
      <w:pPr>
        <w:pStyle w:val="Akapitzlist"/>
        <w:numPr>
          <w:ilvl w:val="0"/>
          <w:numId w:val="68"/>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0DA23BE3" w:rsidR="00020159" w:rsidRDefault="00AA4F20" w:rsidP="006C1B99">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5131BE">
        <w:rPr>
          <w:rFonts w:asciiTheme="majorHAnsi" w:eastAsiaTheme="majorEastAsia" w:hAnsiTheme="majorHAnsi" w:cstheme="majorBidi"/>
          <w:b/>
          <w:bCs/>
          <w:lang w:eastAsia="en-US"/>
        </w:rPr>
        <w:t xml:space="preserve">do </w:t>
      </w:r>
      <w:r w:rsidR="008A0189">
        <w:rPr>
          <w:rFonts w:asciiTheme="majorHAnsi" w:eastAsiaTheme="majorEastAsia" w:hAnsiTheme="majorHAnsi" w:cstheme="majorBidi"/>
          <w:b/>
          <w:bCs/>
          <w:lang w:eastAsia="en-US"/>
        </w:rPr>
        <w:t>dnia 15.12.2023 r.</w:t>
      </w:r>
    </w:p>
    <w:p w14:paraId="25F3EA1C" w14:textId="4891D282" w:rsidR="00020159" w:rsidRPr="009F6F18" w:rsidRDefault="00020159" w:rsidP="006C1B99">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2F0FC1BB" w14:textId="5E67DE7E" w:rsidR="000F0283" w:rsidRPr="00281647" w:rsidRDefault="00F04C1F" w:rsidP="00AA4F20">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1638877B" w14:textId="0A87E938" w:rsidR="00F04C1F" w:rsidRPr="00484329" w:rsidRDefault="00F04C1F" w:rsidP="006C1B99">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6C1B99">
      <w:pPr>
        <w:pStyle w:val="Akapitzlist"/>
        <w:numPr>
          <w:ilvl w:val="0"/>
          <w:numId w:val="74"/>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6C1B99">
      <w:pPr>
        <w:pStyle w:val="Akapitzlist"/>
        <w:numPr>
          <w:ilvl w:val="0"/>
          <w:numId w:val="74"/>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6C1B99">
      <w:pPr>
        <w:pStyle w:val="Akapitzlist"/>
        <w:numPr>
          <w:ilvl w:val="0"/>
          <w:numId w:val="74"/>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6C1B99">
      <w:pPr>
        <w:pStyle w:val="Akapitzlist"/>
        <w:numPr>
          <w:ilvl w:val="0"/>
          <w:numId w:val="74"/>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6C1B99">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6C1B99">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6C1B99">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6C1B99">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6C1B99">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6C1B99">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02D3981" w14:textId="77777777" w:rsidR="005131BE" w:rsidRDefault="005131BE" w:rsidP="006C1B99">
      <w:pPr>
        <w:pStyle w:val="Akapitzlist"/>
        <w:numPr>
          <w:ilvl w:val="0"/>
          <w:numId w:val="46"/>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7203DDEE" w14:textId="77777777" w:rsidR="005131BE" w:rsidRDefault="005131BE" w:rsidP="005131BE">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1965EC06" w14:textId="77777777" w:rsidR="005131B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61C5FB1" w14:textId="77777777" w:rsidR="005131BE" w:rsidRPr="005446C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39900E60" w14:textId="77777777" w:rsidR="005131BE" w:rsidRPr="005446C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którego jednostką dominującą w rozumieniu art. 3 ust. 1 pkt 37 ustawy z dnia 29 września 1994 r. o rachunkowości (Dz. U. z 2021 r. poz. 217, </w:t>
      </w:r>
      <w:r w:rsidRPr="000D32E7">
        <w:rPr>
          <w:rFonts w:ascii="Cambria" w:hAnsi="Cambria" w:cs="Arial"/>
        </w:rPr>
        <w:lastRenderedPageBreak/>
        <w:t>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533516F" w14:textId="0176FC32" w:rsidR="00927F3A" w:rsidRPr="005131BE" w:rsidRDefault="005131BE" w:rsidP="006C1B99">
      <w:pPr>
        <w:pStyle w:val="pkt"/>
        <w:numPr>
          <w:ilvl w:val="0"/>
          <w:numId w:val="46"/>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3C828E6F" w14:textId="77777777" w:rsidR="009D4DAE" w:rsidRPr="00773D17" w:rsidRDefault="009D4DAE"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6C1B99">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6C1B99">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6C1B99">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6C1B99">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6C1B99">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6C1B99">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6C1B99">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6C1B99">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6C1B99">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 xml:space="preserve">lub </w:t>
      </w:r>
      <w:r w:rsidRPr="006D6032">
        <w:rPr>
          <w:rFonts w:asciiTheme="majorHAnsi" w:hAnsiTheme="majorHAnsi"/>
          <w:bCs/>
        </w:rPr>
        <w:lastRenderedPageBreak/>
        <w:t>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6C1B99">
      <w:pPr>
        <w:pStyle w:val="Akapitzlist"/>
        <w:numPr>
          <w:ilvl w:val="0"/>
          <w:numId w:val="71"/>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6C1B99">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6C1B99">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6C1B99">
      <w:pPr>
        <w:pStyle w:val="Akapitzlist"/>
        <w:numPr>
          <w:ilvl w:val="0"/>
          <w:numId w:val="73"/>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6C1B99">
      <w:pPr>
        <w:pStyle w:val="Akapitzlist"/>
        <w:numPr>
          <w:ilvl w:val="0"/>
          <w:numId w:val="69"/>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5131BE" w:rsidRDefault="00837337" w:rsidP="006C1B99">
      <w:pPr>
        <w:pStyle w:val="Akapitzlist"/>
        <w:numPr>
          <w:ilvl w:val="0"/>
          <w:numId w:val="70"/>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6CCBC30D" w14:textId="77777777" w:rsidR="005131BE" w:rsidRDefault="005131BE" w:rsidP="005131BE">
      <w:pPr>
        <w:pStyle w:val="Akapitzlist"/>
        <w:ind w:left="426"/>
        <w:jc w:val="both"/>
        <w:rPr>
          <w:rFonts w:ascii="Cambria" w:eastAsiaTheme="minorHAnsi" w:hAnsi="Cambria"/>
          <w:b/>
          <w:lang w:eastAsia="en-US"/>
        </w:rPr>
      </w:pPr>
    </w:p>
    <w:p w14:paraId="480D3F71" w14:textId="779D9619" w:rsidR="00837337" w:rsidRDefault="005131BE" w:rsidP="006C1B99">
      <w:pPr>
        <w:pStyle w:val="Akapitzlist"/>
        <w:numPr>
          <w:ilvl w:val="0"/>
          <w:numId w:val="69"/>
        </w:numPr>
        <w:autoSpaceDE w:val="0"/>
        <w:autoSpaceDN w:val="0"/>
        <w:spacing w:before="120" w:after="120"/>
        <w:ind w:left="426"/>
        <w:jc w:val="both"/>
        <w:rPr>
          <w:rFonts w:asciiTheme="majorHAnsi" w:hAnsiTheme="majorHAnsi"/>
          <w:bCs/>
        </w:rPr>
      </w:pPr>
      <w:r>
        <w:rPr>
          <w:rFonts w:asciiTheme="majorHAnsi" w:hAnsiTheme="majorHAnsi"/>
          <w:bCs/>
        </w:rPr>
        <w:t>Okres</w:t>
      </w:r>
      <w:r w:rsidR="00837337" w:rsidRPr="00837337">
        <w:rPr>
          <w:rFonts w:asciiTheme="majorHAnsi" w:hAnsiTheme="majorHAnsi"/>
          <w:bCs/>
        </w:rPr>
        <w:t xml:space="preserve"> wyrażony w latach, o którym mowa w </w:t>
      </w:r>
      <w:r w:rsidR="00837337">
        <w:rPr>
          <w:rFonts w:asciiTheme="majorHAnsi" w:hAnsiTheme="majorHAnsi"/>
          <w:bCs/>
        </w:rPr>
        <w:t>pkt</w:t>
      </w:r>
      <w:r w:rsidR="00837337" w:rsidRPr="00837337">
        <w:rPr>
          <w:rFonts w:asciiTheme="majorHAnsi" w:hAnsiTheme="majorHAnsi"/>
          <w:bCs/>
        </w:rPr>
        <w:t xml:space="preserve">. </w:t>
      </w:r>
      <w:r w:rsidR="00837337">
        <w:rPr>
          <w:rFonts w:asciiTheme="majorHAnsi" w:hAnsiTheme="majorHAnsi"/>
          <w:bCs/>
        </w:rPr>
        <w:t>2) lit. a) – spełnianie warunków udziału w postępowaniu</w:t>
      </w:r>
      <w:r w:rsidR="00837337" w:rsidRPr="00837337">
        <w:rPr>
          <w:rFonts w:asciiTheme="majorHAnsi" w:hAnsiTheme="majorHAnsi"/>
          <w:bCs/>
        </w:rPr>
        <w:t xml:space="preserve">, liczy się wstecz od dnia, w którym upływa termin składania ofert. </w:t>
      </w:r>
    </w:p>
    <w:p w14:paraId="0493FD44"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lastRenderedPageBreak/>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3F62144" w:rsidR="005044EC" w:rsidRDefault="00DA5BE2" w:rsidP="006C1B99">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BE1111">
        <w:rPr>
          <w:rFonts w:ascii="Cambria" w:hAnsi="Cambria" w:cs="Calibri,Bold"/>
          <w:b/>
          <w:bCs/>
          <w:color w:val="000000"/>
        </w:rPr>
        <w:t>01.09</w:t>
      </w:r>
      <w:r w:rsidR="0031721A">
        <w:rPr>
          <w:rFonts w:ascii="Cambria" w:hAnsi="Cambria" w:cs="Calibri,Bold"/>
          <w:b/>
          <w:bCs/>
          <w:color w:val="000000"/>
        </w:rPr>
        <w:t>.2023</w:t>
      </w:r>
      <w:r w:rsidR="005044EC" w:rsidRPr="005044EC">
        <w:rPr>
          <w:rFonts w:ascii="Cambria" w:hAnsi="Cambria" w:cs="Calibri,Bold"/>
          <w:b/>
          <w:bCs/>
          <w:color w:val="000000"/>
        </w:rPr>
        <w:t xml:space="preserve"> r. do godz. </w:t>
      </w:r>
      <w:r w:rsidR="001C6495">
        <w:rPr>
          <w:rFonts w:ascii="Cambria" w:hAnsi="Cambria" w:cs="Calibri,Bold"/>
          <w:b/>
          <w:bCs/>
          <w:color w:val="000000"/>
        </w:rPr>
        <w:t>10</w:t>
      </w:r>
      <w:r w:rsidR="005044EC" w:rsidRPr="005044EC">
        <w:rPr>
          <w:rFonts w:ascii="Cambria" w:hAnsi="Cambria" w:cs="Calibri,Bold"/>
          <w:b/>
          <w:bCs/>
          <w:color w:val="000000"/>
        </w:rPr>
        <w:t>.00.</w:t>
      </w:r>
    </w:p>
    <w:p w14:paraId="1DD9F146" w14:textId="77777777" w:rsidR="005044EC" w:rsidRPr="005044EC" w:rsidRDefault="005044EC" w:rsidP="006C1B99">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załączników należy kliknąć prz</w:t>
      </w:r>
      <w:bookmarkStart w:id="2" w:name="_GoBack"/>
      <w:bookmarkEnd w:id="2"/>
      <w:r w:rsidRPr="005044EC">
        <w:rPr>
          <w:rFonts w:ascii="Cambria" w:hAnsi="Cambria" w:cs="Calibri"/>
          <w:color w:val="000000"/>
        </w:rPr>
        <w:t xml:space="preserve">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6C1B99">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6C1B99">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6C1B99">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6C1B99">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6C1B99">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6C1B99">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6C1B99">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6C1B99">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lastRenderedPageBreak/>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6C1B99">
      <w:pPr>
        <w:pStyle w:val="Akapitzlist"/>
        <w:numPr>
          <w:ilvl w:val="0"/>
          <w:numId w:val="5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6C1B99">
      <w:pPr>
        <w:pStyle w:val="Akapitzlist"/>
        <w:numPr>
          <w:ilvl w:val="0"/>
          <w:numId w:val="5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6C1B99">
      <w:pPr>
        <w:pStyle w:val="Akapitzlist"/>
        <w:numPr>
          <w:ilvl w:val="0"/>
          <w:numId w:val="5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6C1B99">
      <w:pPr>
        <w:pStyle w:val="Akapitzlist"/>
        <w:numPr>
          <w:ilvl w:val="0"/>
          <w:numId w:val="5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6C1B99">
      <w:pPr>
        <w:pStyle w:val="Akapitzlist"/>
        <w:numPr>
          <w:ilvl w:val="0"/>
          <w:numId w:val="59"/>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6C1B99">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 xml:space="preserve">Wartości kwotowe ujęte jako wielkości matematyczne znajdujące się na trzecim i kolejnym miejscu po przecinku, w odniesieniu do nieistniejącej wielkości w polskim </w:t>
      </w:r>
      <w:r w:rsidRPr="00C4111D">
        <w:rPr>
          <w:rFonts w:asciiTheme="majorHAnsi" w:eastAsiaTheme="majorEastAsia" w:hAnsiTheme="majorHAnsi" w:cstheme="majorBidi"/>
          <w:lang w:eastAsia="en-US"/>
        </w:rPr>
        <w:lastRenderedPageBreak/>
        <w:t>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6C1B99">
      <w:pPr>
        <w:pStyle w:val="Akapitzlist"/>
        <w:numPr>
          <w:ilvl w:val="0"/>
          <w:numId w:val="5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6C1B99">
      <w:pPr>
        <w:pStyle w:val="Akapitzlist"/>
        <w:numPr>
          <w:ilvl w:val="0"/>
          <w:numId w:val="5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 xml:space="preserve">od </w:t>
      </w:r>
      <w:r w:rsidRPr="00B252EB">
        <w:rPr>
          <w:rFonts w:ascii="Cambria" w:hAnsi="Cambria"/>
        </w:rPr>
        <w:lastRenderedPageBreak/>
        <w:t>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6C1B99">
      <w:pPr>
        <w:pStyle w:val="Akapitzlist"/>
        <w:numPr>
          <w:ilvl w:val="0"/>
          <w:numId w:val="6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6C1B99">
      <w:pPr>
        <w:pStyle w:val="Akapitzlist"/>
        <w:numPr>
          <w:ilvl w:val="0"/>
          <w:numId w:val="6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lastRenderedPageBreak/>
        <w:t>b) .7Z</w:t>
      </w:r>
    </w:p>
    <w:p w14:paraId="0F098607"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6C1B99">
      <w:pPr>
        <w:numPr>
          <w:ilvl w:val="1"/>
          <w:numId w:val="63"/>
        </w:numPr>
        <w:spacing w:before="120"/>
        <w:ind w:right="-108"/>
        <w:jc w:val="both"/>
        <w:rPr>
          <w:rFonts w:ascii="Cambria" w:hAnsi="Cambria"/>
        </w:rPr>
      </w:pPr>
      <w:r w:rsidRPr="00773D17">
        <w:rPr>
          <w:rFonts w:ascii="Cambria" w:hAnsi="Cambria"/>
        </w:rPr>
        <w:lastRenderedPageBreak/>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8727450"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BE1111">
        <w:rPr>
          <w:rFonts w:ascii="Cambria" w:hAnsi="Cambria"/>
          <w:b/>
        </w:rPr>
        <w:t>01.09</w:t>
      </w:r>
      <w:r w:rsidR="0031721A">
        <w:rPr>
          <w:rFonts w:ascii="Cambria" w:hAnsi="Cambria"/>
          <w:b/>
        </w:rPr>
        <w:t>.2023</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1C6495">
        <w:rPr>
          <w:rFonts w:ascii="Cambria" w:hAnsi="Cambria"/>
          <w:b/>
        </w:rPr>
        <w:t>0</w:t>
      </w:r>
      <w:r w:rsidR="00C97B0C" w:rsidRPr="00C97B0C">
        <w:rPr>
          <w:rFonts w:ascii="Cambria" w:hAnsi="Cambria"/>
          <w:b/>
        </w:rPr>
        <w:t>:00</w:t>
      </w:r>
    </w:p>
    <w:p w14:paraId="23A08AAD" w14:textId="59C92209" w:rsidR="00545239" w:rsidRPr="0031721A" w:rsidRDefault="00C97B0C" w:rsidP="002A6A69">
      <w:pPr>
        <w:numPr>
          <w:ilvl w:val="1"/>
          <w:numId w:val="14"/>
        </w:numPr>
        <w:ind w:left="431" w:right="-108"/>
        <w:jc w:val="both"/>
        <w:rPr>
          <w:rFonts w:ascii="Cambria" w:eastAsiaTheme="majorEastAsia" w:hAnsi="Cambria"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xml:space="preserve">, na stronie internetowej </w:t>
      </w:r>
      <w:r w:rsidRPr="0031721A">
        <w:rPr>
          <w:rStyle w:val="Hipercze"/>
          <w:rFonts w:ascii="Cambria" w:hAnsi="Cambria"/>
          <w:color w:val="auto"/>
          <w:u w:val="none"/>
          <w:lang w:eastAsia="x-none"/>
        </w:rPr>
        <w:t xml:space="preserve">Zamawiającego: </w:t>
      </w:r>
      <w:r w:rsidRPr="0031721A">
        <w:rPr>
          <w:rStyle w:val="Hipercze"/>
          <w:rFonts w:ascii="Cambria" w:hAnsi="Cambria"/>
          <w:lang w:eastAsia="x-none"/>
        </w:rPr>
        <w:t>https://platformazakupowa.pl/pn/zdp_leszno</w:t>
      </w:r>
    </w:p>
    <w:p w14:paraId="00F21949" w14:textId="5B2DEEDB"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BE1111">
        <w:rPr>
          <w:rFonts w:ascii="Cambria" w:hAnsi="Cambria"/>
          <w:b/>
        </w:rPr>
        <w:t>01.09</w:t>
      </w:r>
      <w:r w:rsidR="0031721A">
        <w:rPr>
          <w:rFonts w:ascii="Cambria" w:hAnsi="Cambria"/>
          <w:b/>
        </w:rPr>
        <w:t>.2023</w:t>
      </w:r>
      <w:r w:rsidR="00C97B0C" w:rsidRPr="00C97B0C">
        <w:rPr>
          <w:rFonts w:ascii="Cambria" w:hAnsi="Cambria"/>
          <w:b/>
        </w:rPr>
        <w:t xml:space="preserve"> r.</w:t>
      </w:r>
      <w:r w:rsidRPr="00C97B0C">
        <w:rPr>
          <w:rFonts w:ascii="Cambria" w:hAnsi="Cambria"/>
          <w:b/>
        </w:rPr>
        <w:t xml:space="preserve"> o godz. </w:t>
      </w:r>
      <w:r w:rsidR="00C97B0C" w:rsidRPr="00C97B0C">
        <w:rPr>
          <w:rFonts w:ascii="Cambria" w:hAnsi="Cambria"/>
          <w:b/>
        </w:rPr>
        <w:t>1</w:t>
      </w:r>
      <w:r w:rsidR="001C6495">
        <w:rPr>
          <w:rFonts w:ascii="Cambria" w:hAnsi="Cambria"/>
          <w:b/>
        </w:rPr>
        <w:t>0</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836658C"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BE1111">
        <w:rPr>
          <w:rFonts w:ascii="Cambria" w:hAnsi="Cambria"/>
          <w:b/>
          <w:bCs/>
        </w:rPr>
        <w:t>30</w:t>
      </w:r>
      <w:r w:rsidR="008A0189">
        <w:rPr>
          <w:rFonts w:ascii="Cambria" w:hAnsi="Cambria"/>
          <w:b/>
          <w:bCs/>
        </w:rPr>
        <w:t>.09</w:t>
      </w:r>
      <w:r w:rsidR="0031721A">
        <w:rPr>
          <w:rFonts w:ascii="Cambria" w:hAnsi="Cambria"/>
          <w:b/>
          <w:bCs/>
        </w:rPr>
        <w:t>.2023</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6C1B99">
      <w:pPr>
        <w:pStyle w:val="Akapitzlist"/>
        <w:numPr>
          <w:ilvl w:val="0"/>
          <w:numId w:val="61"/>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6C1B99">
      <w:pPr>
        <w:pStyle w:val="Akapitzlist"/>
        <w:numPr>
          <w:ilvl w:val="0"/>
          <w:numId w:val="6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6C1B99">
      <w:pPr>
        <w:pStyle w:val="Akapitzlist"/>
        <w:numPr>
          <w:ilvl w:val="0"/>
          <w:numId w:val="60"/>
        </w:numPr>
        <w:spacing w:after="200" w:line="252" w:lineRule="auto"/>
        <w:ind w:left="284"/>
        <w:contextualSpacing/>
        <w:rPr>
          <w:rFonts w:ascii="Cambria" w:hAnsi="Cambria"/>
          <w:spacing w:val="4"/>
        </w:rPr>
      </w:pPr>
      <w:r w:rsidRPr="00EC208B">
        <w:rPr>
          <w:rFonts w:ascii="Cambria" w:hAnsi="Cambria"/>
          <w:lang w:eastAsia="en-US"/>
        </w:rPr>
        <w:lastRenderedPageBreak/>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65AD08A" w14:textId="1E610C3E" w:rsidR="00E50C16" w:rsidRDefault="00E50C16" w:rsidP="00DB1923">
      <w:pPr>
        <w:ind w:right="-108"/>
        <w:jc w:val="both"/>
        <w:rPr>
          <w:rFonts w:ascii="Cambria" w:hAnsi="Cambria"/>
        </w:rPr>
      </w:pPr>
      <w:r>
        <w:rPr>
          <w:rFonts w:ascii="Cambria" w:hAnsi="Cambria"/>
        </w:rPr>
        <w:lastRenderedPageBreak/>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41DDE512" w14:textId="6AFE9685" w:rsidR="004C0DA4" w:rsidRPr="00DC6022" w:rsidRDefault="00CB7654" w:rsidP="00DC6022">
      <w:pPr>
        <w:numPr>
          <w:ilvl w:val="1"/>
          <w:numId w:val="15"/>
        </w:numPr>
        <w:ind w:left="567" w:right="-108" w:hanging="148"/>
        <w:jc w:val="both"/>
        <w:rPr>
          <w:rFonts w:ascii="Cambria" w:hAnsi="Cambria"/>
        </w:rPr>
      </w:pPr>
      <w:r w:rsidRPr="00773D17">
        <w:rPr>
          <w:rFonts w:ascii="Cambria" w:hAnsi="Cambria"/>
        </w:rPr>
        <w:lastRenderedPageBreak/>
        <w:t>poda wszelkie informacje niezbędne do wypełnienia treści umowy na wezwanie zamawiającego</w:t>
      </w:r>
      <w:r>
        <w:rPr>
          <w:rFonts w:ascii="Cambria" w:hAnsi="Cambria"/>
        </w:rPr>
        <w:t>,</w:t>
      </w:r>
    </w:p>
    <w:p w14:paraId="175452E8" w14:textId="77777777" w:rsidR="004C0DA4" w:rsidRDefault="00CB7654" w:rsidP="006C1B99">
      <w:pPr>
        <w:pStyle w:val="Akapitzlist"/>
        <w:numPr>
          <w:ilvl w:val="0"/>
          <w:numId w:val="62"/>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6C1B99">
      <w:pPr>
        <w:pStyle w:val="Akapitzlist"/>
        <w:numPr>
          <w:ilvl w:val="0"/>
          <w:numId w:val="62"/>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FBAECC1"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zczegółowe</w:t>
      </w:r>
      <w:r w:rsidR="004C0DA4">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pecyfikacje</w:t>
      </w:r>
      <w:r w:rsidR="004C0DA4">
        <w:rPr>
          <w:rFonts w:asciiTheme="majorHAnsi" w:hAnsiTheme="majorHAnsi" w:cs="Arial"/>
          <w:snapToGrid w:val="0"/>
        </w:rPr>
        <w:t xml:space="preserve"> </w:t>
      </w:r>
      <w:r w:rsidR="004C0083">
        <w:rPr>
          <w:rFonts w:asciiTheme="majorHAnsi" w:hAnsiTheme="majorHAnsi" w:cs="Arial"/>
          <w:snapToGrid w:val="0"/>
        </w:rPr>
        <w:t>T</w:t>
      </w:r>
      <w:r w:rsidR="00A25ADD">
        <w:rPr>
          <w:rFonts w:asciiTheme="majorHAnsi" w:hAnsiTheme="majorHAnsi" w:cs="Arial"/>
          <w:snapToGrid w:val="0"/>
        </w:rPr>
        <w:t>echniczne</w:t>
      </w:r>
      <w:r w:rsidR="004C0DA4">
        <w:rPr>
          <w:rFonts w:asciiTheme="majorHAnsi" w:hAnsiTheme="majorHAnsi" w:cs="Arial"/>
          <w:snapToGrid w:val="0"/>
        </w:rPr>
        <w:t xml:space="preserve">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D6DB" w14:textId="77777777" w:rsidR="006058F3" w:rsidRDefault="006058F3" w:rsidP="000F1DCF">
      <w:r>
        <w:separator/>
      </w:r>
    </w:p>
  </w:endnote>
  <w:endnote w:type="continuationSeparator" w:id="0">
    <w:p w14:paraId="789A07A1" w14:textId="77777777" w:rsidR="006058F3" w:rsidRDefault="006058F3" w:rsidP="000F1DCF">
      <w:r>
        <w:continuationSeparator/>
      </w:r>
    </w:p>
  </w:endnote>
  <w:endnote w:type="continuationNotice" w:id="1">
    <w:p w14:paraId="19DAC9EF" w14:textId="77777777" w:rsidR="006058F3" w:rsidRDefault="00605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0B635" w14:textId="77777777" w:rsidR="006058F3" w:rsidRDefault="006058F3" w:rsidP="000F1DCF">
      <w:r>
        <w:separator/>
      </w:r>
    </w:p>
  </w:footnote>
  <w:footnote w:type="continuationSeparator" w:id="0">
    <w:p w14:paraId="04FACD03" w14:textId="77777777" w:rsidR="006058F3" w:rsidRDefault="006058F3" w:rsidP="000F1DCF">
      <w:r>
        <w:continuationSeparator/>
      </w:r>
    </w:p>
  </w:footnote>
  <w:footnote w:type="continuationNotice" w:id="1">
    <w:p w14:paraId="6575AA81" w14:textId="77777777" w:rsidR="006058F3" w:rsidRDefault="006058F3"/>
  </w:footnote>
  <w:footnote w:id="2">
    <w:p w14:paraId="4C2783A3" w14:textId="77777777" w:rsidR="00861856" w:rsidRDefault="00861856"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F2920CE" w:rsidR="00861856" w:rsidRDefault="00861856" w:rsidP="004C1A22">
    <w:pPr>
      <w:pStyle w:val="Nagwek"/>
      <w:jc w:val="both"/>
      <w:rPr>
        <w:rFonts w:asciiTheme="majorHAnsi" w:hAnsiTheme="majorHAnsi"/>
        <w:lang w:val="pl-PL"/>
      </w:rPr>
    </w:pPr>
    <w:r>
      <w:rPr>
        <w:rFonts w:asciiTheme="majorHAnsi" w:hAnsiTheme="majorHAnsi"/>
        <w:lang w:val="pl-PL"/>
      </w:rPr>
      <w:t xml:space="preserve">29/p.n/23- </w:t>
    </w:r>
    <w:r w:rsidRPr="009C7562">
      <w:rPr>
        <w:rFonts w:asciiTheme="majorHAnsi" w:hAnsiTheme="majorHAnsi"/>
        <w:lang w:val="pl-PL"/>
      </w:rPr>
      <w:t>postępowanie o udzielenie zamówienia w trybie podstawowym z możliwością przeprowadzenia negocjacji pod nazwą: „Dostawę betonu asfaltowego:</w:t>
    </w:r>
    <w:r>
      <w:rPr>
        <w:rFonts w:asciiTheme="majorHAnsi" w:hAnsiTheme="majorHAnsi"/>
        <w:lang w:val="pl-PL"/>
      </w:rPr>
      <w:t xml:space="preserve">                 </w:t>
    </w:r>
    <w:r w:rsidRPr="009C7562">
      <w:rPr>
        <w:rFonts w:asciiTheme="majorHAnsi" w:hAnsiTheme="majorHAnsi"/>
        <w:lang w:val="pl-PL"/>
      </w:rPr>
      <w:t>- warstwa ścieralna AC 11S,-  podbudowa AC 16W”</w:t>
    </w:r>
  </w:p>
  <w:p w14:paraId="2EC01A36" w14:textId="77777777" w:rsidR="00861856" w:rsidRPr="009C7562" w:rsidRDefault="00861856"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218" w:hanging="360"/>
      </w:pPr>
      <w:rPr>
        <w:rFonts w:ascii="Arial" w:hAnsi="Arial"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073E4384"/>
    <w:lvl w:ilvl="0" w:tplc="9F82CDE2">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22243F"/>
    <w:multiLevelType w:val="hybridMultilevel"/>
    <w:tmpl w:val="021077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5961"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AA40D3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F118C1"/>
    <w:multiLevelType w:val="hybridMultilevel"/>
    <w:tmpl w:val="9B5A63F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535B1"/>
    <w:multiLevelType w:val="hybridMultilevel"/>
    <w:tmpl w:val="2C02BE5E"/>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78876C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69F1CCF"/>
    <w:multiLevelType w:val="hybridMultilevel"/>
    <w:tmpl w:val="CD1C58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8"/>
  </w:num>
  <w:num w:numId="3">
    <w:abstractNumId w:val="74"/>
  </w:num>
  <w:num w:numId="4">
    <w:abstractNumId w:val="77"/>
  </w:num>
  <w:num w:numId="5">
    <w:abstractNumId w:val="75"/>
  </w:num>
  <w:num w:numId="6">
    <w:abstractNumId w:val="10"/>
  </w:num>
  <w:num w:numId="7">
    <w:abstractNumId w:val="34"/>
  </w:num>
  <w:num w:numId="8">
    <w:abstractNumId w:val="48"/>
  </w:num>
  <w:num w:numId="9">
    <w:abstractNumId w:val="27"/>
  </w:num>
  <w:num w:numId="10">
    <w:abstractNumId w:val="62"/>
  </w:num>
  <w:num w:numId="11">
    <w:abstractNumId w:val="14"/>
  </w:num>
  <w:num w:numId="12">
    <w:abstractNumId w:val="39"/>
  </w:num>
  <w:num w:numId="13">
    <w:abstractNumId w:val="71"/>
  </w:num>
  <w:num w:numId="14">
    <w:abstractNumId w:val="63"/>
  </w:num>
  <w:num w:numId="15">
    <w:abstractNumId w:val="38"/>
  </w:num>
  <w:num w:numId="16">
    <w:abstractNumId w:val="20"/>
  </w:num>
  <w:num w:numId="17">
    <w:abstractNumId w:val="68"/>
  </w:num>
  <w:num w:numId="18">
    <w:abstractNumId w:val="37"/>
  </w:num>
  <w:num w:numId="19">
    <w:abstractNumId w:val="17"/>
  </w:num>
  <w:num w:numId="20">
    <w:abstractNumId w:val="18"/>
  </w:num>
  <w:num w:numId="21">
    <w:abstractNumId w:val="43"/>
  </w:num>
  <w:num w:numId="22">
    <w:abstractNumId w:val="67"/>
  </w:num>
  <w:num w:numId="23">
    <w:abstractNumId w:val="24"/>
  </w:num>
  <w:num w:numId="24">
    <w:abstractNumId w:val="42"/>
  </w:num>
  <w:num w:numId="25">
    <w:abstractNumId w:val="40"/>
  </w:num>
  <w:num w:numId="26">
    <w:abstractNumId w:val="72"/>
  </w:num>
  <w:num w:numId="27">
    <w:abstractNumId w:val="32"/>
  </w:num>
  <w:num w:numId="28">
    <w:abstractNumId w:val="35"/>
  </w:num>
  <w:num w:numId="29">
    <w:abstractNumId w:val="5"/>
  </w:num>
  <w:num w:numId="30">
    <w:abstractNumId w:val="45"/>
  </w:num>
  <w:num w:numId="31">
    <w:abstractNumId w:val="59"/>
  </w:num>
  <w:num w:numId="32">
    <w:abstractNumId w:val="15"/>
  </w:num>
  <w:num w:numId="33">
    <w:abstractNumId w:val="13"/>
  </w:num>
  <w:num w:numId="34">
    <w:abstractNumId w:val="56"/>
  </w:num>
  <w:num w:numId="35">
    <w:abstractNumId w:val="19"/>
  </w:num>
  <w:num w:numId="36">
    <w:abstractNumId w:val="41"/>
  </w:num>
  <w:num w:numId="37">
    <w:abstractNumId w:val="7"/>
  </w:num>
  <w:num w:numId="38">
    <w:abstractNumId w:val="50"/>
  </w:num>
  <w:num w:numId="39">
    <w:abstractNumId w:val="49"/>
  </w:num>
  <w:num w:numId="40">
    <w:abstractNumId w:val="46"/>
  </w:num>
  <w:num w:numId="41">
    <w:abstractNumId w:val="52"/>
  </w:num>
  <w:num w:numId="42">
    <w:abstractNumId w:val="78"/>
  </w:num>
  <w:num w:numId="43">
    <w:abstractNumId w:val="64"/>
  </w:num>
  <w:num w:numId="44">
    <w:abstractNumId w:val="28"/>
  </w:num>
  <w:num w:numId="45">
    <w:abstractNumId w:val="73"/>
  </w:num>
  <w:num w:numId="46">
    <w:abstractNumId w:val="61"/>
  </w:num>
  <w:num w:numId="47">
    <w:abstractNumId w:val="30"/>
  </w:num>
  <w:num w:numId="48">
    <w:abstractNumId w:val="6"/>
  </w:num>
  <w:num w:numId="49">
    <w:abstractNumId w:val="23"/>
  </w:num>
  <w:num w:numId="50">
    <w:abstractNumId w:val="36"/>
  </w:num>
  <w:num w:numId="51">
    <w:abstractNumId w:val="53"/>
  </w:num>
  <w:num w:numId="52">
    <w:abstractNumId w:val="47"/>
  </w:num>
  <w:num w:numId="53">
    <w:abstractNumId w:val="66"/>
  </w:num>
  <w:num w:numId="54">
    <w:abstractNumId w:val="9"/>
  </w:num>
  <w:num w:numId="55">
    <w:abstractNumId w:val="1"/>
  </w:num>
  <w:num w:numId="56">
    <w:abstractNumId w:val="21"/>
  </w:num>
  <w:num w:numId="57">
    <w:abstractNumId w:val="2"/>
  </w:num>
  <w:num w:numId="58">
    <w:abstractNumId w:val="3"/>
  </w:num>
  <w:num w:numId="59">
    <w:abstractNumId w:val="26"/>
  </w:num>
  <w:num w:numId="60">
    <w:abstractNumId w:val="57"/>
  </w:num>
  <w:num w:numId="61">
    <w:abstractNumId w:val="4"/>
  </w:num>
  <w:num w:numId="62">
    <w:abstractNumId w:val="76"/>
  </w:num>
  <w:num w:numId="63">
    <w:abstractNumId w:val="8"/>
  </w:num>
  <w:num w:numId="64">
    <w:abstractNumId w:val="29"/>
  </w:num>
  <w:num w:numId="65">
    <w:abstractNumId w:val="65"/>
  </w:num>
  <w:num w:numId="66">
    <w:abstractNumId w:val="69"/>
  </w:num>
  <w:num w:numId="67">
    <w:abstractNumId w:val="60"/>
  </w:num>
  <w:num w:numId="68">
    <w:abstractNumId w:val="31"/>
  </w:num>
  <w:num w:numId="69">
    <w:abstractNumId w:val="25"/>
  </w:num>
  <w:num w:numId="70">
    <w:abstractNumId w:val="16"/>
  </w:num>
  <w:num w:numId="71">
    <w:abstractNumId w:val="54"/>
  </w:num>
  <w:num w:numId="72">
    <w:abstractNumId w:val="12"/>
  </w:num>
  <w:num w:numId="73">
    <w:abstractNumId w:val="0"/>
  </w:num>
  <w:num w:numId="74">
    <w:abstractNumId w:val="22"/>
  </w:num>
  <w:num w:numId="75">
    <w:abstractNumId w:val="70"/>
  </w:num>
  <w:num w:numId="76">
    <w:abstractNumId w:val="55"/>
  </w:num>
  <w:num w:numId="77">
    <w:abstractNumId w:val="11"/>
  </w:num>
  <w:num w:numId="78">
    <w:abstractNumId w:val="44"/>
  </w:num>
  <w:num w:numId="79">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629"/>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2C46"/>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495"/>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08EE"/>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164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21A"/>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0D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7F1"/>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1BE"/>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6983"/>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8F3"/>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27D8"/>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1B99"/>
    <w:rsid w:val="006C24DA"/>
    <w:rsid w:val="006C328D"/>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2764"/>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1856"/>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189"/>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5EE9"/>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562"/>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5ADD"/>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06F4"/>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3E"/>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76902"/>
    <w:rsid w:val="00B80C29"/>
    <w:rsid w:val="00B815C8"/>
    <w:rsid w:val="00B81E09"/>
    <w:rsid w:val="00B82088"/>
    <w:rsid w:val="00B822E8"/>
    <w:rsid w:val="00B8273D"/>
    <w:rsid w:val="00B839A6"/>
    <w:rsid w:val="00B84FFF"/>
    <w:rsid w:val="00B876AF"/>
    <w:rsid w:val="00B91119"/>
    <w:rsid w:val="00B9155B"/>
    <w:rsid w:val="00B9200D"/>
    <w:rsid w:val="00B92F13"/>
    <w:rsid w:val="00B940EF"/>
    <w:rsid w:val="00B9474A"/>
    <w:rsid w:val="00B9655D"/>
    <w:rsid w:val="00B96B78"/>
    <w:rsid w:val="00BA2247"/>
    <w:rsid w:val="00BA303B"/>
    <w:rsid w:val="00BA4FBC"/>
    <w:rsid w:val="00BA6D52"/>
    <w:rsid w:val="00BA762E"/>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7C12"/>
    <w:rsid w:val="00BD0627"/>
    <w:rsid w:val="00BD089B"/>
    <w:rsid w:val="00BD0AAA"/>
    <w:rsid w:val="00BD16C3"/>
    <w:rsid w:val="00BD1F23"/>
    <w:rsid w:val="00BD58B8"/>
    <w:rsid w:val="00BD5A6F"/>
    <w:rsid w:val="00BD675C"/>
    <w:rsid w:val="00BD6D61"/>
    <w:rsid w:val="00BE0602"/>
    <w:rsid w:val="00BE1111"/>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257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8F6"/>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679"/>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294F"/>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022"/>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07D7"/>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063"/>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7F1"/>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0987016">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C4B0-A61B-4713-A61C-10ECC164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11808</Words>
  <Characters>70850</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82494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cp:revision>
  <cp:lastPrinted>2021-01-22T12:27:00Z</cp:lastPrinted>
  <dcterms:created xsi:type="dcterms:W3CDTF">2023-08-25T13:13:00Z</dcterms:created>
  <dcterms:modified xsi:type="dcterms:W3CDTF">2023-08-25T13:13:00Z</dcterms:modified>
</cp:coreProperties>
</file>