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E81E" w14:textId="77777777" w:rsidR="00E74DDD" w:rsidRDefault="00E74DDD" w:rsidP="00F575E0">
      <w:pPr>
        <w:pStyle w:val="Tekstpodstawowy"/>
        <w:ind w:left="208" w:right="-26"/>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5649F9">
      <w:pPr>
        <w:pStyle w:val="Tekstpodstawowy"/>
        <w:ind w:left="0" w:right="892"/>
        <w:jc w:val="center"/>
      </w:pPr>
      <w:r>
        <w:t>Zamawiający:</w:t>
      </w:r>
    </w:p>
    <w:p w14:paraId="6BD9E274" w14:textId="77777777" w:rsidR="00E74DDD" w:rsidRDefault="00E74DDD" w:rsidP="005649F9">
      <w:pPr>
        <w:pStyle w:val="Tekstpodstawowy"/>
        <w:ind w:left="0" w:right="892"/>
        <w:jc w:val="left"/>
      </w:pPr>
    </w:p>
    <w:p w14:paraId="20D16412" w14:textId="77777777" w:rsidR="00C44709" w:rsidRDefault="00C44709" w:rsidP="005649F9">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5649F9">
      <w:pPr>
        <w:pStyle w:val="Tekstpodstawowy"/>
        <w:ind w:left="0" w:right="892"/>
        <w:jc w:val="center"/>
        <w:rPr>
          <w:bCs/>
        </w:rPr>
      </w:pPr>
      <w:r w:rsidRPr="00C44709">
        <w:rPr>
          <w:bCs/>
        </w:rPr>
        <w:t>w imieniu którego działa</w:t>
      </w:r>
    </w:p>
    <w:p w14:paraId="2FA90144" w14:textId="77777777" w:rsidR="00E74DDD" w:rsidRDefault="00C44709" w:rsidP="005649F9">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0992A8DC" w14:textId="0FB326FE" w:rsidR="00995F00" w:rsidRDefault="00927F49" w:rsidP="00927F49">
      <w:pPr>
        <w:pStyle w:val="Tekstpodstawowy"/>
        <w:ind w:left="0" w:right="892"/>
        <w:rPr>
          <w:b/>
          <w:szCs w:val="20"/>
        </w:rPr>
      </w:pPr>
      <w:bookmarkStart w:id="0" w:name="_Hlk164153924"/>
      <w:r w:rsidRPr="00927F49">
        <w:rPr>
          <w:b/>
          <w:szCs w:val="20"/>
        </w:rPr>
        <w:t xml:space="preserve">Przebudowa drogi powiatowej nr 1323 R Frysztak – Gogołów - Klecie </w:t>
      </w:r>
      <w:r>
        <w:rPr>
          <w:b/>
          <w:szCs w:val="20"/>
        </w:rPr>
        <w:br/>
      </w:r>
      <w:r w:rsidRPr="00927F49">
        <w:rPr>
          <w:b/>
          <w:szCs w:val="20"/>
        </w:rPr>
        <w:t>w m. Frysztak w km 0+000 – 0+900 wraz z poprawą warunków bezpieczeństwa pieszych.</w:t>
      </w:r>
    </w:p>
    <w:p w14:paraId="51CC8288" w14:textId="77777777" w:rsidR="00927F49" w:rsidRDefault="00927F49" w:rsidP="00927F49">
      <w:pPr>
        <w:pStyle w:val="Tekstpodstawowy"/>
        <w:ind w:left="0" w:right="892"/>
        <w:rPr>
          <w:b/>
          <w:szCs w:val="20"/>
        </w:rPr>
      </w:pPr>
    </w:p>
    <w:p w14:paraId="195E63A1" w14:textId="77777777" w:rsidR="00927F49" w:rsidRPr="00927F49" w:rsidRDefault="00927F49" w:rsidP="00927F49">
      <w:pPr>
        <w:pStyle w:val="Tekstpodstawowy"/>
        <w:ind w:left="0" w:right="892"/>
        <w:rPr>
          <w:b/>
          <w:szCs w:val="20"/>
        </w:rPr>
      </w:pPr>
    </w:p>
    <w:bookmarkEnd w:id="0"/>
    <w:p w14:paraId="5A64BF9C" w14:textId="43377227" w:rsidR="00E74DDD" w:rsidRDefault="00872B95" w:rsidP="00927F49">
      <w:pPr>
        <w:spacing w:before="220"/>
        <w:ind w:left="234" w:right="892"/>
        <w:jc w:val="both"/>
        <w:rPr>
          <w:b/>
          <w:sz w:val="24"/>
        </w:rPr>
      </w:pPr>
      <w:r>
        <w:rPr>
          <w:sz w:val="24"/>
        </w:rPr>
        <w:t xml:space="preserve">Nr referencyjny nadany w sprawie przez Zamawiającego: </w:t>
      </w:r>
      <w:r w:rsidR="00C44709">
        <w:rPr>
          <w:b/>
          <w:sz w:val="24"/>
        </w:rPr>
        <w:t>PZD.261.</w:t>
      </w:r>
      <w:r w:rsidR="00927F49">
        <w:rPr>
          <w:b/>
          <w:sz w:val="24"/>
        </w:rPr>
        <w:t>10</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C5669F">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1" w:name="_Hlk129259085"/>
      <w:r w:rsidRPr="006754BF">
        <w:rPr>
          <w:b/>
          <w:bCs/>
        </w:rPr>
        <w:t>https://platformazakupowa.pl/pn/pzd_strzyzowski</w:t>
      </w:r>
    </w:p>
    <w:bookmarkEnd w:id="1"/>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679E9F6A" w14:textId="6CF25B0C" w:rsidR="00D53A56" w:rsidRPr="00D53A56" w:rsidRDefault="002B72F4" w:rsidP="00D53A56">
      <w:pPr>
        <w:ind w:left="142"/>
        <w:jc w:val="both"/>
        <w:rPr>
          <w:rFonts w:eastAsia="Arial"/>
        </w:rPr>
      </w:pPr>
      <w:bookmarkStart w:id="2" w:name="_Hlk167087640"/>
      <w:r>
        <w:rPr>
          <w:rFonts w:eastAsia="Arial"/>
        </w:rPr>
        <w:t>1.</w:t>
      </w:r>
      <w:bookmarkStart w:id="3" w:name="_Hlk159397845"/>
      <w:r w:rsidR="00CE61D7" w:rsidRPr="00995F00">
        <w:rPr>
          <w:rFonts w:eastAsia="Arial"/>
        </w:rPr>
        <w:t xml:space="preserve">Przedmiotem zamówienia </w:t>
      </w:r>
      <w:bookmarkStart w:id="4" w:name="_Hlk158722353"/>
      <w:bookmarkStart w:id="5" w:name="_Hlk115243267"/>
      <w:r w:rsidR="002E04A1">
        <w:rPr>
          <w:rFonts w:eastAsia="Arial"/>
        </w:rPr>
        <w:t>jest „</w:t>
      </w:r>
      <w:r w:rsidR="002E04A1" w:rsidRPr="002E04A1">
        <w:rPr>
          <w:rFonts w:eastAsia="Arial"/>
        </w:rPr>
        <w:t xml:space="preserve">Przebudowa drogi  powiatowej </w:t>
      </w:r>
      <w:r w:rsidR="00D53A56" w:rsidRPr="00D53A56">
        <w:rPr>
          <w:rFonts w:eastAsia="Arial"/>
        </w:rPr>
        <w:t>nr 1323 R Frysztak – Gogołów - Klecie</w:t>
      </w:r>
    </w:p>
    <w:p w14:paraId="3DF3AE59" w14:textId="3E458131" w:rsidR="00E472CB" w:rsidRPr="00211AB3" w:rsidRDefault="00D53A56" w:rsidP="00D53A56">
      <w:pPr>
        <w:ind w:left="142"/>
        <w:jc w:val="both"/>
        <w:rPr>
          <w:rFonts w:eastAsia="Arial"/>
        </w:rPr>
      </w:pPr>
      <w:r w:rsidRPr="00D53A56">
        <w:rPr>
          <w:rFonts w:eastAsia="Arial"/>
        </w:rPr>
        <w:t xml:space="preserve"> w m. Frysztak w km 0+000 – 0+900 wraz z poprawą warunków bezpieczeństwa pieszych</w:t>
      </w:r>
      <w:r>
        <w:rPr>
          <w:rFonts w:eastAsia="Arial"/>
        </w:rPr>
        <w:t>”</w:t>
      </w:r>
      <w:r w:rsidRPr="00D53A56">
        <w:rPr>
          <w:rFonts w:eastAsia="Arial"/>
        </w:rPr>
        <w:t>.</w:t>
      </w:r>
      <w:r>
        <w:rPr>
          <w:rFonts w:eastAsia="Arial"/>
        </w:rPr>
        <w:t xml:space="preserve"> </w:t>
      </w:r>
    </w:p>
    <w:p w14:paraId="487463A0" w14:textId="72994113" w:rsidR="002B72F4" w:rsidRDefault="00E472CB" w:rsidP="002224B8">
      <w:pPr>
        <w:pStyle w:val="Akapitzlist"/>
        <w:spacing w:line="276" w:lineRule="auto"/>
        <w:ind w:left="142" w:right="-26" w:hanging="142"/>
      </w:pPr>
      <w:r>
        <w:rPr>
          <w:rFonts w:eastAsia="Arial"/>
        </w:rPr>
        <w:t xml:space="preserve"> </w:t>
      </w:r>
      <w:r w:rsidR="00934510">
        <w:rPr>
          <w:rFonts w:eastAsia="Arial"/>
        </w:rPr>
        <w:t xml:space="preserve"> </w:t>
      </w:r>
      <w:r>
        <w:rPr>
          <w:rFonts w:eastAsia="Arial"/>
        </w:rPr>
        <w:t xml:space="preserve"> Zakres prac powyższego przedsięwzięcia obejmuje: </w:t>
      </w:r>
      <w:r w:rsidR="00182B8D" w:rsidRPr="00452BEE">
        <w:t>roboty przygotowawcze, roboty ziemne</w:t>
      </w:r>
      <w:r w:rsidR="00930AF3">
        <w:t>,</w:t>
      </w:r>
      <w:r w:rsidR="00D53A56">
        <w:t xml:space="preserve"> roboty rozbiórkowe zdeformowanego chodnika</w:t>
      </w:r>
      <w:r w:rsidR="00211AB3">
        <w:t>,</w:t>
      </w:r>
      <w:r w:rsidR="00182B8D" w:rsidRPr="00452BEE">
        <w:t xml:space="preserve"> frezowanie istniejącej nawierzchni,</w:t>
      </w:r>
      <w:r w:rsidR="00D53A56">
        <w:t xml:space="preserve"> wykonanie nowego chodnika z elementami odwodnienia, </w:t>
      </w:r>
      <w:r w:rsidR="00182B8D" w:rsidRPr="00452BEE">
        <w:t>wykonanie warstwy wiążącej i ścieraln</w:t>
      </w:r>
      <w:r w:rsidR="00182B8D">
        <w:t>ej z MMA, roboty wykończeniowe</w:t>
      </w:r>
      <w:r w:rsidR="00182B8D" w:rsidRPr="00452BEE">
        <w:t>.</w:t>
      </w:r>
      <w:r w:rsidR="002B72F4" w:rsidRPr="002B72F4">
        <w:t xml:space="preserve"> Szczegółowy zakres robót określa przedmiar robót, wzór kosztorysu ofertowego oraz STWiORB, które stanowią załączniki do SWZ.</w:t>
      </w:r>
      <w:r w:rsidR="002B72F4">
        <w:t xml:space="preserve"> </w:t>
      </w:r>
    </w:p>
    <w:bookmarkEnd w:id="2"/>
    <w:bookmarkEnd w:id="4"/>
    <w:p w14:paraId="1A213124" w14:textId="3E9152FC" w:rsidR="00934510" w:rsidRDefault="00E14EFB" w:rsidP="002E04A1">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3"/>
    <w:bookmarkEnd w:id="5"/>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6" w:name="page3"/>
      <w:bookmarkEnd w:id="6"/>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lastRenderedPageBreak/>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lastRenderedPageBreak/>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10. Realizacja przedsięwzięcia odbyć się będzie na podstawie dokumentów formalno – prawnych tj. zgłoszenia budowy lub wykonanie innych robót budowlanych. Których kserokopię Zamawiający przekaże Wykonawcy w dniu przekazania placu budowy.</w:t>
      </w:r>
    </w:p>
    <w:p w14:paraId="543CFF56" w14:textId="35A1E766" w:rsidR="002E04A1" w:rsidRPr="00843443" w:rsidRDefault="007416E1" w:rsidP="00EB6A45">
      <w:pPr>
        <w:widowControl/>
        <w:autoSpaceDE/>
        <w:autoSpaceDN/>
        <w:spacing w:line="276" w:lineRule="auto"/>
        <w:ind w:left="284" w:right="-26" w:hanging="284"/>
        <w:contextualSpacing/>
        <w:jc w:val="both"/>
      </w:pPr>
      <w:bookmarkStart w:id="7"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7"/>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73318AC3"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211AB3">
        <w:rPr>
          <w:b/>
        </w:rPr>
        <w:t>4</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lastRenderedPageBreak/>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a) stały dostęp do sieci Internet o gwarantowanej przepustowości nie mniejszej niż 512 kb/s;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e) zainstalowany program Adobe Acrobat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 xml:space="preserve">oraz dokładny czas (hh:mm:ss)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lastRenderedPageBreak/>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35F38594"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211AB3">
        <w:t>7</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lastRenderedPageBreak/>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8"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8"/>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 xml:space="preserve">ponadto Wykonawcę na podstawie przesłanek </w:t>
      </w:r>
      <w:r>
        <w:lastRenderedPageBreak/>
        <w:t>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lastRenderedPageBreak/>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5E350EAE" w:rsidR="00ED1CF4" w:rsidRPr="00C63D3A" w:rsidRDefault="00ED1CF4" w:rsidP="00ED1CF4">
      <w:pPr>
        <w:pStyle w:val="Akapitzlist"/>
        <w:ind w:left="851" w:right="-26" w:hanging="284"/>
        <w:jc w:val="left"/>
      </w:pPr>
      <w:r>
        <w:t xml:space="preserve">c)  </w:t>
      </w:r>
      <w:r w:rsidR="00211AB3">
        <w:rPr>
          <w:b/>
          <w:bCs/>
        </w:rPr>
        <w:t>zaświadczenie</w:t>
      </w:r>
      <w:r w:rsidR="00B4030A">
        <w:t xml:space="preserve"> </w:t>
      </w:r>
      <w:r>
        <w:t>w zakresie art. 109 ust</w:t>
      </w:r>
      <w:r w:rsidR="00211AB3">
        <w:t>.</w:t>
      </w:r>
      <w:r>
        <w:t xml:space="preserve">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w:t>
      </w:r>
      <w:r w:rsidR="009A407D" w:rsidRPr="00E47B99">
        <w:rPr>
          <w:rFonts w:ascii="Times New Roman" w:hAnsi="Times New Roman" w:cs="Times New Roman"/>
          <w:sz w:val="22"/>
          <w:szCs w:val="22"/>
        </w:rPr>
        <w:lastRenderedPageBreak/>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A912FF">
      <w:pPr>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F575E0">
      <w:pPr>
        <w:pStyle w:val="Tekstpodstawowy"/>
        <w:ind w:left="284" w:right="-26" w:hanging="284"/>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lastRenderedPageBreak/>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0CC8F74B"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D53A56">
        <w:rPr>
          <w:b/>
          <w:bCs/>
        </w:rPr>
        <w:t>05</w:t>
      </w:r>
      <w:r w:rsidR="00C85BD4" w:rsidRPr="00CB0A0E">
        <w:rPr>
          <w:b/>
          <w:bCs/>
        </w:rPr>
        <w:t>.</w:t>
      </w:r>
      <w:r w:rsidR="00A14A28" w:rsidRPr="00CB0A0E">
        <w:rPr>
          <w:b/>
          <w:bCs/>
        </w:rPr>
        <w:t>0</w:t>
      </w:r>
      <w:r w:rsidR="00D53A56">
        <w:rPr>
          <w:b/>
          <w:bCs/>
        </w:rPr>
        <w:t>7</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lastRenderedPageBreak/>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6BEA639" w14:textId="77777777" w:rsidR="00D711D4" w:rsidRDefault="00D711D4" w:rsidP="00D711D4">
      <w:pPr>
        <w:widowControl/>
        <w:autoSpaceDE/>
        <w:autoSpaceDN/>
        <w:spacing w:after="35" w:line="228" w:lineRule="auto"/>
        <w:ind w:left="284" w:right="-26" w:hanging="284"/>
      </w:pPr>
      <w:r>
        <w:t>16.W przypadku wykorzystania formatu podpisu XAdES zewnętrzny, Zamawiający wymaga dołączenia     odpowiedniej ilości plików, tj. podpisywanych plików z danymi oraz plików podpisu w formacie XAdES.</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 xml:space="preserve">Zgodnie z definicją dokumentu elektronicznego zawartą w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w:t>
      </w:r>
      <w:r>
        <w:lastRenderedPageBreak/>
        <w:t>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.doc, .xls, .jpg (.jpeg)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.rar, .gif, .bmp, .numbers, .pages.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Zamawiający zwraca uwagę na ograniczenie wielkości plików podpisywanych profilem zaufanym, które wynosi maksymalnie 10 MB, oraz na ograniczenie wielkości plików podpisywanych w aplikacji eDoApp,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Ze względu na niskie ryzyko naruszenia integralności pliku oraz łatwiejszą weryfikację podpisu, Zamawiający zaleca przekonwertowanie plików składających się na ofertę na format .pdf i opatrzenie ich podpisem kwalifikowanym PAdES.</w:t>
      </w:r>
    </w:p>
    <w:p w14:paraId="54AFA651" w14:textId="77777777" w:rsidR="00D711D4" w:rsidRDefault="00D711D4">
      <w:pPr>
        <w:pStyle w:val="Akapitzlist"/>
        <w:widowControl/>
        <w:numPr>
          <w:ilvl w:val="0"/>
          <w:numId w:val="60"/>
        </w:numPr>
        <w:autoSpaceDE/>
        <w:autoSpaceDN/>
        <w:spacing w:after="35" w:line="228" w:lineRule="auto"/>
        <w:ind w:right="-26"/>
      </w:pPr>
      <w:r>
        <w:t>Pliki w innych formatach niż .pdf Zamawiający zaleca opatrzyć zewnętrznym podpisem XAdES.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lastRenderedPageBreak/>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157CBA66" w:rsidR="00D711D4" w:rsidRPr="00CB0A0E" w:rsidRDefault="00D711D4">
      <w:pPr>
        <w:pStyle w:val="Akapitzlist"/>
        <w:numPr>
          <w:ilvl w:val="0"/>
          <w:numId w:val="21"/>
        </w:numPr>
        <w:ind w:left="284" w:right="-26" w:hanging="284"/>
      </w:pPr>
      <w:r w:rsidRPr="006076E8">
        <w:t xml:space="preserve">Ofertę należy złożyć w terminie do dnia </w:t>
      </w:r>
      <w:r w:rsidR="00D53A56">
        <w:t>07</w:t>
      </w:r>
      <w:r w:rsidRPr="00CB0A0E">
        <w:t>.0</w:t>
      </w:r>
      <w:r w:rsidR="00D53A56">
        <w:t>6</w:t>
      </w:r>
      <w:r w:rsidRPr="00CB0A0E">
        <w:t>.2024 r. godz. 09:00.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5F653782"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D53A56">
        <w:t>07</w:t>
      </w:r>
      <w:r w:rsidRPr="00CB0A0E">
        <w:t>.0</w:t>
      </w:r>
      <w:r w:rsidR="00D53A56">
        <w:t>6</w:t>
      </w:r>
      <w:r w:rsidRPr="00CB0A0E">
        <w:t>.2024 r. do godziny 09:00.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324684F9"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0E711D">
        <w:t>07</w:t>
      </w:r>
      <w:r w:rsidRPr="00CB0A0E">
        <w:t>.0</w:t>
      </w:r>
      <w:r w:rsidR="000E711D">
        <w:t>6</w:t>
      </w:r>
      <w:r w:rsidRPr="00CB0A0E">
        <w:t>.202</w:t>
      </w:r>
      <w:r w:rsidR="000E711D">
        <w:t>4</w:t>
      </w:r>
      <w:r w:rsidRPr="00CB0A0E">
        <w:t xml:space="preserve"> r., o godz. 09:30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Zamawiający, najpóźniej przed otwarciem ofert, udostępni na stronie internetowej prowadzonego 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 xml:space="preserve">Niezwłocznie po otwarciu ofert Zamawiający udostępni na stronie internetowej prowadzonego postępowania informacje o: nazwach albo imionach i nazwiskach oraz siedzibach lub miejscach </w:t>
      </w:r>
      <w:r>
        <w:lastRenderedPageBreak/>
        <w:t>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727C571E"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9" w:name="_Hlk69199093"/>
      <w:r w:rsidRPr="00356A3A">
        <w:rPr>
          <w:rFonts w:eastAsia="Arial"/>
          <w:b w:val="0"/>
          <w:sz w:val="22"/>
          <w:szCs w:val="18"/>
        </w:rPr>
        <w:t xml:space="preserve">Zamawiający określa kwotę wadium w wysokości: </w:t>
      </w:r>
      <w:r w:rsidR="000E711D">
        <w:rPr>
          <w:rFonts w:eastAsia="Arial"/>
          <w:b w:val="0"/>
          <w:sz w:val="22"/>
          <w:szCs w:val="18"/>
        </w:rPr>
        <w:t>23</w:t>
      </w:r>
      <w:r>
        <w:rPr>
          <w:rFonts w:eastAsia="Arial"/>
          <w:b w:val="0"/>
          <w:sz w:val="22"/>
          <w:szCs w:val="18"/>
        </w:rPr>
        <w:t> 000</w:t>
      </w:r>
      <w:r w:rsidRPr="00356A3A">
        <w:rPr>
          <w:rFonts w:eastAsia="Arial"/>
          <w:b w:val="0"/>
          <w:sz w:val="22"/>
          <w:szCs w:val="18"/>
        </w:rPr>
        <w:t xml:space="preserve">,00 zł ( słownie: </w:t>
      </w:r>
      <w:r w:rsidR="000E711D">
        <w:rPr>
          <w:rFonts w:eastAsia="Arial"/>
          <w:b w:val="0"/>
          <w:sz w:val="22"/>
          <w:szCs w:val="18"/>
        </w:rPr>
        <w:t>dwadzieścia trzy</w:t>
      </w:r>
      <w:r w:rsidR="00211AB3">
        <w:rPr>
          <w:rFonts w:eastAsia="Arial"/>
          <w:b w:val="0"/>
          <w:sz w:val="22"/>
          <w:szCs w:val="18"/>
        </w:rPr>
        <w:t xml:space="preserve"> tysi</w:t>
      </w:r>
      <w:r w:rsidR="000E711D">
        <w:rPr>
          <w:rFonts w:eastAsia="Arial"/>
          <w:b w:val="0"/>
          <w:sz w:val="22"/>
          <w:szCs w:val="18"/>
        </w:rPr>
        <w:t>ące</w:t>
      </w:r>
      <w:r>
        <w:rPr>
          <w:rFonts w:eastAsia="Arial"/>
          <w:b w:val="0"/>
          <w:sz w:val="22"/>
          <w:szCs w:val="18"/>
        </w:rPr>
        <w:t xml:space="preserve"> </w:t>
      </w:r>
      <w:r w:rsidRPr="00356A3A">
        <w:rPr>
          <w:rFonts w:eastAsia="Arial"/>
          <w:b w:val="0"/>
          <w:sz w:val="22"/>
          <w:szCs w:val="18"/>
        </w:rPr>
        <w:t>złotych</w:t>
      </w:r>
      <w:r w:rsidR="00211AB3">
        <w:rPr>
          <w:rFonts w:eastAsia="Arial"/>
          <w:b w:val="0"/>
          <w:sz w:val="22"/>
          <w:szCs w:val="18"/>
        </w:rPr>
        <w:t xml:space="preserve"> 00/100</w:t>
      </w:r>
      <w:r w:rsidRPr="00356A3A">
        <w:rPr>
          <w:rFonts w:eastAsia="Arial"/>
          <w:b w:val="0"/>
          <w:sz w:val="22"/>
          <w:szCs w:val="18"/>
        </w:rPr>
        <w:t>)</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118A7867" w:rsidR="00D711D4" w:rsidRPr="002224B8" w:rsidRDefault="002224B8" w:rsidP="002224B8">
      <w:pPr>
        <w:widowControl/>
        <w:autoSpaceDE/>
        <w:autoSpaceDN/>
        <w:spacing w:line="280" w:lineRule="auto"/>
        <w:ind w:right="-26"/>
        <w:rPr>
          <w:rFonts w:eastAsia="Arial"/>
          <w:szCs w:val="18"/>
        </w:rPr>
      </w:pPr>
      <w:r>
        <w:rPr>
          <w:rFonts w:eastAsia="Arial"/>
          <w:szCs w:val="18"/>
        </w:rPr>
        <w:t xml:space="preserve">3. </w:t>
      </w:r>
      <w:r w:rsidR="00D711D4" w:rsidRPr="002224B8">
        <w:rPr>
          <w:rFonts w:eastAsia="Arial"/>
          <w:szCs w:val="18"/>
        </w:rPr>
        <w:t xml:space="preserve">Wadium wnoszone w pieniądzu wpłaca się przelewem na rachunek bankowy oprocentowany wskazany przez Zamawiającego: </w:t>
      </w:r>
      <w:r w:rsidR="00D711D4" w:rsidRPr="002224B8">
        <w:rPr>
          <w:b/>
        </w:rPr>
        <w:t xml:space="preserve">PKO BP S.A. nr 79 1020 4391 0000 6202 0232 3426. </w:t>
      </w:r>
      <w:r w:rsidR="00D711D4" w:rsidRPr="006148FC">
        <w:t xml:space="preserve">Zamawiający nie dopuszcza złożenia wadium w walucie innej niż złoty polski. </w:t>
      </w:r>
    </w:p>
    <w:p w14:paraId="21B4E72B" w14:textId="604F5D31" w:rsidR="00D711D4" w:rsidRPr="002224B8" w:rsidRDefault="002224B8" w:rsidP="002224B8">
      <w:pPr>
        <w:widowControl/>
        <w:autoSpaceDE/>
        <w:autoSpaceDN/>
        <w:spacing w:line="276" w:lineRule="auto"/>
        <w:ind w:right="-26"/>
        <w:rPr>
          <w:rFonts w:eastAsia="Arial"/>
          <w:b/>
          <w:szCs w:val="18"/>
        </w:rPr>
      </w:pPr>
      <w:r>
        <w:rPr>
          <w:rFonts w:eastAsia="Arial"/>
          <w:bCs/>
          <w:szCs w:val="18"/>
        </w:rPr>
        <w:t>4.</w:t>
      </w:r>
      <w:r w:rsidR="00D711D4" w:rsidRPr="002224B8">
        <w:rPr>
          <w:rFonts w:eastAsia="Arial"/>
          <w:bCs/>
          <w:szCs w:val="18"/>
        </w:rPr>
        <w:t>Wadium należy wnieść przed upływem terminu składania ofert,</w:t>
      </w:r>
      <w:r w:rsidR="00D711D4" w:rsidRPr="002224B8">
        <w:rPr>
          <w:rFonts w:eastAsia="Arial"/>
          <w:b/>
          <w:szCs w:val="18"/>
        </w:rPr>
        <w:t xml:space="preserve"> </w:t>
      </w:r>
      <w:r w:rsidR="00D711D4" w:rsidRPr="002224B8">
        <w:rPr>
          <w:rFonts w:eastAsia="Arial"/>
          <w:szCs w:val="18"/>
        </w:rPr>
        <w:t xml:space="preserve">przy czym wniesienie wadium </w:t>
      </w:r>
      <w:r w:rsidR="00D711D4" w:rsidRPr="002224B8">
        <w:rPr>
          <w:rFonts w:eastAsia="Arial"/>
          <w:szCs w:val="18"/>
        </w:rPr>
        <w:br/>
        <w:t>w pieniądzu za pomocą przelewu bankowego Zamawiający będzie uważał za skuteczne, w przypadku uznania rachunku zamawiającego (wpływ na konto Zamawiającego).</w:t>
      </w:r>
    </w:p>
    <w:p w14:paraId="34150F6C" w14:textId="5CA79D09" w:rsidR="00D711D4" w:rsidRPr="002224B8" w:rsidRDefault="002224B8" w:rsidP="002224B8">
      <w:pPr>
        <w:widowControl/>
        <w:autoSpaceDE/>
        <w:autoSpaceDN/>
        <w:spacing w:line="276" w:lineRule="auto"/>
        <w:ind w:right="-26"/>
        <w:rPr>
          <w:rFonts w:eastAsia="Arial"/>
          <w:b/>
          <w:szCs w:val="18"/>
        </w:rPr>
      </w:pPr>
      <w:r>
        <w:rPr>
          <w:rFonts w:eastAsia="Arial"/>
          <w:szCs w:val="18"/>
        </w:rPr>
        <w:t>5.</w:t>
      </w:r>
      <w:r w:rsidR="00D711D4" w:rsidRPr="002224B8">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00D711D4" w:rsidRPr="00F253FA">
        <w:t xml:space="preserve"> </w:t>
      </w:r>
      <w:r w:rsidR="00D711D4" w:rsidRPr="002224B8">
        <w:rPr>
          <w:rFonts w:eastAsia="Arial"/>
          <w:szCs w:val="18"/>
        </w:rPr>
        <w:t xml:space="preserve">Zamawiający uzna wadium w formie gwarancji bankowej lub ubezpieczeniowej w postaci dokumentu opatrzonego kwalifikowanym podpisem elektronicznym Gwaranta lub podpisem zaufanym załączonego do składanej oferty. </w:t>
      </w:r>
      <w:bookmarkEnd w:id="9"/>
    </w:p>
    <w:p w14:paraId="26FD81EB" w14:textId="30F62A2B" w:rsidR="00D711D4" w:rsidRPr="002224B8" w:rsidRDefault="002224B8" w:rsidP="002224B8">
      <w:pPr>
        <w:widowControl/>
        <w:autoSpaceDE/>
        <w:autoSpaceDN/>
        <w:spacing w:line="276" w:lineRule="auto"/>
        <w:ind w:right="-26"/>
        <w:rPr>
          <w:rFonts w:eastAsia="Arial"/>
          <w:b/>
          <w:szCs w:val="18"/>
        </w:rPr>
      </w:pPr>
      <w:r>
        <w:t>6.</w:t>
      </w:r>
      <w:r w:rsidR="00D711D4">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49CB26E1" w:rsidR="00D711D4" w:rsidRPr="002224B8" w:rsidRDefault="002224B8" w:rsidP="002224B8">
      <w:pPr>
        <w:widowControl/>
        <w:autoSpaceDE/>
        <w:autoSpaceDN/>
        <w:spacing w:line="276" w:lineRule="auto"/>
        <w:ind w:right="-26"/>
        <w:rPr>
          <w:rFonts w:eastAsia="Arial"/>
          <w:b/>
          <w:szCs w:val="18"/>
        </w:rPr>
      </w:pPr>
      <w:r>
        <w:rPr>
          <w:rFonts w:eastAsia="Arial"/>
          <w:szCs w:val="18"/>
        </w:rPr>
        <w:t>7.</w:t>
      </w:r>
      <w:r w:rsidR="00D711D4" w:rsidRPr="002224B8">
        <w:rPr>
          <w:rFonts w:eastAsia="Arial"/>
          <w:szCs w:val="18"/>
        </w:rPr>
        <w:t xml:space="preserve">Zamawiający zatrzymuje wadium wraz z odsetkami, jeżeli wykonawca w odpowiedzi na wezwanie, </w:t>
      </w:r>
      <w:r w:rsidR="00D711D4" w:rsidRPr="002224B8">
        <w:rPr>
          <w:rFonts w:eastAsia="Arial"/>
          <w:szCs w:val="18"/>
        </w:rPr>
        <w:br/>
        <w:t xml:space="preserve">o którym mowa w art. 98 ust. 6, z przyczyn leżących po jego stronie, nie złożył oświadczeń lub dokumentów potwierdzających brak podstaw do wykluczenia oraz spełnienie warunków udziału w postępowaniu, pełnomocnictw lub nie wyraził zgody na poprawienie omyłki, o której mowa </w:t>
      </w:r>
      <w:r w:rsidR="00D711D4" w:rsidRPr="002224B8">
        <w:rPr>
          <w:rFonts w:eastAsia="Arial"/>
          <w:szCs w:val="18"/>
        </w:rPr>
        <w:br/>
        <w:t>w art.  223 ust. 2, co spowodowało brak możliwości wybrania oferty złożonej przez wykonawcę jako najkorzystniejszej.</w:t>
      </w:r>
    </w:p>
    <w:p w14:paraId="22164244" w14:textId="47451CE5" w:rsidR="00D711D4" w:rsidRPr="002224B8" w:rsidRDefault="002224B8" w:rsidP="002224B8">
      <w:pPr>
        <w:widowControl/>
        <w:autoSpaceDE/>
        <w:autoSpaceDN/>
        <w:spacing w:line="276" w:lineRule="auto"/>
        <w:ind w:right="-26"/>
        <w:rPr>
          <w:rFonts w:eastAsia="Arial"/>
          <w:b/>
          <w:szCs w:val="18"/>
        </w:rPr>
      </w:pPr>
      <w:r>
        <w:rPr>
          <w:rFonts w:eastAsia="Arial"/>
          <w:szCs w:val="18"/>
        </w:rPr>
        <w:t>8.</w:t>
      </w:r>
      <w:r w:rsidR="00D711D4" w:rsidRPr="002224B8">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4160CE99" w:rsidR="00D711D4" w:rsidRPr="002224B8" w:rsidRDefault="002224B8" w:rsidP="002224B8">
      <w:pPr>
        <w:widowControl/>
        <w:autoSpaceDE/>
        <w:autoSpaceDN/>
        <w:spacing w:line="276" w:lineRule="auto"/>
        <w:ind w:right="-26"/>
        <w:rPr>
          <w:rFonts w:eastAsia="Arial"/>
          <w:b/>
          <w:szCs w:val="18"/>
        </w:rPr>
      </w:pPr>
      <w:r>
        <w:rPr>
          <w:rFonts w:eastAsia="Arial"/>
          <w:szCs w:val="18"/>
        </w:rPr>
        <w:t>9.</w:t>
      </w:r>
      <w:r w:rsidR="00D711D4" w:rsidRPr="002224B8">
        <w:rPr>
          <w:rFonts w:eastAsia="Arial"/>
          <w:szCs w:val="18"/>
        </w:rPr>
        <w:t>Zamawiający zwraca niezwłocznie wadium na wniosek Wykonawcy, który wycofał ofertę przed upływem terminu składania ofert.</w:t>
      </w:r>
    </w:p>
    <w:p w14:paraId="4B13DDFE" w14:textId="2E649CD6" w:rsidR="00D711D4" w:rsidRPr="002224B8" w:rsidRDefault="002224B8" w:rsidP="002224B8">
      <w:pPr>
        <w:widowControl/>
        <w:autoSpaceDE/>
        <w:autoSpaceDN/>
        <w:spacing w:line="276" w:lineRule="auto"/>
        <w:ind w:right="-26"/>
        <w:rPr>
          <w:rFonts w:eastAsia="Arial"/>
          <w:b/>
          <w:szCs w:val="18"/>
        </w:rPr>
      </w:pPr>
      <w:r>
        <w:rPr>
          <w:rFonts w:eastAsia="Arial"/>
          <w:szCs w:val="18"/>
        </w:rPr>
        <w:t>10.</w:t>
      </w:r>
      <w:r w:rsidR="00D711D4" w:rsidRPr="002224B8">
        <w:rPr>
          <w:rFonts w:eastAsia="Arial"/>
          <w:szCs w:val="18"/>
        </w:rPr>
        <w:t xml:space="preserve">Jeżeli wadium wniesiono w pieniądzu, Zamawiający zwraca je wraz z odsetkami wynikającymi </w:t>
      </w:r>
      <w:r w:rsidR="00D711D4" w:rsidRPr="002224B8">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489C2DED" w:rsidR="00D711D4" w:rsidRPr="002224B8" w:rsidRDefault="002224B8" w:rsidP="002224B8">
      <w:pPr>
        <w:widowControl/>
        <w:autoSpaceDE/>
        <w:autoSpaceDN/>
        <w:spacing w:line="276" w:lineRule="auto"/>
        <w:ind w:right="-26"/>
        <w:rPr>
          <w:rFonts w:eastAsia="Arial"/>
          <w:b/>
          <w:szCs w:val="18"/>
        </w:rPr>
      </w:pPr>
      <w:r>
        <w:rPr>
          <w:rFonts w:eastAsia="Arial"/>
          <w:szCs w:val="18"/>
        </w:rPr>
        <w:t>11.</w:t>
      </w:r>
      <w:r w:rsidR="00D711D4" w:rsidRPr="002224B8">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lastRenderedPageBreak/>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Pr="009A1C60"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lastRenderedPageBreak/>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„C</w:t>
      </w:r>
      <w:r w:rsidRPr="00643CCD">
        <w:rPr>
          <w:vertAlign w:val="subscript"/>
        </w:rPr>
        <w:t>min</w:t>
      </w:r>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„C</w:t>
      </w:r>
      <w:r w:rsidRPr="00643CCD">
        <w:rPr>
          <w:vertAlign w:val="subscript"/>
        </w:rPr>
        <w:t>badana</w:t>
      </w:r>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[C</w:t>
      </w:r>
      <w:r w:rsidRPr="00643CCD">
        <w:rPr>
          <w:vertAlign w:val="subscript"/>
        </w:rPr>
        <w:t>min</w:t>
      </w:r>
      <w:r w:rsidRPr="00643CCD">
        <w:t xml:space="preserve"> : C</w:t>
      </w:r>
      <w:r w:rsidRPr="00643CCD">
        <w:rPr>
          <w:vertAlign w:val="subscript"/>
        </w:rPr>
        <w:t>badana</w:t>
      </w:r>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2224B8">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2224B8">
      <w:pPr>
        <w:widowControl/>
        <w:tabs>
          <w:tab w:val="left" w:pos="361"/>
        </w:tabs>
        <w:autoSpaceDE/>
        <w:autoSpaceDN/>
        <w:spacing w:line="276" w:lineRule="auto"/>
        <w:ind w:right="-26"/>
        <w:jc w:val="both"/>
      </w:pPr>
      <w:r>
        <w:t xml:space="preserve">1) oczywiste omyłki pisarskie, </w:t>
      </w:r>
    </w:p>
    <w:p w14:paraId="054006A3" w14:textId="77777777" w:rsidR="00EE0C1C" w:rsidRPr="00DA60DF" w:rsidRDefault="00DA60DF" w:rsidP="002224B8">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2224B8">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r>
      <w:r w:rsidRPr="008F2323">
        <w:rPr>
          <w:rFonts w:eastAsia="Arial"/>
        </w:rPr>
        <w:lastRenderedPageBreak/>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WZ – STWiORB,</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1018305F" w14:textId="0B045D85" w:rsidR="000E711D" w:rsidRPr="000E711D" w:rsidRDefault="000E711D" w:rsidP="000E711D">
      <w:pPr>
        <w:spacing w:line="239" w:lineRule="auto"/>
        <w:ind w:left="4" w:right="-26"/>
        <w:rPr>
          <w:b/>
        </w:rPr>
      </w:pPr>
      <w:r w:rsidRPr="000E711D">
        <w:rPr>
          <w:b/>
        </w:rPr>
        <w:t>Przebudowa drogi powiatowej nr 1323 R Frysztak – Gogołów - Klecie w m. Frysztak w km 0+000 – 0+900 wraz z poprawą warunków bezpieczeństwa pieszych.</w:t>
      </w:r>
    </w:p>
    <w:p w14:paraId="571B589D" w14:textId="77777777" w:rsidR="000E0256" w:rsidRPr="00431243" w:rsidRDefault="000E0256" w:rsidP="00F575E0">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NIP: ………………………….., Regon: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2DEE396F"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2224B8">
        <w:rPr>
          <w:rFonts w:eastAsia="Arial"/>
        </w:rPr>
        <w:t>4</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lastRenderedPageBreak/>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0"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KRS/CEiDG)</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1423C262" w14:textId="77777777" w:rsidR="000E711D" w:rsidRPr="000E711D" w:rsidRDefault="000E711D" w:rsidP="000E711D">
      <w:pPr>
        <w:spacing w:line="239" w:lineRule="auto"/>
        <w:ind w:left="4" w:right="-26"/>
        <w:jc w:val="center"/>
        <w:rPr>
          <w:b/>
        </w:rPr>
      </w:pPr>
      <w:r w:rsidRPr="000E711D">
        <w:rPr>
          <w:b/>
        </w:rPr>
        <w:t xml:space="preserve">Przebudowa drogi powiatowej nr 1323 R Frysztak – Gogołów - Klecie </w:t>
      </w:r>
    </w:p>
    <w:p w14:paraId="3AE4D835" w14:textId="77777777" w:rsidR="000E711D" w:rsidRPr="000E711D" w:rsidRDefault="000E711D" w:rsidP="000E711D">
      <w:pPr>
        <w:spacing w:line="239" w:lineRule="auto"/>
        <w:ind w:left="4" w:right="-26"/>
        <w:jc w:val="center"/>
        <w:rPr>
          <w:b/>
        </w:rPr>
      </w:pPr>
      <w:r w:rsidRPr="000E711D">
        <w:rPr>
          <w:b/>
        </w:rPr>
        <w:t>w m. Frysztak w km 0+000 – 0+900 wraz z poprawą warunków bezpieczeństwa pieszych.</w:t>
      </w:r>
    </w:p>
    <w:p w14:paraId="41849305" w14:textId="111095B7" w:rsidR="00BB0138" w:rsidRPr="00BB0138" w:rsidRDefault="00BB0138" w:rsidP="009956E2">
      <w:pPr>
        <w:spacing w:line="239" w:lineRule="auto"/>
        <w:ind w:left="4" w:right="-26"/>
        <w:jc w:val="center"/>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lastRenderedPageBreak/>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następujący/e podmiot/y, na którego/ych zasoby powołuję się w niniejszym postępowaniu, tj.: …………………………………………………………….……………………… </w:t>
      </w:r>
      <w:r w:rsidRPr="00BB0138">
        <w:rPr>
          <w:rFonts w:ascii="Times New Roman" w:hAnsi="Times New Roman" w:cs="Times New Roman"/>
          <w:i/>
          <w:lang w:val="pl-PL"/>
        </w:rPr>
        <w:t xml:space="preserve">(podać pełną nazwę/firmę, adres, a także w zależności od podmiotu: NIP/PESEL, KRS/CEiDG)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innego/ych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lastRenderedPageBreak/>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KRS/CEiDG)</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224"/>
      <w:bookmarkEnd w:id="10"/>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KRS/CEiDG)</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78C07F5" w14:textId="321A3791" w:rsidR="000E711D" w:rsidRPr="000E711D" w:rsidRDefault="000E711D" w:rsidP="000E711D">
      <w:pPr>
        <w:pStyle w:val="Standard"/>
        <w:spacing w:line="276" w:lineRule="auto"/>
        <w:jc w:val="center"/>
        <w:rPr>
          <w:rFonts w:ascii="Times New Roman" w:eastAsia="Times New Roman" w:hAnsi="Times New Roman" w:cs="Times New Roman"/>
          <w:b/>
          <w:kern w:val="0"/>
          <w:lang w:val="pl-PL" w:eastAsia="pl-PL" w:bidi="pl-PL"/>
        </w:rPr>
      </w:pPr>
      <w:r w:rsidRPr="000E711D">
        <w:rPr>
          <w:rFonts w:ascii="Times New Roman" w:eastAsia="Times New Roman" w:hAnsi="Times New Roman" w:cs="Times New Roman"/>
          <w:b/>
          <w:kern w:val="0"/>
          <w:lang w:val="pl-PL" w:eastAsia="pl-PL" w:bidi="pl-PL"/>
        </w:rPr>
        <w:t>Przebudowa drogi powiatowej nr 1323 R Frysztak – Gogołów - Klecie w m. Frysztak w km 0+000 – 0+900 wraz z poprawą warunków bezpieczeństwa pieszych.</w:t>
      </w:r>
    </w:p>
    <w:p w14:paraId="1BF06FC4" w14:textId="77777777" w:rsidR="00BB0138" w:rsidRPr="00BB0138" w:rsidRDefault="00BB0138" w:rsidP="00A912FF">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Oświadczam, że w celu wykazania spełniania warunków udziału w postępowaniu, określonych przez zamawiającego w Specyfikacji Warunków Zamówienia i ogłoszeniu o zamówieniu  polegam na zasobach następującego/ych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1"/>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2" w:name="page38"/>
      <w:bookmarkStart w:id="13" w:name="_Hlk69206281"/>
      <w:bookmarkEnd w:id="12"/>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(pełna nazwa/firma, adres,</w:t>
      </w:r>
      <w:r>
        <w:rPr>
          <w:rFonts w:eastAsia="Arial"/>
          <w:i/>
          <w:sz w:val="18"/>
        </w:rPr>
        <w:t xml:space="preserve">te.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6710BDB3" w14:textId="77777777" w:rsidR="000E711D" w:rsidRPr="000E711D" w:rsidRDefault="000E711D" w:rsidP="000E711D">
      <w:pPr>
        <w:pStyle w:val="Akapitzlist"/>
        <w:widowControl/>
        <w:autoSpaceDE/>
        <w:autoSpaceDN/>
        <w:spacing w:line="276" w:lineRule="auto"/>
        <w:ind w:left="680" w:right="-26" w:firstLine="0"/>
        <w:jc w:val="center"/>
      </w:pPr>
      <w:r w:rsidRPr="000E711D">
        <w:rPr>
          <w:b/>
          <w:sz w:val="24"/>
          <w:szCs w:val="20"/>
        </w:rPr>
        <w:t>Przebudowa drogi powiatowej nr 1323 R Frysztak – Gogołów - Klecie w m. Frysztak w km 0+000 – 0+900 wraz z poprawą warunków bezpieczeństwa pieszych.</w:t>
      </w:r>
    </w:p>
    <w:p w14:paraId="09BD0D48" w14:textId="73DFAD85" w:rsidR="00C153CB" w:rsidRPr="00525191" w:rsidRDefault="00C153CB">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4" w:name="_Hlk69206549"/>
      <w:bookmarkEnd w:id="13"/>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Wykaz kadry inżynieryjno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Przystępując do udziału w postępowaniu o zamówienie publiczne na : …………………………………………………………………………………………………………………………………………………………………………………………………………………………………………………………………………………………………………………………………oświadczamy, że osoby kierowników budowy wymienione w wykazie kadry inżynieryjno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4"/>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5" w:name="_Hlk158722706"/>
      <w:r w:rsidRPr="005C64CC">
        <w:rPr>
          <w:rFonts w:eastAsia="Arial"/>
        </w:rPr>
        <w:t>1</w:t>
      </w:r>
      <w:bookmarkEnd w:id="15"/>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5ED12079" w14:textId="5FC2FC73" w:rsidR="000E711D" w:rsidRPr="000E711D" w:rsidRDefault="000E711D" w:rsidP="000E711D">
      <w:pPr>
        <w:pStyle w:val="Akapitzlist"/>
        <w:spacing w:line="276" w:lineRule="auto"/>
        <w:ind w:left="142" w:right="-26" w:hanging="142"/>
        <w:rPr>
          <w:rFonts w:eastAsia="Arial"/>
        </w:rPr>
      </w:pPr>
      <w:r>
        <w:rPr>
          <w:rFonts w:eastAsia="Arial"/>
        </w:rPr>
        <w:t xml:space="preserve">  </w:t>
      </w:r>
      <w:r w:rsidR="00671FDA">
        <w:rPr>
          <w:rFonts w:eastAsia="Arial"/>
        </w:rPr>
        <w:t>1.</w:t>
      </w:r>
      <w:r w:rsidR="000E0256" w:rsidRPr="00671FDA">
        <w:rPr>
          <w:rFonts w:eastAsia="Arial"/>
        </w:rPr>
        <w:t>Zamawiający zleca, a Wykonawca przyjmuje do realizacji zadanie inwestycyjne pn</w:t>
      </w:r>
      <w:r>
        <w:rPr>
          <w:rFonts w:eastAsia="Arial"/>
        </w:rPr>
        <w:t>.:</w:t>
      </w:r>
      <w:r w:rsidRPr="000E711D">
        <w:rPr>
          <w:rFonts w:eastAsia="Arial"/>
        </w:rPr>
        <w:t xml:space="preserve"> „Przebudowa drogi  powiatowej nr 1323 R Frysztak – Gogołów - Kleciew m. Frysztak w km 0+000 – 0+900 wraz </w:t>
      </w:r>
      <w:r>
        <w:rPr>
          <w:rFonts w:eastAsia="Arial"/>
        </w:rPr>
        <w:br/>
      </w:r>
      <w:r w:rsidRPr="000E711D">
        <w:rPr>
          <w:rFonts w:eastAsia="Arial"/>
        </w:rPr>
        <w:t xml:space="preserve">z poprawą warunków bezpieczeństwa pieszych”. </w:t>
      </w:r>
    </w:p>
    <w:p w14:paraId="4380C8B6" w14:textId="5B277F9C" w:rsidR="007C1ACA" w:rsidRDefault="000E711D" w:rsidP="000E711D">
      <w:pPr>
        <w:pStyle w:val="Akapitzlist"/>
        <w:spacing w:line="276" w:lineRule="auto"/>
        <w:ind w:left="142" w:right="-26" w:hanging="142"/>
      </w:pPr>
      <w:r w:rsidRPr="000E711D">
        <w:rPr>
          <w:rFonts w:eastAsia="Arial"/>
        </w:rPr>
        <w:t xml:space="preserve">   Zakres prac powyższego przedsięwzięcia obejmuje: roboty przygotowawcze, roboty ziemne, roboty rozbiórkowe zdeformowanego chodnika, frezowanie istniejącej nawierzchni, wykonanie nowego chodnika z elementami odwodnienia, wykonanie warstwy wiążącej i ścieralnej z MMA, roboty wykończeniowe</w:t>
      </w:r>
      <w:r>
        <w:rPr>
          <w:rFonts w:eastAsia="Arial"/>
        </w:rPr>
        <w:t xml:space="preserve"> na odcinku drogi długości 900 mb.</w:t>
      </w:r>
      <w:r w:rsidRPr="000E711D">
        <w:rPr>
          <w:rFonts w:eastAsia="Arial"/>
        </w:rPr>
        <w:t xml:space="preserve"> Szczegółowy zakres robót określa przedmiar robót, wzór kosztorysu ofertowego oraz STWiORB, które stanowią załączniki do SWZ. </w:t>
      </w:r>
      <w:r w:rsidR="007C1ACA">
        <w:rPr>
          <w:rFonts w:eastAsia="Arial"/>
          <w:b/>
        </w:rPr>
        <w:t xml:space="preserve"> </w:t>
      </w:r>
      <w:r w:rsidR="007C1ACA">
        <w:t xml:space="preserve">Zakres rzeczowy przedsięwzięcia obejmuje również wszystkie czynności i koszty wynikające z przedmiaru robót, specyfikacji technicznych wykonania </w:t>
      </w:r>
      <w:r w:rsidR="002224B8">
        <w:br/>
      </w:r>
      <w:r w:rsidR="007C1ACA">
        <w:t xml:space="preserve">i odbioru robót budowlanych, sztuki budowlanej, koszt prac geodezyjnych, oraz koszty związane </w:t>
      </w:r>
      <w:r w:rsidR="002224B8">
        <w:br/>
      </w:r>
      <w:r w:rsidR="007C1ACA">
        <w:t>z urządzeniem, utrzymaniem i zabezpieczeniem terenu budowy, koszty związane z wykonaniem projektu oznakowania i organizacji ruchu na czas prowadzenia robót wraz z uzgodnieniem, zakupem, ustawieniem i utrzymaniem oznakowania.</w:t>
      </w:r>
    </w:p>
    <w:p w14:paraId="51CD26FE" w14:textId="1F83E3BE" w:rsidR="000E0256" w:rsidRPr="00671FDA" w:rsidRDefault="000E0256" w:rsidP="00671FDA">
      <w:pPr>
        <w:widowControl/>
        <w:autoSpaceDE/>
        <w:autoSpaceDN/>
        <w:spacing w:line="276" w:lineRule="auto"/>
        <w:ind w:left="142" w:right="-26"/>
        <w:rPr>
          <w:b/>
          <w:sz w:val="16"/>
        </w:rPr>
      </w:pPr>
      <w:r w:rsidRPr="00671FDA">
        <w:rPr>
          <w:rFonts w:eastAsia="Arial"/>
        </w:rPr>
        <w:t xml:space="preserve">Zakres i sposób wykonania zamówienia określają: SWZ, niniejsza umowa, dokumentacja, </w:t>
      </w:r>
      <w:r w:rsidRPr="00671FDA">
        <w:rPr>
          <w:rFonts w:eastAsia="Arial"/>
          <w:color w:val="000000"/>
        </w:rPr>
        <w:t>Specyfikacje Techniczne Wykonania i Odbioru Robót Budowlanych, oferta Wykonawcy z załącznikami</w:t>
      </w:r>
      <w:r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29A09EAC"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w:t>
      </w:r>
      <w:r w:rsidR="00916694">
        <w:rPr>
          <w:rFonts w:eastAsia="Arial"/>
        </w:rPr>
        <w:t>.</w:t>
      </w:r>
      <w:r w:rsidR="00926959" w:rsidRPr="00926959">
        <w:rPr>
          <w:rFonts w:eastAsia="Arial"/>
        </w:rPr>
        <w:t xml:space="preserve"> </w:t>
      </w:r>
      <w:r w:rsidR="00916694">
        <w:rPr>
          <w:rFonts w:eastAsia="Arial"/>
        </w:rPr>
        <w:br/>
      </w:r>
      <w:r w:rsidR="00926959" w:rsidRPr="00926959">
        <w:rPr>
          <w:rFonts w:eastAsia="Arial"/>
        </w:rPr>
        <w:t>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lastRenderedPageBreak/>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564AD65D"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916694">
        <w:rPr>
          <w:b/>
        </w:rPr>
        <w:t>4</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6" w:name="page20"/>
      <w:bookmarkEnd w:id="16"/>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1280E32F" w14:textId="5706C24A" w:rsidR="000E0256" w:rsidRPr="00DD2741" w:rsidRDefault="007C1ACA" w:rsidP="00F575E0">
      <w:pPr>
        <w:shd w:val="clear" w:color="auto" w:fill="FFFFFF"/>
        <w:tabs>
          <w:tab w:val="left" w:pos="0"/>
        </w:tabs>
        <w:spacing w:line="276" w:lineRule="auto"/>
        <w:ind w:left="284" w:right="-26" w:hanging="284"/>
        <w:jc w:val="both"/>
      </w:pPr>
      <w:r>
        <w:t>3</w:t>
      </w:r>
      <w:r w:rsidR="000E0256">
        <w:t>.</w:t>
      </w:r>
      <w:r w:rsidR="00927E56">
        <w:tab/>
      </w:r>
      <w:r w:rsidR="000E0256" w:rsidRPr="00DD2741">
        <w:t xml:space="preserve">Rozliczenia z </w:t>
      </w:r>
      <w:r w:rsidR="000E0256">
        <w:t>P</w:t>
      </w:r>
      <w:r w:rsidR="000E0256"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75984A14"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6E5ED075" w14:textId="13787083"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 Wykonawca zobowiązany jest dołączyć oświadczenia</w:t>
      </w:r>
      <w:r w:rsidR="00815951">
        <w:t xml:space="preserve"> </w:t>
      </w:r>
      <w:r w:rsidR="000E0256" w:rsidRPr="00A02662">
        <w:t xml:space="preserve">Podwykonawców, iż wymagalne zobowiązania finansowe z tytułu wykonania prac w odniesieniu do każdego z Podwykonawców zostały zapłacone. W razie ich niedołączenia Zamawiający może potrącić </w:t>
      </w:r>
      <w:r w:rsidR="00927E56">
        <w:br/>
      </w:r>
      <w:r w:rsidR="000E0256" w:rsidRPr="00A02662">
        <w:t>z wynagrodzenia Wykonawcy kwotę odpowiadającą wysokości nieuregulowanych przez Wykonawcę zobowiązań na rzecz Podwykonawców.</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 xml:space="preserve">.W przypadku gdy Wykonawca nie dokonał wcześniejszego rozliczenia z Podwykonawcą lub dalszym Podwykonawcą, to powinien złożyć wraz z fakturą odpowiednią informację o braku zapłaty </w:t>
      </w:r>
      <w:r w:rsidR="000E0256" w:rsidRPr="00DD2741">
        <w:lastRenderedPageBreak/>
        <w:t>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32E3009C"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16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000E0256" w:rsidRPr="00DD2741">
        <w:t>o podwykonawstwo, której przedmiotem są dostawy lub usługi.</w:t>
      </w:r>
    </w:p>
    <w:p w14:paraId="21291ACC" w14:textId="600A08D3" w:rsidR="000E0256" w:rsidRPr="00DD2741" w:rsidRDefault="007C1ACA" w:rsidP="00F575E0">
      <w:pPr>
        <w:shd w:val="clear" w:color="auto" w:fill="FFFFFF"/>
        <w:tabs>
          <w:tab w:val="left" w:pos="0"/>
        </w:tabs>
        <w:spacing w:line="276" w:lineRule="auto"/>
        <w:ind w:left="284" w:right="-26" w:hanging="284"/>
        <w:jc w:val="both"/>
      </w:pPr>
      <w:r>
        <w:t>8</w:t>
      </w:r>
      <w:r w:rsidR="000E0256"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40F5CD8A" w14:textId="5EEA9065"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18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68AFF580"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16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815951">
      <w:pPr>
        <w:spacing w:line="276" w:lineRule="auto"/>
        <w:ind w:left="284" w:right="-26" w:hanging="284"/>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815951">
      <w:pPr>
        <w:spacing w:line="276" w:lineRule="auto"/>
        <w:ind w:left="284" w:right="-26" w:hanging="284"/>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10A5802F" w14:textId="77777777" w:rsidR="000E0256" w:rsidRPr="005C64CC" w:rsidRDefault="000E0256">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7" w:name="page21"/>
      <w:bookmarkEnd w:id="17"/>
      <w:r w:rsidRPr="005C64CC">
        <w:rPr>
          <w:rFonts w:eastAsia="Arial"/>
        </w:rPr>
        <w:t xml:space="preserve"> jako przerwa wynikła z przyczyn zależnych od Wykonawcy i nie może stanowić podstawy do zmiany terminu zakończenia robót.</w:t>
      </w:r>
    </w:p>
    <w:p w14:paraId="383332C9" w14:textId="77777777" w:rsidR="000E0256" w:rsidRPr="005C64CC" w:rsidRDefault="000E0256" w:rsidP="00F575E0">
      <w:pPr>
        <w:spacing w:line="72" w:lineRule="exact"/>
        <w:ind w:left="284" w:right="-26" w:hanging="284"/>
      </w:pP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pPr>
        <w:widowControl/>
        <w:numPr>
          <w:ilvl w:val="0"/>
          <w:numId w:val="32"/>
        </w:numPr>
        <w:autoSpaceDE/>
        <w:autoSpaceDN/>
        <w:spacing w:line="360"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2B2DDBC4" w14:textId="77777777" w:rsidR="000E0256" w:rsidRPr="005C64CC" w:rsidRDefault="000E0256">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1954C50C" w14:textId="77777777" w:rsidR="000E0256" w:rsidRPr="005C64CC" w:rsidRDefault="000E0256" w:rsidP="00F575E0">
      <w:pPr>
        <w:spacing w:line="117" w:lineRule="exact"/>
        <w:ind w:left="284" w:right="-26" w:hanging="284"/>
        <w:rPr>
          <w:rFonts w:eastAsia="Arial"/>
        </w:rPr>
      </w:pPr>
    </w:p>
    <w:p w14:paraId="724233B4" w14:textId="4B345540" w:rsidR="004F0704" w:rsidRPr="002562B4" w:rsidRDefault="000E0256">
      <w:pPr>
        <w:widowControl/>
        <w:numPr>
          <w:ilvl w:val="0"/>
          <w:numId w:val="32"/>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8" w:name="page22"/>
      <w:bookmarkEnd w:id="18"/>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lastRenderedPageBreak/>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odpowiadać wymaganiom określonym w ustawie z dnia 16 kwietnia 2004 r. o wyrobach budowlanych (Dz. U. z 2016 r. poz. 1570, ze zm.) oraz STWiORB,</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19" w:name="page23"/>
      <w:bookmarkEnd w:id="19"/>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jest zobowiązany przeprowadzać pomiary i badania materiałów oraz robót budowlanych zgodnie z zasadami kontroli jakości materiałów i robót określonymi w odrębnych przepisach oraz S</w:t>
      </w:r>
      <w:r>
        <w:rPr>
          <w:rFonts w:eastAsia="Arial"/>
        </w:rPr>
        <w:t>TWiORB</w:t>
      </w:r>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w:t>
      </w:r>
      <w:r>
        <w:rPr>
          <w:rFonts w:eastAsia="Arial"/>
        </w:rPr>
        <w:t>TWiORB</w:t>
      </w:r>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Wykonawca zapewni sprzęt, urządzenia, materiały i personel potrzebny do wykonania badań na etapie przygotowania się do robót oraz podczas realizacji budowy zgodnie z wymaganiami zawartymi w S</w:t>
      </w:r>
      <w:r>
        <w:rPr>
          <w:rFonts w:eastAsia="Arial"/>
        </w:rPr>
        <w:t>TWiORB</w:t>
      </w:r>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Wykonawca musi posiadać lub mieć zapewniony dostęp do laboratorium wyposażonego w sprzęt do badań kontrolnych wymaganych postanowieniami S</w:t>
      </w:r>
      <w:r>
        <w:rPr>
          <w:rFonts w:eastAsia="Arial"/>
        </w:rPr>
        <w:t>TWiORB</w:t>
      </w:r>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lastRenderedPageBreak/>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0" w:name="page24"/>
      <w:bookmarkEnd w:id="20"/>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lastRenderedPageBreak/>
        <w:t xml:space="preserve">  </w:t>
      </w:r>
      <w:r w:rsidRPr="0083170F">
        <w:rPr>
          <w:rFonts w:eastAsia="Arial"/>
        </w:rPr>
        <w:t>Wykonawca zastosuje się do wszystkich poleceń inspektora nadzoru, które są zgodne z S</w:t>
      </w:r>
      <w:r>
        <w:rPr>
          <w:rFonts w:eastAsia="Arial"/>
        </w:rPr>
        <w:t>TWiORB</w:t>
      </w:r>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2FDC6FB4" w:rsidR="007C1ACA" w:rsidRPr="000E711D"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r w:rsidR="000E711D">
        <w:rPr>
          <w:rFonts w:eastAsia="Arial"/>
        </w:rPr>
        <w:t>.</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100E87A1"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sidR="00916694">
        <w:rPr>
          <w:rFonts w:eastAsia="Arial"/>
        </w:rPr>
        <w:t>.</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deklaracji zgodności oraz aprobat technicznych na wbudowane materiały zgodnie z S</w:t>
      </w:r>
      <w:r>
        <w:rPr>
          <w:rFonts w:eastAsia="Arial"/>
        </w:rPr>
        <w:t>TWiORB</w:t>
      </w:r>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lastRenderedPageBreak/>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1" w:name="page29"/>
      <w:bookmarkEnd w:id="21"/>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7C8F6153"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2395AEB5"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472DC3EB"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41C1E7D6"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 xml:space="preserve">Przed  upływem ustalonego w umowie okresu gwarancji i rękojmi oraz po ewentualnym usunięciu ujawnionych w tym czasie wad i usterek , strony niniejszej umowy sporządzą protokół odbioru </w:t>
      </w:r>
      <w:r w:rsidRPr="00DD2741">
        <w:lastRenderedPageBreak/>
        <w:t>ostatecznego.</w:t>
      </w:r>
    </w:p>
    <w:p w14:paraId="466DABD2" w14:textId="783E8CE3" w:rsidR="00215730" w:rsidRPr="00B20CCE" w:rsidRDefault="000E0256" w:rsidP="002562B4">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77777777"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2" w:name="page30"/>
      <w:bookmarkEnd w:id="22"/>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lastRenderedPageBreak/>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pPr>
        <w:widowControl/>
        <w:numPr>
          <w:ilvl w:val="0"/>
          <w:numId w:val="41"/>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3" w:name="page31"/>
      <w:bookmarkEnd w:id="23"/>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lastRenderedPageBreak/>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31A3D583" w:rsidR="009F1715" w:rsidRPr="000E711D"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r w:rsidR="000E711D">
        <w:rPr>
          <w:rFonts w:eastAsia="Arial"/>
        </w:rPr>
        <w:t>.</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4" w:name="page32"/>
      <w:bookmarkEnd w:id="24"/>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 xml:space="preserve">o którym mowa w zdaniu poprzednim, należy dokonać pisemnie lub w inny dostępny sposób, </w:t>
      </w:r>
      <w:r w:rsidRPr="00431243">
        <w:rPr>
          <w:rFonts w:eastAsia="Arial"/>
        </w:rPr>
        <w:lastRenderedPageBreak/>
        <w:t>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3B9F0A88"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12150F20"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4CF20668"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Zmiany w umowie mogą dotyczyć:</w:t>
      </w:r>
    </w:p>
    <w:p w14:paraId="7BEC9E11"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3F78EDA8"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1D422D0F"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0EC768ED"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131102B9" w14:textId="77777777" w:rsidR="000E0256" w:rsidRPr="001F0D6C" w:rsidRDefault="000E0256" w:rsidP="00F575E0">
      <w:pPr>
        <w:spacing w:line="0" w:lineRule="atLeast"/>
        <w:ind w:right="-26"/>
        <w:jc w:val="both"/>
        <w:rPr>
          <w:rFonts w:eastAsia="Arial"/>
        </w:rPr>
      </w:pPr>
      <w:r w:rsidRPr="001F0D6C">
        <w:rPr>
          <w:rFonts w:eastAsia="Arial"/>
        </w:rPr>
        <w:t>- zmian rozwiązań technicznych lub technologicznych,</w:t>
      </w:r>
    </w:p>
    <w:p w14:paraId="0EA236A5"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00171DB4"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11DB39FE"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69798BD2"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76F5D47F"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FE60AD7" w14:textId="1A380C4C"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101C1EBF"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77777777" w:rsidR="000E0256" w:rsidRPr="007A2C2E"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4B4B2C8F"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F2EA81A"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62447F74"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pPr>
        <w:widowControl/>
        <w:numPr>
          <w:ilvl w:val="0"/>
          <w:numId w:val="53"/>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Zamawiający, wymaga, aby wszelkie czynności związane z wykonywaniem robót budowlanych w zakresie realizacji przedmiotowego zamówienia wskazane i opisane w kosztorysie ofertowym oraz STWiORB,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STWiORB,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5"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4C08896A" w14:textId="55BF4E96" w:rsidR="00916694" w:rsidRPr="000E711D" w:rsidRDefault="00B63119" w:rsidP="000E711D">
      <w:pPr>
        <w:jc w:val="both"/>
      </w:pPr>
      <w:r w:rsidRPr="00637D25">
        <w:t xml:space="preserve">GWARANTEM jest ……………………..…………………………………[nazwa, adres], będący Wykonawcą zadania pn.: </w:t>
      </w:r>
      <w:r>
        <w:t>Wykonanie właściwych robót w ramach zadania pn</w:t>
      </w:r>
      <w:r w:rsidR="000E711D" w:rsidRPr="000E711D">
        <w:t xml:space="preserve"> </w:t>
      </w:r>
      <w:r w:rsidR="000E711D">
        <w:t>Przebudowa drogi powiatowej nr 1323 R Frysztak – Gogołów - Klecie w m. Frysztak w km 0+000 – 0+900 wraz z poprawą warunków bezpieczeństwa pieszych.</w:t>
      </w:r>
    </w:p>
    <w:p w14:paraId="6AE295BB" w14:textId="16837412" w:rsidR="00B63119" w:rsidRPr="00637D25" w:rsidRDefault="00B63119" w:rsidP="009F1715">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lastRenderedPageBreak/>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4F76F78C" w14:textId="17342905" w:rsidR="00B63119" w:rsidRDefault="00B63119" w:rsidP="00EB6A45">
      <w:pPr>
        <w:shd w:val="clear" w:color="auto" w:fill="FFFFFF"/>
        <w:tabs>
          <w:tab w:val="left" w:pos="405"/>
        </w:tabs>
      </w:pPr>
      <w:r>
        <w:t xml:space="preserve">                                                                                                                       </w:t>
      </w:r>
      <w:r w:rsidRPr="00637D25">
        <w:t>GWARANT;</w:t>
      </w:r>
      <w:r>
        <w:t xml:space="preserve"> </w:t>
      </w:r>
      <w:r w:rsidRPr="00637D25">
        <w:t>WYKONAWCA</w:t>
      </w:r>
      <w:bookmarkEnd w:id="25"/>
    </w:p>
    <w:p w14:paraId="2203874F" w14:textId="77777777" w:rsidR="00B63119" w:rsidRPr="00F92F30" w:rsidRDefault="00B63119" w:rsidP="00F575E0">
      <w:pPr>
        <w:ind w:right="-26"/>
        <w:jc w:val="both"/>
        <w:rPr>
          <w:sz w:val="20"/>
        </w:rPr>
      </w:pPr>
    </w:p>
    <w:sectPr w:rsidR="00B63119" w:rsidRPr="00F92F30" w:rsidSect="00C5669F">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DD3B2" w14:textId="77777777" w:rsidR="005D057F" w:rsidRDefault="005D057F" w:rsidP="00E74DDD">
      <w:r>
        <w:separator/>
      </w:r>
    </w:p>
  </w:endnote>
  <w:endnote w:type="continuationSeparator" w:id="0">
    <w:p w14:paraId="1FCCF2CB" w14:textId="77777777" w:rsidR="005D057F" w:rsidRDefault="005D057F"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794EB" w14:textId="77777777" w:rsidR="005D057F" w:rsidRDefault="005D057F" w:rsidP="00E74DDD">
      <w:r>
        <w:separator/>
      </w:r>
    </w:p>
  </w:footnote>
  <w:footnote w:type="continuationSeparator" w:id="0">
    <w:p w14:paraId="6914F430" w14:textId="77777777" w:rsidR="005D057F" w:rsidRDefault="005D057F"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2"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3"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4"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6"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8"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36CA2B2D"/>
    <w:multiLevelType w:val="multilevel"/>
    <w:tmpl w:val="72382FDA"/>
    <w:lvl w:ilvl="0">
      <w:start w:val="4"/>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3"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5"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6"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7"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0"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3"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56"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7"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9C64C2"/>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0"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1"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2"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1"/>
  </w:num>
  <w:num w:numId="2" w16cid:durableId="1010719033">
    <w:abstractNumId w:val="60"/>
  </w:num>
  <w:num w:numId="3" w16cid:durableId="1698889847">
    <w:abstractNumId w:val="55"/>
  </w:num>
  <w:num w:numId="4" w16cid:durableId="2076387469">
    <w:abstractNumId w:val="49"/>
  </w:num>
  <w:num w:numId="5" w16cid:durableId="52895196">
    <w:abstractNumId w:val="32"/>
  </w:num>
  <w:num w:numId="6" w16cid:durableId="1060134317">
    <w:abstractNumId w:val="44"/>
  </w:num>
  <w:num w:numId="7" w16cid:durableId="1321807876">
    <w:abstractNumId w:val="35"/>
  </w:num>
  <w:num w:numId="8" w16cid:durableId="524632397">
    <w:abstractNumId w:val="33"/>
  </w:num>
  <w:num w:numId="9" w16cid:durableId="457797089">
    <w:abstractNumId w:val="61"/>
  </w:num>
  <w:num w:numId="10" w16cid:durableId="1847354566">
    <w:abstractNumId w:val="0"/>
  </w:num>
  <w:num w:numId="11" w16cid:durableId="1187794039">
    <w:abstractNumId w:val="28"/>
  </w:num>
  <w:num w:numId="12" w16cid:durableId="1794597440">
    <w:abstractNumId w:val="1"/>
  </w:num>
  <w:num w:numId="13" w16cid:durableId="489294236">
    <w:abstractNumId w:val="51"/>
  </w:num>
  <w:num w:numId="14" w16cid:durableId="183981985">
    <w:abstractNumId w:val="27"/>
  </w:num>
  <w:num w:numId="15" w16cid:durableId="191193149">
    <w:abstractNumId w:val="25"/>
  </w:num>
  <w:num w:numId="16" w16cid:durableId="1040741668">
    <w:abstractNumId w:val="29"/>
  </w:num>
  <w:num w:numId="17" w16cid:durableId="1257518427">
    <w:abstractNumId w:val="52"/>
  </w:num>
  <w:num w:numId="18" w16cid:durableId="2095347635">
    <w:abstractNumId w:val="62"/>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39"/>
  </w:num>
  <w:num w:numId="22" w16cid:durableId="637075545">
    <w:abstractNumId w:val="41"/>
  </w:num>
  <w:num w:numId="23" w16cid:durableId="1096636670">
    <w:abstractNumId w:val="50"/>
  </w:num>
  <w:num w:numId="24" w16cid:durableId="2090039044">
    <w:abstractNumId w:val="22"/>
  </w:num>
  <w:num w:numId="25" w16cid:durableId="145241543">
    <w:abstractNumId w:val="23"/>
  </w:num>
  <w:num w:numId="26" w16cid:durableId="1643273136">
    <w:abstractNumId w:val="43"/>
  </w:num>
  <w:num w:numId="27" w16cid:durableId="1075975938">
    <w:abstractNumId w:val="57"/>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7"/>
  </w:num>
  <w:num w:numId="49" w16cid:durableId="1815173993">
    <w:abstractNumId w:val="46"/>
  </w:num>
  <w:num w:numId="50" w16cid:durableId="295574946">
    <w:abstractNumId w:val="34"/>
  </w:num>
  <w:num w:numId="51" w16cid:durableId="467431472">
    <w:abstractNumId w:val="26"/>
  </w:num>
  <w:num w:numId="52" w16cid:durableId="328867953">
    <w:abstractNumId w:val="40"/>
  </w:num>
  <w:num w:numId="53" w16cid:durableId="43524786">
    <w:abstractNumId w:val="58"/>
  </w:num>
  <w:num w:numId="54" w16cid:durableId="1540312350">
    <w:abstractNumId w:val="38"/>
  </w:num>
  <w:num w:numId="55" w16cid:durableId="403333096">
    <w:abstractNumId w:val="56"/>
  </w:num>
  <w:num w:numId="56" w16cid:durableId="209074638">
    <w:abstractNumId w:val="37"/>
  </w:num>
  <w:num w:numId="57" w16cid:durableId="1955287299">
    <w:abstractNumId w:val="54"/>
  </w:num>
  <w:num w:numId="58" w16cid:durableId="886112527">
    <w:abstractNumId w:val="45"/>
  </w:num>
  <w:num w:numId="59" w16cid:durableId="1552185412">
    <w:abstractNumId w:val="30"/>
  </w:num>
  <w:num w:numId="60" w16cid:durableId="1417744150">
    <w:abstractNumId w:val="36"/>
  </w:num>
  <w:num w:numId="61" w16cid:durableId="1531452939">
    <w:abstractNumId w:val="48"/>
  </w:num>
  <w:num w:numId="62" w16cid:durableId="544752472">
    <w:abstractNumId w:val="59"/>
  </w:num>
  <w:num w:numId="63" w16cid:durableId="515849900">
    <w:abstractNumId w:val="24"/>
  </w:num>
  <w:num w:numId="64" w16cid:durableId="643437943">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82F56"/>
    <w:rsid w:val="00095462"/>
    <w:rsid w:val="00095AAD"/>
    <w:rsid w:val="000A4722"/>
    <w:rsid w:val="000B21AA"/>
    <w:rsid w:val="000E0256"/>
    <w:rsid w:val="000E297A"/>
    <w:rsid w:val="000E711D"/>
    <w:rsid w:val="000F08F0"/>
    <w:rsid w:val="000F49E2"/>
    <w:rsid w:val="000F70CF"/>
    <w:rsid w:val="00101C35"/>
    <w:rsid w:val="001040C0"/>
    <w:rsid w:val="00110428"/>
    <w:rsid w:val="0013001E"/>
    <w:rsid w:val="001334DE"/>
    <w:rsid w:val="001348F8"/>
    <w:rsid w:val="00135007"/>
    <w:rsid w:val="00135670"/>
    <w:rsid w:val="001374D8"/>
    <w:rsid w:val="00144111"/>
    <w:rsid w:val="00162207"/>
    <w:rsid w:val="00166BFF"/>
    <w:rsid w:val="00171B8A"/>
    <w:rsid w:val="001814BD"/>
    <w:rsid w:val="0018205E"/>
    <w:rsid w:val="00182540"/>
    <w:rsid w:val="00182B8D"/>
    <w:rsid w:val="001A3C8F"/>
    <w:rsid w:val="001A536A"/>
    <w:rsid w:val="001B5042"/>
    <w:rsid w:val="001B777E"/>
    <w:rsid w:val="001C3DB9"/>
    <w:rsid w:val="001E10E2"/>
    <w:rsid w:val="001F039C"/>
    <w:rsid w:val="001F2575"/>
    <w:rsid w:val="001F6506"/>
    <w:rsid w:val="00211AB3"/>
    <w:rsid w:val="00215730"/>
    <w:rsid w:val="002224B8"/>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F0491"/>
    <w:rsid w:val="00317325"/>
    <w:rsid w:val="00320656"/>
    <w:rsid w:val="00322078"/>
    <w:rsid w:val="00334F45"/>
    <w:rsid w:val="00337782"/>
    <w:rsid w:val="003412FB"/>
    <w:rsid w:val="00356A3A"/>
    <w:rsid w:val="00372AEA"/>
    <w:rsid w:val="00377647"/>
    <w:rsid w:val="0038048C"/>
    <w:rsid w:val="00381703"/>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629E"/>
    <w:rsid w:val="004278A1"/>
    <w:rsid w:val="00437B13"/>
    <w:rsid w:val="004420DA"/>
    <w:rsid w:val="00443AC5"/>
    <w:rsid w:val="00481BEE"/>
    <w:rsid w:val="004823DB"/>
    <w:rsid w:val="00484169"/>
    <w:rsid w:val="004906B1"/>
    <w:rsid w:val="00491369"/>
    <w:rsid w:val="004A085D"/>
    <w:rsid w:val="004A6E0F"/>
    <w:rsid w:val="004B381B"/>
    <w:rsid w:val="004C04D7"/>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93F31"/>
    <w:rsid w:val="00595F74"/>
    <w:rsid w:val="005A5537"/>
    <w:rsid w:val="005B12B0"/>
    <w:rsid w:val="005C5AE4"/>
    <w:rsid w:val="005D057F"/>
    <w:rsid w:val="005D4C54"/>
    <w:rsid w:val="00600325"/>
    <w:rsid w:val="00602B2F"/>
    <w:rsid w:val="00606A42"/>
    <w:rsid w:val="00607F05"/>
    <w:rsid w:val="0061411E"/>
    <w:rsid w:val="00637942"/>
    <w:rsid w:val="00654123"/>
    <w:rsid w:val="00656122"/>
    <w:rsid w:val="00660120"/>
    <w:rsid w:val="0066325A"/>
    <w:rsid w:val="0066407B"/>
    <w:rsid w:val="00667887"/>
    <w:rsid w:val="00671B7A"/>
    <w:rsid w:val="00671FDA"/>
    <w:rsid w:val="006742EA"/>
    <w:rsid w:val="0068479B"/>
    <w:rsid w:val="00693FF1"/>
    <w:rsid w:val="00695472"/>
    <w:rsid w:val="00696076"/>
    <w:rsid w:val="00696EAE"/>
    <w:rsid w:val="006C2E28"/>
    <w:rsid w:val="006C5F73"/>
    <w:rsid w:val="006C7050"/>
    <w:rsid w:val="006D54CA"/>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83E88"/>
    <w:rsid w:val="00792405"/>
    <w:rsid w:val="007A0DBA"/>
    <w:rsid w:val="007B688B"/>
    <w:rsid w:val="007C1ACA"/>
    <w:rsid w:val="007D1AA0"/>
    <w:rsid w:val="007D45C2"/>
    <w:rsid w:val="007E1625"/>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84B42"/>
    <w:rsid w:val="00896DAC"/>
    <w:rsid w:val="008A01D7"/>
    <w:rsid w:val="008A06BB"/>
    <w:rsid w:val="008A282F"/>
    <w:rsid w:val="008A4EFA"/>
    <w:rsid w:val="008A50C2"/>
    <w:rsid w:val="008C4041"/>
    <w:rsid w:val="008C4804"/>
    <w:rsid w:val="008D63B8"/>
    <w:rsid w:val="008D700E"/>
    <w:rsid w:val="008E3D22"/>
    <w:rsid w:val="008F2323"/>
    <w:rsid w:val="008F5345"/>
    <w:rsid w:val="008F7241"/>
    <w:rsid w:val="009001AB"/>
    <w:rsid w:val="00911368"/>
    <w:rsid w:val="00916694"/>
    <w:rsid w:val="00926959"/>
    <w:rsid w:val="00927E56"/>
    <w:rsid w:val="00927F49"/>
    <w:rsid w:val="00930AF3"/>
    <w:rsid w:val="0093315C"/>
    <w:rsid w:val="00934510"/>
    <w:rsid w:val="00934661"/>
    <w:rsid w:val="00935574"/>
    <w:rsid w:val="009543BC"/>
    <w:rsid w:val="009548E4"/>
    <w:rsid w:val="0096318F"/>
    <w:rsid w:val="009750CD"/>
    <w:rsid w:val="009769A2"/>
    <w:rsid w:val="0098659E"/>
    <w:rsid w:val="0099201A"/>
    <w:rsid w:val="0099205A"/>
    <w:rsid w:val="00994B47"/>
    <w:rsid w:val="009956E2"/>
    <w:rsid w:val="00995F00"/>
    <w:rsid w:val="009A1C60"/>
    <w:rsid w:val="009A407D"/>
    <w:rsid w:val="009B2B2C"/>
    <w:rsid w:val="009D3766"/>
    <w:rsid w:val="009D66D9"/>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7951"/>
    <w:rsid w:val="00A912FF"/>
    <w:rsid w:val="00AA3A12"/>
    <w:rsid w:val="00AA4BBF"/>
    <w:rsid w:val="00AC5AE6"/>
    <w:rsid w:val="00AC5E8A"/>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62371"/>
    <w:rsid w:val="00B63119"/>
    <w:rsid w:val="00B726DD"/>
    <w:rsid w:val="00B8088B"/>
    <w:rsid w:val="00B93C7B"/>
    <w:rsid w:val="00BA5A34"/>
    <w:rsid w:val="00BA5FAD"/>
    <w:rsid w:val="00BB0138"/>
    <w:rsid w:val="00BC3C91"/>
    <w:rsid w:val="00BE12E0"/>
    <w:rsid w:val="00BE26C1"/>
    <w:rsid w:val="00BE47CA"/>
    <w:rsid w:val="00C023B0"/>
    <w:rsid w:val="00C02762"/>
    <w:rsid w:val="00C153CB"/>
    <w:rsid w:val="00C25173"/>
    <w:rsid w:val="00C35980"/>
    <w:rsid w:val="00C359B3"/>
    <w:rsid w:val="00C41857"/>
    <w:rsid w:val="00C442FC"/>
    <w:rsid w:val="00C44709"/>
    <w:rsid w:val="00C50045"/>
    <w:rsid w:val="00C55597"/>
    <w:rsid w:val="00C5669F"/>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264B"/>
    <w:rsid w:val="00D05A16"/>
    <w:rsid w:val="00D07ECC"/>
    <w:rsid w:val="00D14EFD"/>
    <w:rsid w:val="00D2015A"/>
    <w:rsid w:val="00D218D9"/>
    <w:rsid w:val="00D36226"/>
    <w:rsid w:val="00D51BAF"/>
    <w:rsid w:val="00D53A56"/>
    <w:rsid w:val="00D55883"/>
    <w:rsid w:val="00D578E3"/>
    <w:rsid w:val="00D6293C"/>
    <w:rsid w:val="00D711D4"/>
    <w:rsid w:val="00D74F3A"/>
    <w:rsid w:val="00D850F0"/>
    <w:rsid w:val="00D927B8"/>
    <w:rsid w:val="00D94923"/>
    <w:rsid w:val="00DA2449"/>
    <w:rsid w:val="00DA60DF"/>
    <w:rsid w:val="00DB05DE"/>
    <w:rsid w:val="00DB2174"/>
    <w:rsid w:val="00DB6441"/>
    <w:rsid w:val="00DB650D"/>
    <w:rsid w:val="00DC0DB2"/>
    <w:rsid w:val="00DC2540"/>
    <w:rsid w:val="00DC25FB"/>
    <w:rsid w:val="00DC4F11"/>
    <w:rsid w:val="00DC6E39"/>
    <w:rsid w:val="00DC7304"/>
    <w:rsid w:val="00DD4985"/>
    <w:rsid w:val="00DD6B38"/>
    <w:rsid w:val="00DE16AE"/>
    <w:rsid w:val="00DE66B6"/>
    <w:rsid w:val="00DF4986"/>
    <w:rsid w:val="00E0622E"/>
    <w:rsid w:val="00E14EFB"/>
    <w:rsid w:val="00E1576D"/>
    <w:rsid w:val="00E15DDB"/>
    <w:rsid w:val="00E26BB5"/>
    <w:rsid w:val="00E27E3D"/>
    <w:rsid w:val="00E37FF6"/>
    <w:rsid w:val="00E42FB0"/>
    <w:rsid w:val="00E472CB"/>
    <w:rsid w:val="00E47B99"/>
    <w:rsid w:val="00E55F9C"/>
    <w:rsid w:val="00E6559D"/>
    <w:rsid w:val="00E70AB3"/>
    <w:rsid w:val="00E74DDD"/>
    <w:rsid w:val="00E75C18"/>
    <w:rsid w:val="00E94F4A"/>
    <w:rsid w:val="00E9649D"/>
    <w:rsid w:val="00EA6CEE"/>
    <w:rsid w:val="00EB106A"/>
    <w:rsid w:val="00EB3DE4"/>
    <w:rsid w:val="00EB40CC"/>
    <w:rsid w:val="00EB6A45"/>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C1B44"/>
    <w:rsid w:val="00FC54C2"/>
    <w:rsid w:val="00FC58B4"/>
    <w:rsid w:val="00FC6451"/>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Pages>
  <Words>23225</Words>
  <Characters>139352</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132</cp:revision>
  <cp:lastPrinted>2022-01-25T06:21:00Z</cp:lastPrinted>
  <dcterms:created xsi:type="dcterms:W3CDTF">2021-05-14T05:41:00Z</dcterms:created>
  <dcterms:modified xsi:type="dcterms:W3CDTF">2024-05-22T06:33:00Z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