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212"/>
      </w:tblGrid>
      <w:tr w:rsidR="002D4C17" w:rsidRPr="00295A80" w14:paraId="50501811" w14:textId="77777777" w:rsidTr="00C63D38">
        <w:tc>
          <w:tcPr>
            <w:tcW w:w="9212" w:type="dxa"/>
            <w:shd w:val="clear" w:color="auto" w:fill="C2D69B" w:themeFill="accent3" w:themeFillTint="99"/>
            <w:vAlign w:val="center"/>
          </w:tcPr>
          <w:p w14:paraId="550C34BD" w14:textId="5889A7D4" w:rsidR="002D4C17" w:rsidRPr="00295A80" w:rsidRDefault="006669AB" w:rsidP="002D4C17">
            <w:pPr>
              <w:pStyle w:val="Akapitzlist"/>
              <w:numPr>
                <w:ilvl w:val="0"/>
                <w:numId w:val="47"/>
              </w:numPr>
              <w:ind w:hanging="720"/>
              <w:jc w:val="both"/>
              <w:rPr>
                <w:rFonts w:ascii="Convection" w:hAnsi="Convection"/>
                <w:sz w:val="20"/>
                <w:szCs w:val="20"/>
              </w:rPr>
            </w:pPr>
            <w:r>
              <w:rPr>
                <w:rFonts w:ascii="Convection" w:hAnsi="Convection" w:cs="Calibri"/>
                <w:b/>
                <w:sz w:val="20"/>
                <w:szCs w:val="20"/>
              </w:rPr>
              <w:t>Specyfikacja wykonania dolnego źródła ciepła</w:t>
            </w:r>
          </w:p>
        </w:tc>
      </w:tr>
    </w:tbl>
    <w:p w14:paraId="2BB8231D" w14:textId="77777777" w:rsidR="002D4C17" w:rsidRPr="00295A80" w:rsidRDefault="002D4C17" w:rsidP="002D4C17">
      <w:pPr>
        <w:pStyle w:val="Standard"/>
        <w:spacing w:after="0"/>
        <w:jc w:val="center"/>
        <w:rPr>
          <w:rFonts w:ascii="Convection" w:hAnsi="Convection" w:cs="Calibri"/>
          <w:b/>
          <w:sz w:val="20"/>
          <w:szCs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5B3D3294" w14:textId="77777777" w:rsidTr="00C63D38">
        <w:tc>
          <w:tcPr>
            <w:tcW w:w="9212" w:type="dxa"/>
            <w:shd w:val="clear" w:color="auto" w:fill="EAF1DD" w:themeFill="accent3" w:themeFillTint="33"/>
          </w:tcPr>
          <w:p w14:paraId="5227C854" w14:textId="77777777" w:rsidR="002D4C17" w:rsidRPr="00295A80" w:rsidRDefault="002D4C17" w:rsidP="002D4C17">
            <w:pPr>
              <w:pStyle w:val="Akapitzlist"/>
              <w:numPr>
                <w:ilvl w:val="0"/>
                <w:numId w:val="48"/>
              </w:numPr>
              <w:ind w:hanging="720"/>
              <w:jc w:val="both"/>
              <w:rPr>
                <w:rFonts w:ascii="Convection" w:hAnsi="Convection"/>
                <w:sz w:val="20"/>
                <w:szCs w:val="20"/>
              </w:rPr>
            </w:pPr>
            <w:r w:rsidRPr="00295A80">
              <w:rPr>
                <w:rFonts w:ascii="Convection" w:hAnsi="Convection"/>
                <w:b/>
                <w:sz w:val="20"/>
                <w:szCs w:val="20"/>
              </w:rPr>
              <w:t>Wymienniki pionowe (sondy)</w:t>
            </w:r>
          </w:p>
        </w:tc>
      </w:tr>
    </w:tbl>
    <w:p w14:paraId="4AF1A10E" w14:textId="77777777" w:rsidR="00801876" w:rsidRPr="00641069" w:rsidRDefault="00801876" w:rsidP="00801876">
      <w:pPr>
        <w:rPr>
          <w:rFonts w:ascii="Convection" w:hAnsi="Convection"/>
        </w:rPr>
      </w:pPr>
    </w:p>
    <w:p w14:paraId="02C84125" w14:textId="33F859E4" w:rsidR="00641069" w:rsidRDefault="00801876" w:rsidP="00801876">
      <w:pPr>
        <w:jc w:val="both"/>
        <w:rPr>
          <w:rFonts w:ascii="Convection" w:hAnsi="Convection"/>
        </w:rPr>
      </w:pPr>
      <w:r w:rsidRPr="00641069">
        <w:rPr>
          <w:rFonts w:ascii="Convection" w:hAnsi="Convection"/>
        </w:rPr>
        <w:t>Projektuje się system Dolnych Źródeł w oparciu o gruntowe wymienniki pionowe - układ równoległych względem siebie dwóch przewodów rurowych, umieszczonych wertykalnie w odwiercie, połączonych hydraulicznie w dolnej części U-kształtną  głowicą geotermalną.</w:t>
      </w:r>
    </w:p>
    <w:tbl>
      <w:tblPr>
        <w:tblStyle w:val="Tabela-Siatka"/>
        <w:tblW w:w="8931" w:type="dxa"/>
        <w:jc w:val="center"/>
        <w:tblLayout w:type="fixed"/>
        <w:tblLook w:val="04A0" w:firstRow="1" w:lastRow="0" w:firstColumn="1" w:lastColumn="0" w:noHBand="0" w:noVBand="1"/>
      </w:tblPr>
      <w:tblGrid>
        <w:gridCol w:w="567"/>
        <w:gridCol w:w="4395"/>
        <w:gridCol w:w="1981"/>
        <w:gridCol w:w="1988"/>
      </w:tblGrid>
      <w:tr w:rsidR="00801876" w14:paraId="2B1B8331" w14:textId="77777777" w:rsidTr="00641069">
        <w:trPr>
          <w:trHeight w:val="340"/>
          <w:jc w:val="center"/>
        </w:trPr>
        <w:tc>
          <w:tcPr>
            <w:tcW w:w="567" w:type="dxa"/>
            <w:vAlign w:val="center"/>
          </w:tcPr>
          <w:p w14:paraId="5777CE81" w14:textId="77777777" w:rsidR="00801876" w:rsidRPr="00C7414E" w:rsidRDefault="00801876" w:rsidP="009F6F2F">
            <w:pPr>
              <w:jc w:val="center"/>
              <w:rPr>
                <w:rFonts w:ascii="Arial Narrow" w:hAnsi="Arial Narrow"/>
                <w:sz w:val="20"/>
                <w:szCs w:val="20"/>
              </w:rPr>
            </w:pPr>
            <w:r w:rsidRPr="00C7414E">
              <w:rPr>
                <w:rFonts w:ascii="Arial Narrow" w:hAnsi="Arial Narrow"/>
                <w:sz w:val="20"/>
                <w:szCs w:val="20"/>
              </w:rPr>
              <w:t>1.</w:t>
            </w:r>
          </w:p>
        </w:tc>
        <w:tc>
          <w:tcPr>
            <w:tcW w:w="4395" w:type="dxa"/>
            <w:vAlign w:val="center"/>
          </w:tcPr>
          <w:p w14:paraId="2A3A0F32" w14:textId="77777777" w:rsidR="00801876" w:rsidRPr="00C7414E" w:rsidRDefault="00801876" w:rsidP="009631E4">
            <w:pPr>
              <w:jc w:val="right"/>
              <w:rPr>
                <w:rFonts w:ascii="Arial Narrow" w:hAnsi="Arial Narrow"/>
                <w:sz w:val="20"/>
                <w:szCs w:val="20"/>
              </w:rPr>
            </w:pPr>
            <w:r w:rsidRPr="00C7414E">
              <w:rPr>
                <w:rFonts w:ascii="Arial Narrow" w:hAnsi="Arial Narrow"/>
                <w:sz w:val="20"/>
                <w:szCs w:val="20"/>
              </w:rPr>
              <w:t>Materiał  wymiennika gruntowego:</w:t>
            </w:r>
          </w:p>
        </w:tc>
        <w:tc>
          <w:tcPr>
            <w:tcW w:w="3969" w:type="dxa"/>
            <w:gridSpan w:val="2"/>
            <w:vAlign w:val="center"/>
          </w:tcPr>
          <w:p w14:paraId="1065C3F7" w14:textId="44A647FC" w:rsidR="00801876" w:rsidRPr="00C7414E" w:rsidRDefault="00801876" w:rsidP="00641069">
            <w:pPr>
              <w:rPr>
                <w:rFonts w:ascii="Arial Narrow" w:hAnsi="Arial Narrow"/>
                <w:sz w:val="20"/>
                <w:szCs w:val="20"/>
              </w:rPr>
            </w:pPr>
            <w:r w:rsidRPr="00C7414E">
              <w:rPr>
                <w:rFonts w:ascii="Arial Narrow" w:hAnsi="Arial Narrow"/>
                <w:sz w:val="20"/>
                <w:szCs w:val="20"/>
              </w:rPr>
              <w:t>monolityczny HDPE 100 RC</w:t>
            </w:r>
          </w:p>
        </w:tc>
      </w:tr>
      <w:tr w:rsidR="00801876" w14:paraId="72CF0FB9" w14:textId="77777777" w:rsidTr="00641069">
        <w:trPr>
          <w:trHeight w:val="340"/>
          <w:jc w:val="center"/>
        </w:trPr>
        <w:tc>
          <w:tcPr>
            <w:tcW w:w="567" w:type="dxa"/>
            <w:vAlign w:val="center"/>
          </w:tcPr>
          <w:p w14:paraId="5984CBEF" w14:textId="77777777" w:rsidR="00801876" w:rsidRPr="00C7414E" w:rsidRDefault="00801876" w:rsidP="009F6F2F">
            <w:pPr>
              <w:jc w:val="center"/>
              <w:rPr>
                <w:rFonts w:ascii="Arial Narrow" w:hAnsi="Arial Narrow"/>
                <w:sz w:val="20"/>
                <w:szCs w:val="20"/>
              </w:rPr>
            </w:pPr>
            <w:r w:rsidRPr="00C7414E">
              <w:rPr>
                <w:rFonts w:ascii="Arial Narrow" w:hAnsi="Arial Narrow"/>
                <w:sz w:val="20"/>
                <w:szCs w:val="20"/>
              </w:rPr>
              <w:t>2.</w:t>
            </w:r>
          </w:p>
        </w:tc>
        <w:tc>
          <w:tcPr>
            <w:tcW w:w="4395" w:type="dxa"/>
            <w:vAlign w:val="center"/>
          </w:tcPr>
          <w:p w14:paraId="5690878F" w14:textId="77777777" w:rsidR="00801876" w:rsidRPr="00FA4468" w:rsidRDefault="00801876" w:rsidP="009631E4">
            <w:pPr>
              <w:jc w:val="right"/>
              <w:rPr>
                <w:rFonts w:ascii="Arial Narrow" w:hAnsi="Arial Narrow"/>
                <w:b/>
                <w:sz w:val="20"/>
                <w:szCs w:val="20"/>
              </w:rPr>
            </w:pPr>
            <w:r w:rsidRPr="00FA4468">
              <w:rPr>
                <w:rFonts w:ascii="Arial Narrow" w:hAnsi="Arial Narrow"/>
                <w:b/>
                <w:sz w:val="20"/>
                <w:szCs w:val="20"/>
              </w:rPr>
              <w:t>Rodzaj głowicy geotermalnej:</w:t>
            </w:r>
          </w:p>
        </w:tc>
        <w:tc>
          <w:tcPr>
            <w:tcW w:w="3969" w:type="dxa"/>
            <w:gridSpan w:val="2"/>
            <w:vAlign w:val="center"/>
          </w:tcPr>
          <w:p w14:paraId="01AD5CD5" w14:textId="4E81D2F0" w:rsidR="00801876" w:rsidRPr="00B224D6" w:rsidRDefault="00801876" w:rsidP="00641069">
            <w:pPr>
              <w:rPr>
                <w:rFonts w:ascii="Arial Narrow" w:hAnsi="Arial Narrow"/>
                <w:b/>
                <w:sz w:val="20"/>
                <w:szCs w:val="20"/>
                <w:u w:val="single"/>
              </w:rPr>
            </w:pPr>
            <w:r w:rsidRPr="00B224D6">
              <w:rPr>
                <w:rFonts w:ascii="Arial Narrow" w:hAnsi="Arial Narrow"/>
                <w:b/>
                <w:sz w:val="20"/>
                <w:szCs w:val="20"/>
                <w:u w:val="single"/>
              </w:rPr>
              <w:t>elektrooporowy U-kształt HDPE 100 RC</w:t>
            </w:r>
          </w:p>
        </w:tc>
      </w:tr>
      <w:tr w:rsidR="00801876" w14:paraId="66E1F3E8" w14:textId="77777777" w:rsidTr="00641069">
        <w:trPr>
          <w:trHeight w:val="340"/>
          <w:jc w:val="center"/>
        </w:trPr>
        <w:tc>
          <w:tcPr>
            <w:tcW w:w="567" w:type="dxa"/>
            <w:vAlign w:val="center"/>
          </w:tcPr>
          <w:p w14:paraId="0C9B1CD4" w14:textId="77777777" w:rsidR="00801876" w:rsidRPr="00C7414E" w:rsidRDefault="00801876" w:rsidP="009F6F2F">
            <w:pPr>
              <w:jc w:val="center"/>
              <w:rPr>
                <w:rFonts w:ascii="Arial Narrow" w:hAnsi="Arial Narrow"/>
                <w:sz w:val="20"/>
                <w:szCs w:val="20"/>
              </w:rPr>
            </w:pPr>
            <w:r w:rsidRPr="00C7414E">
              <w:rPr>
                <w:rFonts w:ascii="Arial Narrow" w:hAnsi="Arial Narrow"/>
                <w:sz w:val="20"/>
                <w:szCs w:val="20"/>
              </w:rPr>
              <w:t>3.</w:t>
            </w:r>
          </w:p>
        </w:tc>
        <w:tc>
          <w:tcPr>
            <w:tcW w:w="4395" w:type="dxa"/>
            <w:vAlign w:val="center"/>
          </w:tcPr>
          <w:p w14:paraId="35ADBBB8" w14:textId="77777777" w:rsidR="00801876" w:rsidRPr="00FA4468" w:rsidRDefault="00801876" w:rsidP="009631E4">
            <w:pPr>
              <w:ind w:hanging="34"/>
              <w:jc w:val="right"/>
              <w:rPr>
                <w:rFonts w:ascii="Arial Narrow" w:hAnsi="Arial Narrow"/>
                <w:b/>
                <w:sz w:val="20"/>
                <w:szCs w:val="20"/>
              </w:rPr>
            </w:pPr>
            <w:r w:rsidRPr="00FA4468">
              <w:rPr>
                <w:rFonts w:ascii="Arial Narrow" w:hAnsi="Arial Narrow"/>
                <w:b/>
                <w:sz w:val="20"/>
                <w:szCs w:val="20"/>
              </w:rPr>
              <w:t>Łączenie głowicy geotermalnej z przewodami wymiennik:</w:t>
            </w:r>
          </w:p>
        </w:tc>
        <w:tc>
          <w:tcPr>
            <w:tcW w:w="3969" w:type="dxa"/>
            <w:gridSpan w:val="2"/>
            <w:vAlign w:val="center"/>
          </w:tcPr>
          <w:p w14:paraId="65075F5A" w14:textId="77777777" w:rsidR="00801876" w:rsidRPr="00FA4468" w:rsidRDefault="00801876" w:rsidP="00641069">
            <w:pPr>
              <w:rPr>
                <w:rFonts w:ascii="Arial Narrow" w:hAnsi="Arial Narrow"/>
                <w:b/>
                <w:sz w:val="20"/>
                <w:szCs w:val="20"/>
              </w:rPr>
            </w:pPr>
            <w:r w:rsidRPr="00FA4468">
              <w:rPr>
                <w:rFonts w:ascii="Arial Narrow" w:hAnsi="Arial Narrow"/>
                <w:b/>
                <w:sz w:val="20"/>
                <w:szCs w:val="20"/>
              </w:rPr>
              <w:t>zgrzew elektrooporowy</w:t>
            </w:r>
          </w:p>
        </w:tc>
      </w:tr>
      <w:tr w:rsidR="00801876" w14:paraId="6805286E" w14:textId="77777777" w:rsidTr="00641069">
        <w:trPr>
          <w:trHeight w:val="340"/>
          <w:jc w:val="center"/>
        </w:trPr>
        <w:tc>
          <w:tcPr>
            <w:tcW w:w="567" w:type="dxa"/>
            <w:vAlign w:val="center"/>
          </w:tcPr>
          <w:p w14:paraId="055700EC" w14:textId="77777777" w:rsidR="00801876" w:rsidRPr="00C7414E" w:rsidRDefault="00801876" w:rsidP="009F6F2F">
            <w:pPr>
              <w:jc w:val="center"/>
              <w:rPr>
                <w:rFonts w:ascii="Arial Narrow" w:hAnsi="Arial Narrow"/>
                <w:sz w:val="20"/>
                <w:szCs w:val="20"/>
              </w:rPr>
            </w:pPr>
            <w:r w:rsidRPr="00C7414E">
              <w:rPr>
                <w:rFonts w:ascii="Arial Narrow" w:hAnsi="Arial Narrow"/>
                <w:sz w:val="20"/>
                <w:szCs w:val="20"/>
              </w:rPr>
              <w:t>4.</w:t>
            </w:r>
          </w:p>
        </w:tc>
        <w:tc>
          <w:tcPr>
            <w:tcW w:w="4395" w:type="dxa"/>
            <w:vAlign w:val="center"/>
          </w:tcPr>
          <w:p w14:paraId="75CB17F3" w14:textId="77777777" w:rsidR="00801876" w:rsidRPr="00FA4468" w:rsidRDefault="00801876" w:rsidP="009631E4">
            <w:pPr>
              <w:jc w:val="right"/>
              <w:rPr>
                <w:rFonts w:ascii="Arial Narrow" w:hAnsi="Arial Narrow"/>
                <w:b/>
                <w:sz w:val="20"/>
                <w:szCs w:val="20"/>
              </w:rPr>
            </w:pPr>
            <w:r w:rsidRPr="00FA4468">
              <w:rPr>
                <w:rFonts w:ascii="Arial Narrow" w:hAnsi="Arial Narrow"/>
                <w:b/>
                <w:sz w:val="20"/>
                <w:szCs w:val="20"/>
              </w:rPr>
              <w:t>Łączenie sond z Rurami Rozprowadzającymi (RR):</w:t>
            </w:r>
          </w:p>
        </w:tc>
        <w:tc>
          <w:tcPr>
            <w:tcW w:w="3969" w:type="dxa"/>
            <w:gridSpan w:val="2"/>
            <w:vAlign w:val="center"/>
          </w:tcPr>
          <w:p w14:paraId="0B62CAA7" w14:textId="77777777" w:rsidR="00801876" w:rsidRPr="00FA4468" w:rsidRDefault="00801876" w:rsidP="00641069">
            <w:pPr>
              <w:rPr>
                <w:rFonts w:ascii="Arial Narrow" w:hAnsi="Arial Narrow"/>
                <w:b/>
                <w:sz w:val="20"/>
                <w:szCs w:val="20"/>
              </w:rPr>
            </w:pPr>
            <w:r w:rsidRPr="00FA4468">
              <w:rPr>
                <w:rFonts w:ascii="Arial Narrow" w:hAnsi="Arial Narrow"/>
                <w:b/>
                <w:sz w:val="20"/>
                <w:szCs w:val="20"/>
              </w:rPr>
              <w:t>zgrzew elektrooporowy</w:t>
            </w:r>
          </w:p>
        </w:tc>
      </w:tr>
      <w:tr w:rsidR="00801876" w14:paraId="526B0BEA" w14:textId="77777777" w:rsidTr="00641069">
        <w:trPr>
          <w:trHeight w:val="340"/>
          <w:jc w:val="center"/>
        </w:trPr>
        <w:tc>
          <w:tcPr>
            <w:tcW w:w="567" w:type="dxa"/>
          </w:tcPr>
          <w:p w14:paraId="28ECF3E8" w14:textId="77777777" w:rsidR="00801876" w:rsidRPr="00C7414E" w:rsidRDefault="00801876" w:rsidP="009F6F2F">
            <w:pPr>
              <w:jc w:val="center"/>
              <w:rPr>
                <w:rFonts w:ascii="Arial Narrow" w:hAnsi="Arial Narrow"/>
                <w:sz w:val="20"/>
                <w:szCs w:val="20"/>
              </w:rPr>
            </w:pPr>
            <w:r>
              <w:rPr>
                <w:rFonts w:ascii="Arial Narrow" w:hAnsi="Arial Narrow"/>
                <w:sz w:val="20"/>
                <w:szCs w:val="20"/>
              </w:rPr>
              <w:t>5</w:t>
            </w:r>
            <w:r w:rsidRPr="00C7414E">
              <w:rPr>
                <w:rFonts w:ascii="Arial Narrow" w:hAnsi="Arial Narrow"/>
                <w:sz w:val="20"/>
                <w:szCs w:val="20"/>
              </w:rPr>
              <w:t>.</w:t>
            </w:r>
          </w:p>
        </w:tc>
        <w:tc>
          <w:tcPr>
            <w:tcW w:w="4395" w:type="dxa"/>
          </w:tcPr>
          <w:p w14:paraId="2555CCFF" w14:textId="77777777" w:rsidR="00801876" w:rsidRPr="00C7414E" w:rsidRDefault="00801876" w:rsidP="009631E4">
            <w:pPr>
              <w:jc w:val="right"/>
              <w:rPr>
                <w:rFonts w:ascii="Arial Narrow" w:hAnsi="Arial Narrow"/>
                <w:sz w:val="20"/>
                <w:szCs w:val="20"/>
              </w:rPr>
            </w:pPr>
            <w:r>
              <w:rPr>
                <w:rFonts w:ascii="Arial Narrow" w:hAnsi="Arial Narrow"/>
                <w:sz w:val="20"/>
                <w:szCs w:val="20"/>
              </w:rPr>
              <w:t>Ilość wymienników (sond):</w:t>
            </w:r>
          </w:p>
        </w:tc>
        <w:tc>
          <w:tcPr>
            <w:tcW w:w="1981" w:type="dxa"/>
            <w:shd w:val="clear" w:color="auto" w:fill="EAF1DD" w:themeFill="accent3" w:themeFillTint="33"/>
            <w:vAlign w:val="center"/>
          </w:tcPr>
          <w:p w14:paraId="67A61193" w14:textId="6F4AC1DC" w:rsidR="00801876" w:rsidRPr="00052B82" w:rsidRDefault="006669AB" w:rsidP="00641069">
            <w:pPr>
              <w:jc w:val="center"/>
              <w:rPr>
                <w:rFonts w:ascii="Arial Narrow" w:hAnsi="Arial Narrow"/>
                <w:b/>
                <w:color w:val="943634" w:themeColor="accent2" w:themeShade="BF"/>
                <w:sz w:val="20"/>
                <w:szCs w:val="20"/>
              </w:rPr>
            </w:pPr>
            <w:r>
              <w:rPr>
                <w:rFonts w:ascii="Arial Narrow" w:hAnsi="Arial Narrow"/>
                <w:b/>
                <w:color w:val="943634" w:themeColor="accent2" w:themeShade="BF"/>
                <w:sz w:val="20"/>
                <w:szCs w:val="20"/>
              </w:rPr>
              <w:t>90</w:t>
            </w:r>
          </w:p>
        </w:tc>
        <w:tc>
          <w:tcPr>
            <w:tcW w:w="1988" w:type="dxa"/>
            <w:vAlign w:val="center"/>
          </w:tcPr>
          <w:p w14:paraId="68FD246B" w14:textId="77777777" w:rsidR="00801876" w:rsidRPr="00C7414E" w:rsidRDefault="00801876" w:rsidP="00641069">
            <w:pPr>
              <w:jc w:val="center"/>
              <w:rPr>
                <w:rFonts w:ascii="Arial Narrow" w:hAnsi="Arial Narrow"/>
                <w:sz w:val="20"/>
                <w:szCs w:val="20"/>
              </w:rPr>
            </w:pPr>
            <w:r>
              <w:rPr>
                <w:rFonts w:ascii="Arial Narrow" w:hAnsi="Arial Narrow"/>
                <w:sz w:val="20"/>
                <w:szCs w:val="20"/>
              </w:rPr>
              <w:t>[szt.]</w:t>
            </w:r>
          </w:p>
        </w:tc>
      </w:tr>
      <w:tr w:rsidR="00801876" w14:paraId="264FFA05" w14:textId="77777777" w:rsidTr="00641069">
        <w:trPr>
          <w:trHeight w:val="340"/>
          <w:jc w:val="center"/>
        </w:trPr>
        <w:tc>
          <w:tcPr>
            <w:tcW w:w="567" w:type="dxa"/>
          </w:tcPr>
          <w:p w14:paraId="6FB4F130" w14:textId="77777777" w:rsidR="00801876" w:rsidRPr="00C7414E" w:rsidRDefault="00801876" w:rsidP="009F6F2F">
            <w:pPr>
              <w:jc w:val="center"/>
              <w:rPr>
                <w:rFonts w:ascii="Arial Narrow" w:hAnsi="Arial Narrow"/>
                <w:sz w:val="20"/>
                <w:szCs w:val="20"/>
              </w:rPr>
            </w:pPr>
            <w:r>
              <w:rPr>
                <w:rFonts w:ascii="Arial Narrow" w:hAnsi="Arial Narrow"/>
                <w:sz w:val="20"/>
                <w:szCs w:val="20"/>
              </w:rPr>
              <w:t>6</w:t>
            </w:r>
            <w:r w:rsidRPr="00C7414E">
              <w:rPr>
                <w:rFonts w:ascii="Arial Narrow" w:hAnsi="Arial Narrow"/>
                <w:sz w:val="20"/>
                <w:szCs w:val="20"/>
              </w:rPr>
              <w:t>.</w:t>
            </w:r>
          </w:p>
        </w:tc>
        <w:tc>
          <w:tcPr>
            <w:tcW w:w="4395" w:type="dxa"/>
          </w:tcPr>
          <w:p w14:paraId="0B95AED5" w14:textId="77777777" w:rsidR="00801876" w:rsidRPr="00C7414E" w:rsidRDefault="00801876" w:rsidP="009631E4">
            <w:pPr>
              <w:jc w:val="right"/>
              <w:rPr>
                <w:rFonts w:ascii="Arial Narrow" w:hAnsi="Arial Narrow"/>
                <w:sz w:val="20"/>
                <w:szCs w:val="20"/>
              </w:rPr>
            </w:pPr>
            <w:r>
              <w:rPr>
                <w:rFonts w:ascii="Arial Narrow" w:hAnsi="Arial Narrow"/>
                <w:sz w:val="20"/>
                <w:szCs w:val="20"/>
              </w:rPr>
              <w:t>Długość wymienników (sond):</w:t>
            </w:r>
          </w:p>
        </w:tc>
        <w:tc>
          <w:tcPr>
            <w:tcW w:w="1981" w:type="dxa"/>
            <w:shd w:val="clear" w:color="auto" w:fill="EAF1DD" w:themeFill="accent3" w:themeFillTint="33"/>
            <w:vAlign w:val="center"/>
          </w:tcPr>
          <w:p w14:paraId="0860E68B" w14:textId="74D2E306" w:rsidR="00801876" w:rsidRPr="00052B82" w:rsidRDefault="006669AB" w:rsidP="00641069">
            <w:pPr>
              <w:jc w:val="center"/>
              <w:rPr>
                <w:rFonts w:ascii="Arial Narrow" w:hAnsi="Arial Narrow"/>
                <w:b/>
                <w:color w:val="943634" w:themeColor="accent2" w:themeShade="BF"/>
                <w:sz w:val="20"/>
                <w:szCs w:val="20"/>
              </w:rPr>
            </w:pPr>
            <w:r>
              <w:rPr>
                <w:rFonts w:ascii="Arial Narrow" w:hAnsi="Arial Narrow"/>
                <w:b/>
                <w:color w:val="943634" w:themeColor="accent2" w:themeShade="BF"/>
                <w:sz w:val="20"/>
                <w:szCs w:val="20"/>
              </w:rPr>
              <w:t>100</w:t>
            </w:r>
          </w:p>
        </w:tc>
        <w:tc>
          <w:tcPr>
            <w:tcW w:w="1988" w:type="dxa"/>
            <w:vAlign w:val="center"/>
          </w:tcPr>
          <w:p w14:paraId="087908B7" w14:textId="77777777" w:rsidR="00801876" w:rsidRPr="00C7414E" w:rsidRDefault="00801876" w:rsidP="00641069">
            <w:pPr>
              <w:jc w:val="center"/>
              <w:rPr>
                <w:rFonts w:ascii="Arial Narrow" w:hAnsi="Arial Narrow"/>
                <w:sz w:val="20"/>
                <w:szCs w:val="20"/>
              </w:rPr>
            </w:pPr>
            <w:r>
              <w:rPr>
                <w:rFonts w:ascii="Arial Narrow" w:hAnsi="Arial Narrow"/>
                <w:sz w:val="20"/>
                <w:szCs w:val="20"/>
              </w:rPr>
              <w:t>[m]</w:t>
            </w:r>
          </w:p>
        </w:tc>
      </w:tr>
      <w:tr w:rsidR="00801876" w14:paraId="1E84A23A" w14:textId="77777777" w:rsidTr="00641069">
        <w:trPr>
          <w:trHeight w:val="340"/>
          <w:jc w:val="center"/>
        </w:trPr>
        <w:tc>
          <w:tcPr>
            <w:tcW w:w="567" w:type="dxa"/>
          </w:tcPr>
          <w:p w14:paraId="65376BBA" w14:textId="77777777" w:rsidR="00801876" w:rsidRPr="00C7414E" w:rsidRDefault="00801876" w:rsidP="009F6F2F">
            <w:pPr>
              <w:jc w:val="center"/>
              <w:rPr>
                <w:rFonts w:ascii="Arial Narrow" w:hAnsi="Arial Narrow"/>
                <w:sz w:val="20"/>
                <w:szCs w:val="20"/>
              </w:rPr>
            </w:pPr>
            <w:r>
              <w:rPr>
                <w:rFonts w:ascii="Arial Narrow" w:hAnsi="Arial Narrow"/>
                <w:sz w:val="20"/>
                <w:szCs w:val="20"/>
              </w:rPr>
              <w:t>7</w:t>
            </w:r>
            <w:r w:rsidRPr="00C7414E">
              <w:rPr>
                <w:rFonts w:ascii="Arial Narrow" w:hAnsi="Arial Narrow"/>
                <w:sz w:val="20"/>
                <w:szCs w:val="20"/>
              </w:rPr>
              <w:t>.</w:t>
            </w:r>
          </w:p>
        </w:tc>
        <w:tc>
          <w:tcPr>
            <w:tcW w:w="4395" w:type="dxa"/>
          </w:tcPr>
          <w:p w14:paraId="1A2CBD94" w14:textId="77777777" w:rsidR="00801876" w:rsidRPr="00C7414E" w:rsidRDefault="00801876" w:rsidP="009631E4">
            <w:pPr>
              <w:ind w:hanging="34"/>
              <w:jc w:val="right"/>
              <w:rPr>
                <w:rFonts w:ascii="Arial Narrow" w:hAnsi="Arial Narrow"/>
                <w:sz w:val="20"/>
                <w:szCs w:val="20"/>
              </w:rPr>
            </w:pPr>
            <w:r>
              <w:rPr>
                <w:rFonts w:ascii="Arial Narrow" w:hAnsi="Arial Narrow"/>
                <w:sz w:val="20"/>
                <w:szCs w:val="20"/>
              </w:rPr>
              <w:t>Odległość między wymiennikami (sondami):</w:t>
            </w:r>
          </w:p>
        </w:tc>
        <w:tc>
          <w:tcPr>
            <w:tcW w:w="1981" w:type="dxa"/>
            <w:shd w:val="clear" w:color="auto" w:fill="EAF1DD" w:themeFill="accent3" w:themeFillTint="33"/>
            <w:vAlign w:val="center"/>
          </w:tcPr>
          <w:p w14:paraId="417185AC" w14:textId="65AF6ACE" w:rsidR="00801876" w:rsidRPr="00052B82" w:rsidRDefault="006669AB" w:rsidP="00641069">
            <w:pPr>
              <w:jc w:val="center"/>
              <w:rPr>
                <w:rFonts w:ascii="Arial Narrow" w:hAnsi="Arial Narrow"/>
                <w:b/>
                <w:color w:val="943634" w:themeColor="accent2" w:themeShade="BF"/>
                <w:sz w:val="20"/>
                <w:szCs w:val="20"/>
              </w:rPr>
            </w:pPr>
            <w:r>
              <w:rPr>
                <w:rFonts w:ascii="Arial Narrow" w:hAnsi="Arial Narrow"/>
                <w:b/>
                <w:color w:val="943634" w:themeColor="accent2" w:themeShade="BF"/>
                <w:sz w:val="20"/>
                <w:szCs w:val="20"/>
              </w:rPr>
              <w:t>8</w:t>
            </w:r>
          </w:p>
        </w:tc>
        <w:tc>
          <w:tcPr>
            <w:tcW w:w="1988" w:type="dxa"/>
            <w:vAlign w:val="center"/>
          </w:tcPr>
          <w:p w14:paraId="3B21E616" w14:textId="77777777" w:rsidR="00801876" w:rsidRPr="00C7414E" w:rsidRDefault="00801876" w:rsidP="00641069">
            <w:pPr>
              <w:jc w:val="center"/>
              <w:rPr>
                <w:rFonts w:ascii="Arial Narrow" w:hAnsi="Arial Narrow"/>
                <w:sz w:val="20"/>
                <w:szCs w:val="20"/>
              </w:rPr>
            </w:pPr>
            <w:r>
              <w:rPr>
                <w:rFonts w:ascii="Arial Narrow" w:hAnsi="Arial Narrow"/>
                <w:sz w:val="20"/>
                <w:szCs w:val="20"/>
              </w:rPr>
              <w:t>[m]</w:t>
            </w:r>
          </w:p>
        </w:tc>
      </w:tr>
      <w:tr w:rsidR="00801876" w14:paraId="6C2D722E" w14:textId="77777777" w:rsidTr="00641069">
        <w:trPr>
          <w:trHeight w:val="340"/>
          <w:jc w:val="center"/>
        </w:trPr>
        <w:tc>
          <w:tcPr>
            <w:tcW w:w="567" w:type="dxa"/>
          </w:tcPr>
          <w:p w14:paraId="61504271" w14:textId="77777777" w:rsidR="00801876" w:rsidRPr="00C7414E" w:rsidRDefault="00801876" w:rsidP="009F6F2F">
            <w:pPr>
              <w:jc w:val="center"/>
              <w:rPr>
                <w:rFonts w:ascii="Arial Narrow" w:hAnsi="Arial Narrow"/>
                <w:sz w:val="20"/>
                <w:szCs w:val="20"/>
              </w:rPr>
            </w:pPr>
            <w:r>
              <w:rPr>
                <w:rFonts w:ascii="Arial Narrow" w:hAnsi="Arial Narrow"/>
                <w:sz w:val="20"/>
                <w:szCs w:val="20"/>
              </w:rPr>
              <w:t>8</w:t>
            </w:r>
            <w:r w:rsidRPr="00C7414E">
              <w:rPr>
                <w:rFonts w:ascii="Arial Narrow" w:hAnsi="Arial Narrow"/>
                <w:sz w:val="20"/>
                <w:szCs w:val="20"/>
              </w:rPr>
              <w:t>.</w:t>
            </w:r>
          </w:p>
        </w:tc>
        <w:tc>
          <w:tcPr>
            <w:tcW w:w="4395" w:type="dxa"/>
          </w:tcPr>
          <w:p w14:paraId="5F11CBCE" w14:textId="77777777" w:rsidR="00801876" w:rsidRPr="00C7414E" w:rsidRDefault="00801876" w:rsidP="009631E4">
            <w:pPr>
              <w:jc w:val="right"/>
              <w:rPr>
                <w:rFonts w:ascii="Arial Narrow" w:hAnsi="Arial Narrow"/>
                <w:sz w:val="20"/>
                <w:szCs w:val="20"/>
              </w:rPr>
            </w:pPr>
            <w:r>
              <w:rPr>
                <w:rFonts w:ascii="Arial Narrow" w:hAnsi="Arial Narrow"/>
                <w:sz w:val="20"/>
                <w:szCs w:val="20"/>
              </w:rPr>
              <w:t>Średnica przewodów rurowych wymiennika:</w:t>
            </w:r>
          </w:p>
        </w:tc>
        <w:tc>
          <w:tcPr>
            <w:tcW w:w="1981" w:type="dxa"/>
            <w:shd w:val="clear" w:color="auto" w:fill="EAF1DD" w:themeFill="accent3" w:themeFillTint="33"/>
            <w:vAlign w:val="center"/>
          </w:tcPr>
          <w:p w14:paraId="48C4871C" w14:textId="66D0953F" w:rsidR="00801876" w:rsidRPr="00052B82" w:rsidRDefault="006669AB" w:rsidP="00641069">
            <w:pPr>
              <w:jc w:val="center"/>
              <w:rPr>
                <w:rFonts w:ascii="Arial Narrow" w:hAnsi="Arial Narrow"/>
                <w:b/>
                <w:color w:val="943634" w:themeColor="accent2" w:themeShade="BF"/>
                <w:sz w:val="20"/>
                <w:szCs w:val="20"/>
              </w:rPr>
            </w:pPr>
            <w:r>
              <w:rPr>
                <w:rFonts w:ascii="Arial Narrow" w:hAnsi="Arial Narrow"/>
                <w:b/>
                <w:color w:val="943634" w:themeColor="accent2" w:themeShade="BF"/>
                <w:sz w:val="20"/>
                <w:szCs w:val="20"/>
              </w:rPr>
              <w:t>40x3,0</w:t>
            </w:r>
          </w:p>
        </w:tc>
        <w:tc>
          <w:tcPr>
            <w:tcW w:w="1988" w:type="dxa"/>
            <w:vAlign w:val="center"/>
          </w:tcPr>
          <w:p w14:paraId="36801EE1" w14:textId="77777777" w:rsidR="00801876" w:rsidRPr="00C7414E" w:rsidRDefault="00801876" w:rsidP="00641069">
            <w:pPr>
              <w:jc w:val="center"/>
              <w:rPr>
                <w:rFonts w:ascii="Arial Narrow" w:hAnsi="Arial Narrow"/>
                <w:sz w:val="20"/>
                <w:szCs w:val="20"/>
              </w:rPr>
            </w:pPr>
            <w:r>
              <w:rPr>
                <w:rFonts w:ascii="Arial Narrow" w:hAnsi="Arial Narrow"/>
                <w:sz w:val="20"/>
                <w:szCs w:val="20"/>
              </w:rPr>
              <w:t>[mm]</w:t>
            </w:r>
          </w:p>
        </w:tc>
      </w:tr>
      <w:tr w:rsidR="00801876" w14:paraId="6BB7E7E7" w14:textId="77777777" w:rsidTr="00641069">
        <w:trPr>
          <w:trHeight w:val="340"/>
          <w:jc w:val="center"/>
        </w:trPr>
        <w:tc>
          <w:tcPr>
            <w:tcW w:w="567" w:type="dxa"/>
          </w:tcPr>
          <w:p w14:paraId="268243C0" w14:textId="77777777" w:rsidR="00801876" w:rsidRPr="00C7414E" w:rsidRDefault="00801876" w:rsidP="009F6F2F">
            <w:pPr>
              <w:jc w:val="center"/>
              <w:rPr>
                <w:rFonts w:ascii="Arial Narrow" w:hAnsi="Arial Narrow"/>
                <w:sz w:val="20"/>
                <w:szCs w:val="20"/>
              </w:rPr>
            </w:pPr>
            <w:r>
              <w:rPr>
                <w:rFonts w:ascii="Arial Narrow" w:hAnsi="Arial Narrow"/>
                <w:sz w:val="20"/>
                <w:szCs w:val="20"/>
              </w:rPr>
              <w:t>9</w:t>
            </w:r>
            <w:r w:rsidRPr="00C7414E">
              <w:rPr>
                <w:rFonts w:ascii="Arial Narrow" w:hAnsi="Arial Narrow"/>
                <w:sz w:val="20"/>
                <w:szCs w:val="20"/>
              </w:rPr>
              <w:t>.</w:t>
            </w:r>
          </w:p>
        </w:tc>
        <w:tc>
          <w:tcPr>
            <w:tcW w:w="4395" w:type="dxa"/>
          </w:tcPr>
          <w:p w14:paraId="6E6DEC19" w14:textId="77777777" w:rsidR="00801876" w:rsidRPr="00C7414E" w:rsidRDefault="00801876" w:rsidP="009631E4">
            <w:pPr>
              <w:jc w:val="right"/>
              <w:rPr>
                <w:rFonts w:ascii="Arial Narrow" w:hAnsi="Arial Narrow"/>
                <w:sz w:val="20"/>
                <w:szCs w:val="20"/>
              </w:rPr>
            </w:pPr>
            <w:r>
              <w:rPr>
                <w:rFonts w:ascii="Arial Narrow" w:hAnsi="Arial Narrow"/>
                <w:sz w:val="20"/>
                <w:szCs w:val="20"/>
              </w:rPr>
              <w:t>Typoszereg ciśnieniowy PN:</w:t>
            </w:r>
            <w:r w:rsidR="005E10B5">
              <w:rPr>
                <w:rFonts w:ascii="Arial Narrow" w:hAnsi="Arial Narrow"/>
                <w:sz w:val="20"/>
                <w:szCs w:val="20"/>
              </w:rPr>
              <w:t>12,5</w:t>
            </w:r>
          </w:p>
        </w:tc>
        <w:tc>
          <w:tcPr>
            <w:tcW w:w="1981" w:type="dxa"/>
            <w:shd w:val="clear" w:color="auto" w:fill="EAF1DD" w:themeFill="accent3" w:themeFillTint="33"/>
            <w:vAlign w:val="center"/>
          </w:tcPr>
          <w:p w14:paraId="0A0762A3" w14:textId="6E77B32F" w:rsidR="00801876" w:rsidRPr="00052B82" w:rsidRDefault="006669AB" w:rsidP="00641069">
            <w:pPr>
              <w:jc w:val="center"/>
              <w:rPr>
                <w:rFonts w:ascii="Arial Narrow" w:hAnsi="Arial Narrow"/>
                <w:b/>
                <w:color w:val="943634" w:themeColor="accent2" w:themeShade="BF"/>
                <w:sz w:val="20"/>
                <w:szCs w:val="20"/>
              </w:rPr>
            </w:pPr>
            <w:r>
              <w:rPr>
                <w:rFonts w:ascii="Arial Narrow" w:hAnsi="Arial Narrow"/>
                <w:b/>
                <w:color w:val="943634" w:themeColor="accent2" w:themeShade="BF"/>
                <w:sz w:val="20"/>
                <w:szCs w:val="20"/>
              </w:rPr>
              <w:t>-</w:t>
            </w:r>
          </w:p>
        </w:tc>
        <w:tc>
          <w:tcPr>
            <w:tcW w:w="1988" w:type="dxa"/>
            <w:vAlign w:val="center"/>
          </w:tcPr>
          <w:p w14:paraId="585FBBE3" w14:textId="77777777" w:rsidR="00801876" w:rsidRPr="00C7414E" w:rsidRDefault="00801876" w:rsidP="00641069">
            <w:pPr>
              <w:jc w:val="center"/>
              <w:rPr>
                <w:rFonts w:ascii="Arial Narrow" w:hAnsi="Arial Narrow"/>
                <w:sz w:val="20"/>
                <w:szCs w:val="20"/>
              </w:rPr>
            </w:pPr>
            <w:r>
              <w:rPr>
                <w:rFonts w:ascii="Arial Narrow" w:hAnsi="Arial Narrow"/>
                <w:sz w:val="20"/>
                <w:szCs w:val="20"/>
              </w:rPr>
              <w:t>[PN]</w:t>
            </w:r>
          </w:p>
        </w:tc>
      </w:tr>
    </w:tbl>
    <w:p w14:paraId="09486D1A" w14:textId="77777777" w:rsidR="00801876" w:rsidRDefault="00194EEF" w:rsidP="00194EEF">
      <w:pPr>
        <w:jc w:val="center"/>
        <w:rPr>
          <w:rFonts w:ascii="Convection" w:hAnsi="Convection"/>
          <w:i/>
          <w:sz w:val="18"/>
          <w:szCs w:val="18"/>
        </w:rPr>
      </w:pPr>
      <w:r>
        <w:rPr>
          <w:rFonts w:ascii="Convection" w:hAnsi="Convection"/>
          <w:i/>
          <w:sz w:val="18"/>
          <w:szCs w:val="18"/>
        </w:rPr>
        <w:t xml:space="preserve">                                         </w:t>
      </w:r>
    </w:p>
    <w:p w14:paraId="3A8E2C61" w14:textId="77777777" w:rsidR="00641069" w:rsidRPr="00295A80" w:rsidRDefault="00641069" w:rsidP="00801876">
      <w:pPr>
        <w:jc w:val="right"/>
        <w:rPr>
          <w:rFonts w:ascii="Convection" w:hAnsi="Convection"/>
          <w:i/>
          <w:sz w:val="18"/>
          <w:szCs w:val="18"/>
        </w:rPr>
      </w:pPr>
    </w:p>
    <w:p w14:paraId="7B4945F9" w14:textId="77777777" w:rsidR="00801876" w:rsidRPr="00641069" w:rsidRDefault="00801876" w:rsidP="00641069">
      <w:pPr>
        <w:spacing w:after="120"/>
        <w:jc w:val="both"/>
        <w:rPr>
          <w:rFonts w:ascii="Convection" w:hAnsi="Convection"/>
        </w:rPr>
      </w:pPr>
      <w:r w:rsidRPr="00FA4468">
        <w:rPr>
          <w:rFonts w:ascii="Convection" w:hAnsi="Convection"/>
          <w:b/>
        </w:rPr>
        <w:t>Głowica</w:t>
      </w:r>
      <w:r w:rsidRPr="00641069">
        <w:rPr>
          <w:rFonts w:ascii="Convection" w:hAnsi="Convection"/>
        </w:rPr>
        <w:t xml:space="preserve"> gruntowego wymiennika pionowego (sondy), </w:t>
      </w:r>
      <w:r w:rsidRPr="00FA4468">
        <w:rPr>
          <w:rFonts w:ascii="Convection" w:hAnsi="Convection"/>
          <w:b/>
        </w:rPr>
        <w:t xml:space="preserve">powinna być wyposażona w przelotową „dyszę”, o jednakowym na całej długości okrągłym przekroju, umożliwiającą jej prawidłową osiową aplikację, </w:t>
      </w:r>
      <w:r w:rsidRPr="00641069">
        <w:rPr>
          <w:rFonts w:ascii="Convection" w:hAnsi="Convection"/>
        </w:rPr>
        <w:t>ewentualne podpłukanie płuczką od czoła w sytuacji jej zakleszczenia w odwiercie, a także oddolną iniekcję masy wypełniającej przestrzeń pierścieniową.</w:t>
      </w:r>
    </w:p>
    <w:p w14:paraId="450E5F43" w14:textId="77777777" w:rsidR="00641069" w:rsidRDefault="00801876" w:rsidP="00641069">
      <w:pPr>
        <w:spacing w:after="120"/>
        <w:jc w:val="both"/>
        <w:rPr>
          <w:rFonts w:ascii="Convection" w:hAnsi="Convection"/>
          <w:b/>
        </w:rPr>
      </w:pPr>
      <w:r w:rsidRPr="00641069">
        <w:rPr>
          <w:rFonts w:ascii="Convection" w:hAnsi="Convection"/>
          <w:b/>
        </w:rPr>
        <w:t xml:space="preserve">UWAGA: </w:t>
      </w:r>
      <w:r w:rsidRPr="00B224D6">
        <w:rPr>
          <w:rFonts w:ascii="Convection" w:hAnsi="Convection"/>
          <w:b/>
          <w:u w:val="single"/>
        </w:rPr>
        <w:t>Istotnym jest, aby dysza nie przylegała bezpośrednio do przewodów rurowych sondy.</w:t>
      </w:r>
    </w:p>
    <w:p w14:paraId="53696647" w14:textId="77777777" w:rsidR="00801876" w:rsidRPr="00641069" w:rsidRDefault="00801876" w:rsidP="00641069">
      <w:pPr>
        <w:spacing w:after="120"/>
        <w:jc w:val="both"/>
        <w:rPr>
          <w:rFonts w:ascii="Convection" w:hAnsi="Convection"/>
          <w:b/>
        </w:rPr>
      </w:pPr>
      <w:r w:rsidRPr="00641069">
        <w:rPr>
          <w:rFonts w:ascii="Convection" w:hAnsi="Convection"/>
        </w:rPr>
        <w:t>Właściwy dystans zabezpiecza przewody przed uszkodzeniami mechanicznymi w procesie aplikacji wymiennika do odwiertu, ponieważ płaszczyzna oporowa elementu popychającego wprowadzonego do środka dyszy ma możliwość swobodnej pracy bez ryzyka uszkadzania przewodów bezpośrednio nad głowicą. Wybrana konstrukcja głowicy wyeliminuje tzw. „efekt tłoka” usprawniając aplikację sondy w otworze montażowym przy jednoczesnym umożliwieniu wyprowadzenia z odwiertu płuczki wiertniczej. Głowica geotermalna  powinna być zabezpieczona  przed uszkodzeniami mechanicznymi w procesie aplikacji np. bocznymi osłonami „płozowymi” będącymi elementem wzmocnienia konstrukcji przed destruktywnym wpływem ostrych frakcji znajdujących się w odwiercie.</w:t>
      </w:r>
    </w:p>
    <w:p w14:paraId="0D85A2F0" w14:textId="77777777" w:rsidR="00801876" w:rsidRPr="00641069" w:rsidRDefault="00801876" w:rsidP="00801876">
      <w:pPr>
        <w:jc w:val="both"/>
        <w:rPr>
          <w:rFonts w:ascii="Convection" w:hAnsi="Convection"/>
        </w:rPr>
      </w:pPr>
      <w:r w:rsidRPr="00641069">
        <w:rPr>
          <w:rFonts w:ascii="Convection" w:hAnsi="Convection"/>
        </w:rPr>
        <w:t>Rzeczywistą ilość i długość wymienników/odwiertów należy dokładnie określić po wykonaniu badania współczynnika efektywnego przewodnictwa cieplnego gruntu metodą TRT (Test Reakcji Termicznej)</w:t>
      </w:r>
      <w:r w:rsidR="00295A80" w:rsidRPr="00641069">
        <w:rPr>
          <w:rFonts w:ascii="Convection" w:hAnsi="Convection"/>
        </w:rPr>
        <w:t xml:space="preserve"> </w:t>
      </w:r>
      <w:r w:rsidR="00295A80" w:rsidRPr="00641069">
        <w:rPr>
          <w:rFonts w:ascii="Convection" w:hAnsi="Convection" w:cs="Calibri"/>
        </w:rPr>
        <w:t>lub inną metodą równoważną</w:t>
      </w:r>
      <w:r w:rsidRPr="00641069">
        <w:rPr>
          <w:rFonts w:ascii="Convection" w:hAnsi="Convection"/>
        </w:rPr>
        <w:t>. Pomiar ten poprzez prawidłowe oszacowanie zdolności gruntu do przekazywania ciepła jest miarodajnym narzędziem do weryfikacji założonych parametrów projektowych.</w:t>
      </w:r>
    </w:p>
    <w:p w14:paraId="5AC88F4D" w14:textId="77777777" w:rsidR="00641069" w:rsidRDefault="00641069" w:rsidP="000A0883">
      <w:pPr>
        <w:rPr>
          <w:rFonts w:ascii="Convection" w:hAnsi="Convection"/>
          <w:i/>
          <w:sz w:val="18"/>
          <w:szCs w:val="18"/>
        </w:rPr>
      </w:pPr>
    </w:p>
    <w:p w14:paraId="5B2E6D10" w14:textId="77777777" w:rsidR="00801876" w:rsidRPr="00295A80" w:rsidRDefault="00801876" w:rsidP="000A0883">
      <w:pPr>
        <w:rPr>
          <w:rFonts w:ascii="Convection" w:hAnsi="Convection"/>
          <w:i/>
          <w:sz w:val="18"/>
          <w:szCs w:val="18"/>
        </w:rPr>
      </w:pPr>
      <w:r w:rsidRPr="00295A80">
        <w:rPr>
          <w:rFonts w:ascii="Convection" w:hAnsi="Convection"/>
          <w:i/>
          <w:sz w:val="18"/>
          <w:szCs w:val="18"/>
        </w:rPr>
        <w:t>Rysunek 1. Głowica gruntowego wymiennika pionowego – sondy</w:t>
      </w:r>
    </w:p>
    <w:p w14:paraId="1F1AF4D4" w14:textId="77777777" w:rsidR="00437C69" w:rsidRPr="00295A80" w:rsidRDefault="00801876" w:rsidP="00437C69">
      <w:pPr>
        <w:spacing w:after="0"/>
        <w:rPr>
          <w:rFonts w:ascii="Convection" w:hAnsi="Convection"/>
          <w:i/>
          <w:sz w:val="18"/>
          <w:szCs w:val="18"/>
        </w:rPr>
      </w:pPr>
      <w:r w:rsidRPr="00295A80">
        <w:rPr>
          <w:rFonts w:ascii="Convection" w:hAnsi="Convection"/>
          <w:i/>
          <w:sz w:val="18"/>
          <w:szCs w:val="18"/>
        </w:rPr>
        <w:lastRenderedPageBreak/>
        <w:t>A - Przelotowa dysza o przekroju okrągłym trwale połączona z głowicą metodą polifuzji</w:t>
      </w:r>
      <w:r w:rsidR="00437C69" w:rsidRPr="00295A80">
        <w:rPr>
          <w:rFonts w:ascii="Convection" w:hAnsi="Convection"/>
          <w:i/>
          <w:sz w:val="18"/>
          <w:szCs w:val="18"/>
        </w:rPr>
        <w:t xml:space="preserve"> </w:t>
      </w:r>
      <w:r w:rsidRPr="00295A80">
        <w:rPr>
          <w:rFonts w:ascii="Convection" w:hAnsi="Convection"/>
          <w:i/>
          <w:sz w:val="18"/>
          <w:szCs w:val="18"/>
        </w:rPr>
        <w:t xml:space="preserve">termicznej oraz </w:t>
      </w:r>
      <w:r w:rsidR="00437C69" w:rsidRPr="00295A80">
        <w:rPr>
          <w:rFonts w:ascii="Convection" w:hAnsi="Convection"/>
          <w:i/>
          <w:sz w:val="18"/>
          <w:szCs w:val="18"/>
        </w:rPr>
        <w:t xml:space="preserve">  </w:t>
      </w:r>
    </w:p>
    <w:p w14:paraId="682F1FB6" w14:textId="77777777" w:rsidR="00801876" w:rsidRPr="00295A80" w:rsidRDefault="00437C69" w:rsidP="00437C69">
      <w:pPr>
        <w:spacing w:after="0"/>
        <w:rPr>
          <w:rFonts w:ascii="Convection" w:hAnsi="Convection"/>
          <w:i/>
          <w:sz w:val="18"/>
          <w:szCs w:val="18"/>
        </w:rPr>
      </w:pPr>
      <w:r w:rsidRPr="00295A80">
        <w:rPr>
          <w:rFonts w:ascii="Convection" w:hAnsi="Convection"/>
          <w:i/>
          <w:sz w:val="18"/>
          <w:szCs w:val="18"/>
        </w:rPr>
        <w:t xml:space="preserve">      </w:t>
      </w:r>
      <w:r w:rsidR="00801876" w:rsidRPr="00295A80">
        <w:rPr>
          <w:rFonts w:ascii="Convection" w:hAnsi="Convection"/>
          <w:i/>
          <w:sz w:val="18"/>
          <w:szCs w:val="18"/>
        </w:rPr>
        <w:t>przewodami wymiennika za pomocą specjalnego potrójnego uchwytu.</w:t>
      </w:r>
    </w:p>
    <w:p w14:paraId="72E079E2" w14:textId="77777777" w:rsidR="00801876" w:rsidRPr="00295A80" w:rsidRDefault="00801876" w:rsidP="00437C69">
      <w:pPr>
        <w:spacing w:after="0"/>
        <w:rPr>
          <w:rFonts w:ascii="Convection" w:hAnsi="Convection"/>
          <w:i/>
          <w:sz w:val="18"/>
          <w:szCs w:val="18"/>
        </w:rPr>
      </w:pPr>
      <w:r w:rsidRPr="00295A80">
        <w:rPr>
          <w:rFonts w:ascii="Convection" w:hAnsi="Convection"/>
          <w:i/>
          <w:sz w:val="18"/>
          <w:szCs w:val="18"/>
        </w:rPr>
        <w:t>B - Długość podstawowego elementu u-kształtnego elektrooporowej głowicy geotermalnej.</w:t>
      </w:r>
    </w:p>
    <w:p w14:paraId="28B0BB1B" w14:textId="77777777" w:rsidR="00801876" w:rsidRPr="00295A80" w:rsidRDefault="00801876" w:rsidP="00437C69">
      <w:pPr>
        <w:spacing w:after="0"/>
        <w:rPr>
          <w:rFonts w:ascii="Convection" w:hAnsi="Convection"/>
          <w:i/>
          <w:sz w:val="18"/>
          <w:szCs w:val="18"/>
        </w:rPr>
      </w:pPr>
      <w:r w:rsidRPr="00295A80">
        <w:rPr>
          <w:rFonts w:ascii="Convection" w:hAnsi="Convection"/>
          <w:i/>
          <w:sz w:val="18"/>
          <w:szCs w:val="18"/>
        </w:rPr>
        <w:t>C - Szerokość podstawowego elementu u-kształtnego elektrooporowej głowicy geotermalnej.</w:t>
      </w:r>
    </w:p>
    <w:p w14:paraId="1F06B2C8" w14:textId="77777777" w:rsidR="00801876" w:rsidRPr="00295A80" w:rsidRDefault="00801876" w:rsidP="00437C69">
      <w:pPr>
        <w:spacing w:after="0"/>
        <w:rPr>
          <w:rFonts w:ascii="Convection" w:hAnsi="Convection"/>
          <w:i/>
          <w:sz w:val="18"/>
          <w:szCs w:val="18"/>
        </w:rPr>
      </w:pPr>
      <w:r w:rsidRPr="00295A80">
        <w:rPr>
          <w:rFonts w:ascii="Convection" w:hAnsi="Convection"/>
          <w:i/>
          <w:sz w:val="18"/>
          <w:szCs w:val="18"/>
        </w:rPr>
        <w:t>D - Głębokość podstawowego elementu u-kształtnego elektrooporowej głowicy geotermalnej.</w:t>
      </w:r>
    </w:p>
    <w:p w14:paraId="5F05706E" w14:textId="77777777" w:rsidR="00801876" w:rsidRPr="00295A80" w:rsidRDefault="00801876" w:rsidP="00437C69">
      <w:pPr>
        <w:spacing w:after="0"/>
        <w:rPr>
          <w:rFonts w:ascii="Convection" w:hAnsi="Convection"/>
          <w:i/>
          <w:sz w:val="18"/>
          <w:szCs w:val="18"/>
        </w:rPr>
      </w:pPr>
      <w:r w:rsidRPr="00295A80">
        <w:rPr>
          <w:rFonts w:ascii="Convection" w:hAnsi="Convection"/>
          <w:i/>
          <w:sz w:val="18"/>
          <w:szCs w:val="18"/>
        </w:rPr>
        <w:t>E - Średnica zewnętrzna przelotowej dyszy głowicy geotermalnej.</w:t>
      </w:r>
    </w:p>
    <w:p w14:paraId="6EB71AA1" w14:textId="77777777" w:rsidR="00801876" w:rsidRPr="00295A80" w:rsidRDefault="00801876" w:rsidP="00437C69">
      <w:pPr>
        <w:spacing w:after="0"/>
        <w:rPr>
          <w:rFonts w:ascii="Convection" w:hAnsi="Convection"/>
          <w:i/>
          <w:sz w:val="18"/>
          <w:szCs w:val="18"/>
        </w:rPr>
      </w:pPr>
      <w:r w:rsidRPr="00295A80">
        <w:rPr>
          <w:rFonts w:ascii="Convection" w:hAnsi="Convection"/>
          <w:i/>
          <w:sz w:val="18"/>
          <w:szCs w:val="18"/>
        </w:rPr>
        <w:t>F - Średnica wewnętrzna przelotowej dyszy głowicy geotermalnej.</w:t>
      </w:r>
    </w:p>
    <w:p w14:paraId="01857732" w14:textId="77777777" w:rsidR="00437C69" w:rsidRPr="00295A80" w:rsidRDefault="00801876" w:rsidP="00437C69">
      <w:pPr>
        <w:spacing w:after="0"/>
        <w:rPr>
          <w:rFonts w:ascii="Convection" w:hAnsi="Convection"/>
          <w:i/>
          <w:sz w:val="18"/>
          <w:szCs w:val="18"/>
        </w:rPr>
      </w:pPr>
      <w:r w:rsidRPr="00295A80">
        <w:rPr>
          <w:rFonts w:ascii="Convection" w:hAnsi="Convection"/>
          <w:i/>
          <w:sz w:val="18"/>
          <w:szCs w:val="18"/>
        </w:rPr>
        <w:t>G - Element głowicy geotermalnej. Specjalistyczny potrójny uchwyt dystansujący dyszę</w:t>
      </w:r>
      <w:r w:rsidR="00437C69" w:rsidRPr="00295A80">
        <w:rPr>
          <w:rFonts w:ascii="Convection" w:hAnsi="Convection"/>
          <w:i/>
          <w:sz w:val="18"/>
          <w:szCs w:val="18"/>
        </w:rPr>
        <w:t xml:space="preserve"> </w:t>
      </w:r>
      <w:r w:rsidRPr="00295A80">
        <w:rPr>
          <w:rFonts w:ascii="Convection" w:hAnsi="Convection"/>
          <w:i/>
          <w:sz w:val="18"/>
          <w:szCs w:val="18"/>
        </w:rPr>
        <w:t xml:space="preserve">przelotową od </w:t>
      </w:r>
      <w:r w:rsidR="00437C69" w:rsidRPr="00295A80">
        <w:rPr>
          <w:rFonts w:ascii="Convection" w:hAnsi="Convection"/>
          <w:i/>
          <w:sz w:val="18"/>
          <w:szCs w:val="18"/>
        </w:rPr>
        <w:t xml:space="preserve"> </w:t>
      </w:r>
    </w:p>
    <w:p w14:paraId="783A716F" w14:textId="77777777" w:rsidR="00801876" w:rsidRPr="00295A80" w:rsidRDefault="00437C69" w:rsidP="00437C69">
      <w:pPr>
        <w:spacing w:after="0"/>
        <w:rPr>
          <w:rFonts w:ascii="Convection" w:hAnsi="Convection"/>
          <w:i/>
          <w:sz w:val="18"/>
          <w:szCs w:val="18"/>
        </w:rPr>
      </w:pPr>
      <w:r w:rsidRPr="00295A80">
        <w:rPr>
          <w:rFonts w:ascii="Convection" w:hAnsi="Convection"/>
          <w:i/>
          <w:sz w:val="18"/>
          <w:szCs w:val="18"/>
        </w:rPr>
        <w:t xml:space="preserve">       </w:t>
      </w:r>
      <w:r w:rsidR="00801876" w:rsidRPr="00295A80">
        <w:rPr>
          <w:rFonts w:ascii="Convection" w:hAnsi="Convection"/>
          <w:i/>
          <w:sz w:val="18"/>
          <w:szCs w:val="18"/>
        </w:rPr>
        <w:t>przewodów wymiennika pionowego - sondy.</w:t>
      </w:r>
    </w:p>
    <w:p w14:paraId="751E98F9" w14:textId="77777777" w:rsidR="00437C69" w:rsidRPr="00295A80" w:rsidRDefault="00801876" w:rsidP="00437C69">
      <w:pPr>
        <w:spacing w:after="0"/>
        <w:rPr>
          <w:rFonts w:ascii="Convection" w:hAnsi="Convection"/>
          <w:i/>
          <w:sz w:val="18"/>
          <w:szCs w:val="18"/>
        </w:rPr>
      </w:pPr>
      <w:r w:rsidRPr="00295A80">
        <w:rPr>
          <w:rFonts w:ascii="Convection" w:hAnsi="Convection"/>
          <w:i/>
          <w:sz w:val="18"/>
          <w:szCs w:val="18"/>
        </w:rPr>
        <w:t>H - Całkowita długość głowicy geotermalnej uwzględniająca: elektrooporowy u-kształt, okrągłą</w:t>
      </w:r>
      <w:r w:rsidR="00437C69" w:rsidRPr="00295A80">
        <w:rPr>
          <w:rFonts w:ascii="Convection" w:hAnsi="Convection"/>
          <w:i/>
          <w:sz w:val="18"/>
          <w:szCs w:val="18"/>
        </w:rPr>
        <w:t xml:space="preserve"> </w:t>
      </w:r>
      <w:r w:rsidRPr="00295A80">
        <w:rPr>
          <w:rFonts w:ascii="Convection" w:hAnsi="Convection"/>
          <w:i/>
          <w:sz w:val="18"/>
          <w:szCs w:val="18"/>
        </w:rPr>
        <w:t xml:space="preserve">dyszę </w:t>
      </w:r>
    </w:p>
    <w:p w14:paraId="31DF722F" w14:textId="77777777" w:rsidR="00801876" w:rsidRPr="00295A80" w:rsidRDefault="00437C69" w:rsidP="00437C69">
      <w:pPr>
        <w:spacing w:after="0"/>
        <w:rPr>
          <w:rFonts w:ascii="Convection" w:hAnsi="Convection"/>
          <w:i/>
          <w:sz w:val="18"/>
          <w:szCs w:val="18"/>
        </w:rPr>
      </w:pPr>
      <w:r w:rsidRPr="00295A80">
        <w:rPr>
          <w:rFonts w:ascii="Convection" w:hAnsi="Convection"/>
          <w:i/>
          <w:sz w:val="18"/>
          <w:szCs w:val="18"/>
        </w:rPr>
        <w:t xml:space="preserve">       </w:t>
      </w:r>
      <w:r w:rsidR="00801876" w:rsidRPr="00295A80">
        <w:rPr>
          <w:rFonts w:ascii="Convection" w:hAnsi="Convection"/>
          <w:i/>
          <w:sz w:val="18"/>
          <w:szCs w:val="18"/>
        </w:rPr>
        <w:t>przelotową, specjalistyczny potrójny uchwyt.</w:t>
      </w:r>
    </w:p>
    <w:p w14:paraId="642C33F0" w14:textId="77777777" w:rsidR="00801876" w:rsidRDefault="00801876" w:rsidP="00801876">
      <w:pPr>
        <w:spacing w:after="0"/>
        <w:ind w:left="1276"/>
        <w:jc w:val="both"/>
        <w:rPr>
          <w:rFonts w:ascii="Convection" w:hAnsi="Convection"/>
          <w:sz w:val="20"/>
          <w:szCs w:val="20"/>
        </w:rPr>
      </w:pPr>
    </w:p>
    <w:p w14:paraId="0ED1673E" w14:textId="77777777" w:rsidR="00801876" w:rsidRDefault="00801876" w:rsidP="00801876">
      <w:pPr>
        <w:spacing w:after="0"/>
        <w:ind w:left="1276"/>
        <w:rPr>
          <w:rFonts w:ascii="Convection" w:hAnsi="Convection"/>
          <w:sz w:val="20"/>
          <w:szCs w:val="20"/>
        </w:rPr>
      </w:pPr>
    </w:p>
    <w:p w14:paraId="12725BF7" w14:textId="77777777" w:rsidR="00801876" w:rsidRDefault="00801876" w:rsidP="00801876">
      <w:pPr>
        <w:spacing w:after="0"/>
        <w:ind w:left="142"/>
        <w:jc w:val="center"/>
        <w:rPr>
          <w:rFonts w:ascii="Convection" w:hAnsi="Convection"/>
          <w:sz w:val="20"/>
          <w:szCs w:val="20"/>
        </w:rPr>
      </w:pPr>
      <w:r w:rsidRPr="00E6365B">
        <w:rPr>
          <w:rFonts w:ascii="Convection" w:hAnsi="Convection"/>
          <w:noProof/>
          <w:sz w:val="20"/>
          <w:szCs w:val="20"/>
          <w:lang w:eastAsia="pl-PL"/>
        </w:rPr>
        <mc:AlternateContent>
          <mc:Choice Requires="wps">
            <w:drawing>
              <wp:anchor distT="0" distB="0" distL="114300" distR="114300" simplePos="0" relativeHeight="251659264" behindDoc="0" locked="0" layoutInCell="1" allowOverlap="1" wp14:anchorId="547E5074" wp14:editId="0CE1471D">
                <wp:simplePos x="0" y="0"/>
                <wp:positionH relativeFrom="column">
                  <wp:posOffset>2150480</wp:posOffset>
                </wp:positionH>
                <wp:positionV relativeFrom="paragraph">
                  <wp:posOffset>2073209</wp:posOffset>
                </wp:positionV>
                <wp:extent cx="3786692" cy="111229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692" cy="1112292"/>
                        </a:xfrm>
                        <a:prstGeom prst="rect">
                          <a:avLst/>
                        </a:prstGeom>
                        <a:noFill/>
                        <a:ln w="9525">
                          <a:noFill/>
                          <a:miter lim="800000"/>
                          <a:headEnd/>
                          <a:tailEnd/>
                        </a:ln>
                      </wps:spPr>
                      <wps:txbx>
                        <w:txbxContent>
                          <w:p w14:paraId="6086F1C1" w14:textId="77777777" w:rsidR="00801876" w:rsidRPr="00295A80" w:rsidRDefault="00801876" w:rsidP="00801876">
                            <w:pPr>
                              <w:ind w:left="-142" w:right="-23"/>
                              <w:jc w:val="both"/>
                              <w:rPr>
                                <w:rFonts w:ascii="Convection" w:hAnsi="Convection"/>
                                <w:i/>
                                <w:sz w:val="18"/>
                                <w:szCs w:val="18"/>
                              </w:rPr>
                            </w:pPr>
                            <w:r w:rsidRPr="00295A80">
                              <w:rPr>
                                <w:rFonts w:ascii="Convection" w:hAnsi="Convection"/>
                                <w:i/>
                                <w:sz w:val="18"/>
                                <w:szCs w:val="18"/>
                              </w:rPr>
                              <w:t>Rzeczywistą ilość i długość wymienn</w:t>
                            </w:r>
                            <w:r w:rsidR="00295A80">
                              <w:rPr>
                                <w:rFonts w:ascii="Convection" w:hAnsi="Convection"/>
                                <w:i/>
                                <w:sz w:val="18"/>
                                <w:szCs w:val="18"/>
                              </w:rPr>
                              <w:t xml:space="preserve">ików/odwiertów należy dokładnie </w:t>
                            </w:r>
                            <w:r w:rsidRPr="00295A80">
                              <w:rPr>
                                <w:rFonts w:ascii="Convection" w:hAnsi="Convection"/>
                                <w:i/>
                                <w:sz w:val="18"/>
                                <w:szCs w:val="18"/>
                              </w:rPr>
                              <w:t>określić po wykonaniu badania współczy</w:t>
                            </w:r>
                            <w:r w:rsidR="00295A80">
                              <w:rPr>
                                <w:rFonts w:ascii="Convection" w:hAnsi="Convection"/>
                                <w:i/>
                                <w:sz w:val="18"/>
                                <w:szCs w:val="18"/>
                              </w:rPr>
                              <w:t xml:space="preserve">nnika efektywnego przewodnictwa </w:t>
                            </w:r>
                            <w:r w:rsidRPr="00295A80">
                              <w:rPr>
                                <w:rFonts w:ascii="Convection" w:hAnsi="Convection"/>
                                <w:i/>
                                <w:sz w:val="18"/>
                                <w:szCs w:val="18"/>
                              </w:rPr>
                              <w:t>cieplnego gruntu metodą TRT (Test Reakcji Termicznej). Pomiar ten poprzez prawidłowe oszacowanie zdolności gruntu do przekazywania ciepła jest miarodajnym narzędziem do weryfikacji założonych parametrów projektowych.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E5074" id="_x0000_t202" coordsize="21600,21600" o:spt="202" path="m,l,21600r21600,l21600,xe">
                <v:stroke joinstyle="miter"/>
                <v:path gradientshapeok="t" o:connecttype="rect"/>
              </v:shapetype>
              <v:shape id="Pole tekstowe 2" o:spid="_x0000_s1026" type="#_x0000_t202" style="position:absolute;left:0;text-align:left;margin-left:169.35pt;margin-top:163.25pt;width:298.1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" filled="f" stroked="f">
                <v:textbox>
                  <w:txbxContent>
                    <w:p w14:paraId="6086F1C1" w14:textId="77777777" w:rsidR="00801876" w:rsidRPr="00295A80" w:rsidRDefault="00801876" w:rsidP="00801876">
                      <w:pPr>
                        <w:ind w:left="-142" w:right="-23"/>
                        <w:jc w:val="both"/>
                        <w:rPr>
                          <w:rFonts w:ascii="Convection" w:hAnsi="Convection"/>
                          <w:i/>
                          <w:sz w:val="18"/>
                          <w:szCs w:val="18"/>
                        </w:rPr>
                      </w:pPr>
                      <w:r w:rsidRPr="00295A80">
                        <w:rPr>
                          <w:rFonts w:ascii="Convection" w:hAnsi="Convection"/>
                          <w:i/>
                          <w:sz w:val="18"/>
                          <w:szCs w:val="18"/>
                        </w:rPr>
                        <w:t>Rzeczywistą ilość i długość wymienn</w:t>
                      </w:r>
                      <w:r w:rsidR="00295A80">
                        <w:rPr>
                          <w:rFonts w:ascii="Convection" w:hAnsi="Convection"/>
                          <w:i/>
                          <w:sz w:val="18"/>
                          <w:szCs w:val="18"/>
                        </w:rPr>
                        <w:t xml:space="preserve">ików/odwiertów należy dokładnie </w:t>
                      </w:r>
                      <w:r w:rsidRPr="00295A80">
                        <w:rPr>
                          <w:rFonts w:ascii="Convection" w:hAnsi="Convection"/>
                          <w:i/>
                          <w:sz w:val="18"/>
                          <w:szCs w:val="18"/>
                        </w:rPr>
                        <w:t>określić po wykonaniu badania współczy</w:t>
                      </w:r>
                      <w:r w:rsidR="00295A80">
                        <w:rPr>
                          <w:rFonts w:ascii="Convection" w:hAnsi="Convection"/>
                          <w:i/>
                          <w:sz w:val="18"/>
                          <w:szCs w:val="18"/>
                        </w:rPr>
                        <w:t xml:space="preserve">nnika efektywnego przewodnictwa </w:t>
                      </w:r>
                      <w:r w:rsidRPr="00295A80">
                        <w:rPr>
                          <w:rFonts w:ascii="Convection" w:hAnsi="Convection"/>
                          <w:i/>
                          <w:sz w:val="18"/>
                          <w:szCs w:val="18"/>
                        </w:rPr>
                        <w:t>cieplnego gruntu metodą TRT (Test Reakcji Termicznej). Pomiar ten poprzez prawidłowe oszacowanie zdolności gruntu do przekazywania ciepła jest miarodajnym narzędziem do weryfikacji założonych parametrów projektowych.</w:t>
                      </w:r>
                    </w:p>
                  </w:txbxContent>
                </v:textbox>
              </v:shape>
            </w:pict>
          </mc:Fallback>
        </mc:AlternateContent>
      </w:r>
      <w:r>
        <w:rPr>
          <w:rFonts w:ascii="Convection" w:hAnsi="Convection"/>
          <w:noProof/>
          <w:sz w:val="20"/>
          <w:szCs w:val="20"/>
          <w:lang w:eastAsia="pl-PL"/>
        </w:rPr>
        <w:drawing>
          <wp:inline distT="0" distB="0" distL="0" distR="0" wp14:anchorId="3971D643" wp14:editId="5F35A10E">
            <wp:extent cx="4548146" cy="3184504"/>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_PFU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1287" cy="3186703"/>
                    </a:xfrm>
                    <a:prstGeom prst="rect">
                      <a:avLst/>
                    </a:prstGeom>
                  </pic:spPr>
                </pic:pic>
              </a:graphicData>
            </a:graphic>
          </wp:inline>
        </w:drawing>
      </w:r>
    </w:p>
    <w:p w14:paraId="483ECD2D" w14:textId="77777777" w:rsidR="00801876" w:rsidRDefault="00801876" w:rsidP="00801876">
      <w:pPr>
        <w:spacing w:after="0"/>
        <w:ind w:left="142"/>
        <w:jc w:val="center"/>
        <w:rPr>
          <w:rFonts w:ascii="Convection" w:hAnsi="Convection"/>
          <w:sz w:val="20"/>
          <w:szCs w:val="20"/>
        </w:rPr>
      </w:pPr>
    </w:p>
    <w:p w14:paraId="2C5204E6" w14:textId="77777777" w:rsidR="00683BF0" w:rsidRDefault="00683BF0" w:rsidP="00683BF0">
      <w:pPr>
        <w:spacing w:after="0" w:line="360" w:lineRule="auto"/>
        <w:jc w:val="center"/>
        <w:rPr>
          <w:rFonts w:ascii="Palatino Linotype" w:hAnsi="Palatino Linotype"/>
          <w:sz w:val="20"/>
          <w:szCs w:val="20"/>
        </w:rPr>
      </w:pPr>
    </w:p>
    <w:p w14:paraId="6192C551" w14:textId="77777777" w:rsidR="00641069" w:rsidRDefault="00641069" w:rsidP="00683BF0">
      <w:pPr>
        <w:spacing w:after="0" w:line="360" w:lineRule="auto"/>
        <w:jc w:val="center"/>
        <w:rPr>
          <w:rFonts w:ascii="Palatino Linotype" w:hAnsi="Palatino Linotype"/>
          <w:sz w:val="20"/>
          <w:szCs w:val="20"/>
        </w:rPr>
      </w:pPr>
    </w:p>
    <w:p w14:paraId="56A8A57E" w14:textId="77777777" w:rsidR="00641069" w:rsidRDefault="00641069" w:rsidP="00683BF0">
      <w:pPr>
        <w:spacing w:after="0" w:line="360" w:lineRule="auto"/>
        <w:jc w:val="center"/>
        <w:rPr>
          <w:rFonts w:ascii="Palatino Linotype" w:hAnsi="Palatino Linotype"/>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5334AE5F" w14:textId="77777777" w:rsidTr="00C63D38">
        <w:tc>
          <w:tcPr>
            <w:tcW w:w="9212" w:type="dxa"/>
            <w:shd w:val="clear" w:color="auto" w:fill="EAF1DD" w:themeFill="accent3" w:themeFillTint="33"/>
          </w:tcPr>
          <w:p w14:paraId="1EE1B049" w14:textId="77777777" w:rsidR="002D4C17" w:rsidRPr="00295A80" w:rsidRDefault="002D4C17" w:rsidP="002D4C17">
            <w:pPr>
              <w:pStyle w:val="Akapitzlist"/>
              <w:numPr>
                <w:ilvl w:val="0"/>
                <w:numId w:val="48"/>
              </w:numPr>
              <w:ind w:hanging="720"/>
              <w:jc w:val="both"/>
              <w:rPr>
                <w:rFonts w:ascii="Convection" w:hAnsi="Convection"/>
                <w:sz w:val="20"/>
                <w:szCs w:val="20"/>
              </w:rPr>
            </w:pPr>
            <w:r w:rsidRPr="00295A80">
              <w:rPr>
                <w:rFonts w:ascii="Convection" w:hAnsi="Convection"/>
                <w:b/>
                <w:sz w:val="20"/>
                <w:szCs w:val="20"/>
              </w:rPr>
              <w:t>Studnie rozdzielaczowe</w:t>
            </w:r>
          </w:p>
        </w:tc>
      </w:tr>
    </w:tbl>
    <w:p w14:paraId="271241CA" w14:textId="77777777" w:rsidR="002D4C17" w:rsidRPr="00295A80" w:rsidRDefault="002D4C17" w:rsidP="002D4C17">
      <w:pPr>
        <w:pStyle w:val="Standard"/>
        <w:spacing w:after="0" w:line="360" w:lineRule="auto"/>
        <w:jc w:val="both"/>
        <w:rPr>
          <w:rFonts w:ascii="Convection" w:hAnsi="Convection"/>
          <w:sz w:val="20"/>
          <w:szCs w:val="20"/>
        </w:rPr>
      </w:pPr>
    </w:p>
    <w:p w14:paraId="02729C9B" w14:textId="2AE88F16" w:rsidR="004C58B4" w:rsidRPr="00641069" w:rsidRDefault="002A1887" w:rsidP="00827AF7">
      <w:pPr>
        <w:pStyle w:val="Standard"/>
        <w:spacing w:after="0" w:line="360" w:lineRule="auto"/>
        <w:ind w:firstLine="708"/>
        <w:jc w:val="both"/>
        <w:rPr>
          <w:rFonts w:ascii="Convection" w:hAnsi="Convection" w:cs="Calibri"/>
        </w:rPr>
      </w:pPr>
      <w:r w:rsidRPr="00B224D6">
        <w:rPr>
          <w:rFonts w:ascii="Convection" w:hAnsi="Convection"/>
          <w:b/>
          <w:u w:val="single"/>
        </w:rPr>
        <w:t>Projektuje się system Dolnych Źródeł w oparciu o</w:t>
      </w:r>
      <w:r w:rsidRPr="00B224D6">
        <w:rPr>
          <w:rFonts w:ascii="Convection" w:hAnsi="Convection" w:cs="Calibri"/>
          <w:b/>
          <w:u w:val="single"/>
        </w:rPr>
        <w:t xml:space="preserve"> studnie rozdzielaczową sekcyjną składającą się z cylindrycznego rozdzielacza, obudowanego trwale okrągłą komorą tworzywową</w:t>
      </w:r>
      <w:r w:rsidRPr="00FA4468">
        <w:rPr>
          <w:rFonts w:ascii="Convection" w:hAnsi="Convection" w:cs="Calibri"/>
          <w:b/>
        </w:rPr>
        <w:t>.</w:t>
      </w:r>
      <w:r w:rsidR="00827AF7" w:rsidRPr="00FA4468">
        <w:rPr>
          <w:rFonts w:ascii="Convection" w:hAnsi="Convection" w:cs="Calibri"/>
          <w:b/>
        </w:rPr>
        <w:t xml:space="preserve"> </w:t>
      </w:r>
      <w:r w:rsidRPr="00641069">
        <w:rPr>
          <w:rFonts w:ascii="Convection" w:hAnsi="Convection" w:cs="Calibri"/>
        </w:rPr>
        <w:t>Jej</w:t>
      </w:r>
      <w:r w:rsidR="004C58B4" w:rsidRPr="00641069">
        <w:rPr>
          <w:rFonts w:ascii="Convection" w:hAnsi="Convection" w:cs="Calibri"/>
        </w:rPr>
        <w:t xml:space="preserve"> zadaniem jest połączenie wymienników gruntowych, za pośrednictwem rur rozprowadzających (RR) i rur dobiegowych (RD) z pompą ciepła. W celu ograniczenia skutków napor</w:t>
      </w:r>
      <w:r w:rsidRPr="00641069">
        <w:rPr>
          <w:rFonts w:ascii="Convection" w:hAnsi="Convection" w:cs="Calibri"/>
        </w:rPr>
        <w:t>u</w:t>
      </w:r>
      <w:r w:rsidR="004C58B4" w:rsidRPr="00641069">
        <w:rPr>
          <w:rFonts w:ascii="Convection" w:hAnsi="Convection" w:cs="Calibri"/>
        </w:rPr>
        <w:t xml:space="preserve"> gruntu, któr</w:t>
      </w:r>
      <w:r w:rsidRPr="00641069">
        <w:rPr>
          <w:rFonts w:ascii="Convection" w:hAnsi="Convection" w:cs="Calibri"/>
        </w:rPr>
        <w:t>y</w:t>
      </w:r>
      <w:r w:rsidR="004C58B4" w:rsidRPr="00641069">
        <w:rPr>
          <w:rFonts w:ascii="Convection" w:hAnsi="Convection" w:cs="Calibri"/>
        </w:rPr>
        <w:t xml:space="preserve"> m</w:t>
      </w:r>
      <w:r w:rsidRPr="00641069">
        <w:rPr>
          <w:rFonts w:ascii="Convection" w:hAnsi="Convection" w:cs="Calibri"/>
        </w:rPr>
        <w:t>ógłby</w:t>
      </w:r>
      <w:r w:rsidR="004C58B4" w:rsidRPr="00641069">
        <w:rPr>
          <w:rFonts w:ascii="Convection" w:hAnsi="Convection" w:cs="Calibri"/>
        </w:rPr>
        <w:t xml:space="preserve"> przyczynić się do zniekształceń obudowy</w:t>
      </w:r>
      <w:r w:rsidR="004C58B4" w:rsidRPr="00641069">
        <w:rPr>
          <w:rFonts w:ascii="Convection" w:hAnsi="Convection"/>
        </w:rPr>
        <w:t xml:space="preserve">, a w </w:t>
      </w:r>
      <w:r w:rsidR="004C58B4" w:rsidRPr="00641069">
        <w:rPr>
          <w:rFonts w:ascii="Convection" w:hAnsi="Convection" w:cs="Calibri"/>
        </w:rPr>
        <w:t xml:space="preserve">konsekwencji awarii wbudowanego do środka rozdzielacza geotermalnego, należy zastosować studnie o przekroju kołowym. Horyzontalny układ użebrowania ścian studni ma na celu stabilne osadzenie jej w gruncie i zminimalizowanie przesunięć pionowych komory, natomiast wzmocnione dno zmniejsza ryzyko deformacją w sytuacji występowania niestabilnych warunków gruntowych i wodnych. Rozdzielacz </w:t>
      </w:r>
      <w:r w:rsidR="004C58B4" w:rsidRPr="00641069">
        <w:rPr>
          <w:rFonts w:ascii="Convection" w:hAnsi="Convection" w:cs="Calibri"/>
        </w:rPr>
        <w:lastRenderedPageBreak/>
        <w:t xml:space="preserve">studni powinien być zbudowany z dwóch cylindrycznych belek kolektorowych z </w:t>
      </w:r>
      <w:r w:rsidR="004C58B4" w:rsidRPr="00B224D6">
        <w:rPr>
          <w:rFonts w:ascii="Convection" w:hAnsi="Convection" w:cs="Calibri"/>
          <w:b/>
          <w:u w:val="single"/>
        </w:rPr>
        <w:t>promieniście rozchodzącymi się sekcjami kolektora</w:t>
      </w:r>
      <w:r w:rsidR="004C58B4" w:rsidRPr="00B224D6">
        <w:rPr>
          <w:rFonts w:ascii="Convection" w:hAnsi="Convection" w:cs="Calibri"/>
          <w:u w:val="single"/>
        </w:rPr>
        <w:t xml:space="preserve"> (SK).</w:t>
      </w:r>
      <w:r w:rsidR="004C58B4" w:rsidRPr="00641069">
        <w:rPr>
          <w:rFonts w:ascii="Convection" w:hAnsi="Convection" w:cs="Calibri"/>
        </w:rPr>
        <w:t xml:space="preserve"> Przejścia SK oraz RD przez tworzywową obudowę studni usytuowane są </w:t>
      </w:r>
      <w:r w:rsidR="004C58B4" w:rsidRPr="00B224D6">
        <w:rPr>
          <w:rFonts w:ascii="Convection" w:hAnsi="Convection" w:cs="Calibri"/>
          <w:b/>
          <w:u w:val="single"/>
        </w:rPr>
        <w:t>poziomo w jednym rzędzie</w:t>
      </w:r>
      <w:r w:rsidR="004C58B4" w:rsidRPr="00641069">
        <w:rPr>
          <w:rFonts w:ascii="Convection" w:hAnsi="Convection" w:cs="Calibri"/>
        </w:rPr>
        <w:t>. Spełnienie tego wymogu jest warunkiem właściwego zagęszczenia gruntu wokół komory rozdzielaczowej, umożliwiając jej stabilne posadowienie. Sekcje rozdzielacza prze</w:t>
      </w:r>
      <w:r w:rsidR="00827AF7">
        <w:rPr>
          <w:rFonts w:ascii="Convection" w:hAnsi="Convection" w:cs="Calibri"/>
        </w:rPr>
        <w:t>-</w:t>
      </w:r>
      <w:r w:rsidR="004C58B4" w:rsidRPr="00641069">
        <w:rPr>
          <w:rFonts w:ascii="Convection" w:hAnsi="Convection" w:cs="Calibri"/>
        </w:rPr>
        <w:t>chodzące przez obudowę studni, pogrupowane są parami</w:t>
      </w:r>
      <w:r w:rsidR="00AA533F" w:rsidRPr="00641069">
        <w:rPr>
          <w:rFonts w:ascii="Convection" w:hAnsi="Convection" w:cs="Calibri"/>
        </w:rPr>
        <w:t>:</w:t>
      </w:r>
      <w:r w:rsidR="004C58B4" w:rsidRPr="00641069">
        <w:rPr>
          <w:rFonts w:ascii="Convection" w:hAnsi="Convection" w:cs="Calibri"/>
        </w:rPr>
        <w:t xml:space="preserve"> zasilanie obok powrotu, zapobiegając</w:t>
      </w:r>
      <w:r w:rsidR="00827AF7">
        <w:rPr>
          <w:rFonts w:ascii="Convection" w:hAnsi="Convection" w:cs="Calibri"/>
        </w:rPr>
        <w:br/>
      </w:r>
      <w:r w:rsidR="004C58B4" w:rsidRPr="00641069">
        <w:rPr>
          <w:rFonts w:ascii="Convection" w:hAnsi="Convection" w:cs="Calibri"/>
        </w:rPr>
        <w:t xml:space="preserve">tym samym krzyżowaniu się podłączanych przewodów. Zasilające </w:t>
      </w:r>
      <w:r w:rsidR="00AA533F" w:rsidRPr="00641069">
        <w:rPr>
          <w:rFonts w:ascii="Convection" w:hAnsi="Convection" w:cs="Calibri"/>
        </w:rPr>
        <w:t xml:space="preserve">sekcje kolektorowe </w:t>
      </w:r>
      <w:r w:rsidR="004C58B4" w:rsidRPr="00641069">
        <w:rPr>
          <w:rFonts w:ascii="Convection" w:hAnsi="Convection" w:cs="Calibri"/>
        </w:rPr>
        <w:t>wyposażono</w:t>
      </w:r>
      <w:r w:rsidR="00827AF7">
        <w:rPr>
          <w:rFonts w:ascii="Convection" w:hAnsi="Convection" w:cs="Calibri"/>
        </w:rPr>
        <w:br/>
      </w:r>
      <w:r w:rsidR="004C58B4" w:rsidRPr="00641069">
        <w:rPr>
          <w:rFonts w:ascii="Convection" w:hAnsi="Convection" w:cs="Calibri"/>
        </w:rPr>
        <w:t xml:space="preserve">w rotametry (R) równoważące układ hydrauliczny z możliwością odcięcia, zaś na </w:t>
      </w:r>
      <w:r w:rsidR="00AA533F" w:rsidRPr="00641069">
        <w:rPr>
          <w:rFonts w:ascii="Convection" w:hAnsi="Convection" w:cs="Calibri"/>
        </w:rPr>
        <w:t>sekcjach kolek</w:t>
      </w:r>
      <w:r w:rsidR="00827AF7">
        <w:rPr>
          <w:rFonts w:ascii="Convection" w:hAnsi="Convection" w:cs="Calibri"/>
        </w:rPr>
        <w:t>-</w:t>
      </w:r>
      <w:r w:rsidR="00AA533F" w:rsidRPr="00641069">
        <w:rPr>
          <w:rFonts w:ascii="Convection" w:hAnsi="Convection" w:cs="Calibri"/>
        </w:rPr>
        <w:t>torowych</w:t>
      </w:r>
      <w:r w:rsidR="004C58B4" w:rsidRPr="00641069">
        <w:rPr>
          <w:rFonts w:ascii="Convection" w:hAnsi="Convection" w:cs="Calibri"/>
        </w:rPr>
        <w:t xml:space="preserve"> powrotnych zamontowano zawory odcinające (ZO). Każda jednostka </w:t>
      </w:r>
      <w:r w:rsidR="00827AF7">
        <w:rPr>
          <w:rFonts w:ascii="Convection" w:hAnsi="Convection" w:cs="Calibri"/>
        </w:rPr>
        <w:t xml:space="preserve">jest </w:t>
      </w:r>
      <w:r w:rsidR="004C58B4" w:rsidRPr="00641069">
        <w:rPr>
          <w:rFonts w:ascii="Convection" w:hAnsi="Convection" w:cs="Calibri"/>
        </w:rPr>
        <w:t xml:space="preserve">standardowo wyposażona w króćce technologiczne umożliwiające: napełnianie i odpowietrzanie instalacji (O). </w:t>
      </w:r>
    </w:p>
    <w:p w14:paraId="01EE9EF5" w14:textId="77777777" w:rsidR="004C58B4" w:rsidRPr="00641069" w:rsidRDefault="004C58B4" w:rsidP="002D4C17">
      <w:pPr>
        <w:pStyle w:val="Standard"/>
        <w:spacing w:after="0" w:line="360" w:lineRule="auto"/>
        <w:ind w:firstLine="708"/>
        <w:jc w:val="both"/>
        <w:rPr>
          <w:rFonts w:ascii="Convection" w:hAnsi="Convection" w:cs="Calibri"/>
        </w:rPr>
      </w:pPr>
      <w:r w:rsidRPr="00641069">
        <w:rPr>
          <w:rFonts w:ascii="Convection" w:hAnsi="Convection" w:cs="Calibri"/>
        </w:rPr>
        <w:t xml:space="preserve">Każda komora  powinna być wyposażona w tworzywową, izolowaną </w:t>
      </w:r>
      <w:r w:rsidR="002A1887" w:rsidRPr="00641069">
        <w:rPr>
          <w:rFonts w:ascii="Convection" w:hAnsi="Convection" w:cs="Calibri"/>
        </w:rPr>
        <w:t xml:space="preserve">termicznie </w:t>
      </w:r>
      <w:r w:rsidRPr="00641069">
        <w:rPr>
          <w:rFonts w:ascii="Convection" w:hAnsi="Convection" w:cs="Calibri"/>
        </w:rPr>
        <w:t>pokrywę włazową, zamykaną metodą “twist-off”</w:t>
      </w:r>
      <w:r w:rsidRPr="00641069">
        <w:rPr>
          <w:rFonts w:ascii="Convection" w:hAnsi="Convection"/>
        </w:rPr>
        <w:t xml:space="preserve"> </w:t>
      </w:r>
      <w:r w:rsidRPr="00641069">
        <w:rPr>
          <w:rFonts w:ascii="Convection" w:hAnsi="Convection" w:cs="Calibri"/>
        </w:rPr>
        <w:t>z możliwością zabezpieczenia przed dostępem osób „trzecich”. Studnie kolektorowe powinny mieć możliwość posadowienia w różnych warunkach, jak np. w pasie drogowym, dzięki dodatkowym systemowym elementom wyposażenia, takim jak pierścień odciążający, właz żeliwny, itp. oraz na głębokości większej niż jej nominalna wysokość dzięki zastosowaniu odpowiedniej nadstawki, pozwalającej na wydłużenie studni o 0,5 m.</w:t>
      </w:r>
    </w:p>
    <w:p w14:paraId="5BAA2CCE" w14:textId="68CA7404" w:rsidR="003F6D32" w:rsidRDefault="00AA533F" w:rsidP="006669AB">
      <w:pPr>
        <w:pStyle w:val="Standard"/>
        <w:spacing w:after="0" w:line="360" w:lineRule="auto"/>
        <w:ind w:firstLine="708"/>
        <w:jc w:val="both"/>
        <w:rPr>
          <w:rFonts w:ascii="Convection" w:hAnsi="Convection" w:cs="Calibri"/>
        </w:rPr>
      </w:pPr>
      <w:r w:rsidRPr="00641069">
        <w:rPr>
          <w:rFonts w:ascii="Convection" w:hAnsi="Convection" w:cs="Calibri"/>
        </w:rPr>
        <w:t>Posadowienie studni należy wykonać zgodnie z „</w:t>
      </w:r>
      <w:r w:rsidRPr="00B224D6">
        <w:rPr>
          <w:rFonts w:ascii="Convection" w:hAnsi="Convection" w:cs="Calibri"/>
          <w:b/>
          <w:u w:val="single"/>
        </w:rPr>
        <w:t>Wytycznymi posadowienia i montażu studni rozdzielaczowych dolnego źródła ciepła</w:t>
      </w:r>
      <w:r w:rsidRPr="00B224D6">
        <w:rPr>
          <w:rFonts w:ascii="Convection" w:hAnsi="Convection" w:cs="Calibri"/>
          <w:u w:val="single"/>
        </w:rPr>
        <w:t xml:space="preserve">”. </w:t>
      </w:r>
      <w:r w:rsidRPr="00641069">
        <w:rPr>
          <w:rFonts w:ascii="Convection" w:hAnsi="Convection" w:cs="Calibri"/>
        </w:rPr>
        <w:t xml:space="preserve">Opracowanie: Zespół Centrum Zrównoważonego Rozwoju i Poszanowania Energii Akademii Górniczo-Hutniczej. Kraków 2020. </w:t>
      </w:r>
    </w:p>
    <w:p w14:paraId="2A85D319" w14:textId="77777777" w:rsidR="00827AF7" w:rsidRPr="00641069" w:rsidRDefault="00827AF7" w:rsidP="003F6D32">
      <w:pPr>
        <w:pStyle w:val="Standard"/>
        <w:spacing w:after="0" w:line="360" w:lineRule="auto"/>
        <w:ind w:firstLine="426"/>
        <w:rPr>
          <w:rFonts w:ascii="Convection" w:hAnsi="Convectio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00F21152" w14:textId="77777777" w:rsidTr="00C63D38">
        <w:tc>
          <w:tcPr>
            <w:tcW w:w="9212" w:type="dxa"/>
            <w:shd w:val="clear" w:color="auto" w:fill="EAF1DD" w:themeFill="accent3" w:themeFillTint="33"/>
          </w:tcPr>
          <w:p w14:paraId="6B002E03" w14:textId="77777777" w:rsidR="002D4C17" w:rsidRPr="00295A80" w:rsidRDefault="002D4C17" w:rsidP="002D4C17">
            <w:pPr>
              <w:pStyle w:val="Akapitzlist"/>
              <w:numPr>
                <w:ilvl w:val="0"/>
                <w:numId w:val="48"/>
              </w:numPr>
              <w:ind w:hanging="720"/>
              <w:jc w:val="both"/>
              <w:rPr>
                <w:rFonts w:ascii="Convection" w:hAnsi="Convection"/>
                <w:sz w:val="20"/>
                <w:szCs w:val="20"/>
              </w:rPr>
            </w:pPr>
            <w:r w:rsidRPr="00295A80">
              <w:rPr>
                <w:rFonts w:ascii="Convection" w:hAnsi="Convection" w:cs="Arial"/>
                <w:b/>
                <w:color w:val="131713"/>
                <w:sz w:val="20"/>
                <w:szCs w:val="20"/>
              </w:rPr>
              <w:t>Rury rozprowadzające</w:t>
            </w:r>
            <w:r w:rsidR="00194EEF">
              <w:rPr>
                <w:rFonts w:ascii="Convection" w:hAnsi="Convection" w:cs="Arial"/>
                <w:b/>
                <w:color w:val="131713"/>
                <w:sz w:val="20"/>
                <w:szCs w:val="20"/>
              </w:rPr>
              <w:t xml:space="preserve"> (RR)</w:t>
            </w:r>
          </w:p>
        </w:tc>
      </w:tr>
    </w:tbl>
    <w:p w14:paraId="618F1D60" w14:textId="77777777" w:rsidR="002D4C17" w:rsidRPr="00641069" w:rsidRDefault="002D4C17" w:rsidP="002D4C17">
      <w:pPr>
        <w:spacing w:after="0" w:line="360" w:lineRule="auto"/>
        <w:jc w:val="both"/>
        <w:rPr>
          <w:rFonts w:ascii="Convection" w:hAnsi="Convection" w:cs="Calibri"/>
        </w:rPr>
      </w:pPr>
    </w:p>
    <w:p w14:paraId="4A66DA9F" w14:textId="77777777" w:rsidR="004C58B4" w:rsidRPr="00641069" w:rsidRDefault="00194EEF" w:rsidP="002D4C17">
      <w:pPr>
        <w:spacing w:after="0" w:line="360" w:lineRule="auto"/>
        <w:ind w:firstLine="708"/>
        <w:jc w:val="both"/>
        <w:rPr>
          <w:rFonts w:ascii="Convection" w:hAnsi="Convection" w:cs="Calibri"/>
        </w:rPr>
      </w:pPr>
      <w:r>
        <w:rPr>
          <w:rFonts w:ascii="Convection" w:hAnsi="Convection" w:cs="Calibri"/>
        </w:rPr>
        <w:t>Rury rozprowadzające (RR) s</w:t>
      </w:r>
      <w:r w:rsidR="004C58B4" w:rsidRPr="00641069">
        <w:rPr>
          <w:rFonts w:ascii="Convection" w:hAnsi="Convection" w:cs="Calibri"/>
        </w:rPr>
        <w:t>łużą do transportu medium pomiędzy wymiennikiem g</w:t>
      </w:r>
      <w:r w:rsidR="00746A73">
        <w:rPr>
          <w:rFonts w:ascii="Convection" w:hAnsi="Convection" w:cs="Calibri"/>
        </w:rPr>
        <w:t>runto</w:t>
      </w:r>
      <w:r>
        <w:rPr>
          <w:rFonts w:ascii="Convection" w:hAnsi="Convection" w:cs="Calibri"/>
        </w:rPr>
        <w:t>wym</w:t>
      </w:r>
      <w:r w:rsidR="004C58B4" w:rsidRPr="00641069">
        <w:rPr>
          <w:rFonts w:ascii="Convection" w:hAnsi="Convection" w:cs="Calibri"/>
        </w:rPr>
        <w:t xml:space="preserve"> a rozdzielaczem. RR powinny być wykonane z polietylenu wysokiej gęstości HDPE100, który charakteryzuje się  zwiększoną żywotnością w porównaniu do rur stalowych, odpornością chemiczną na większość substancji występujących w transportowanym medium (zgodnie z tabelą odporności chemicznej HDPE) oraz wysoką wytrzymałością mechaniczną i odpornością termiczną w przypadku stałej pracy w środowisku ujemnych temperatur. Dodatkowo, prz</w:t>
      </w:r>
      <w:r w:rsidR="00525763" w:rsidRPr="00641069">
        <w:rPr>
          <w:rFonts w:ascii="Convection" w:hAnsi="Convection" w:cs="Calibri"/>
        </w:rPr>
        <w:t xml:space="preserve">ewody mogą </w:t>
      </w:r>
      <w:r w:rsidR="004C58B4" w:rsidRPr="00641069">
        <w:rPr>
          <w:rFonts w:ascii="Convection" w:hAnsi="Convection" w:cs="Calibri"/>
        </w:rPr>
        <w:t>być wykonane w technologii HDPE 100 RC (High-density polyethylene  resistant  to  crack), którą cechuje zwiększona odporność na nacisk punktowy i powolną propagację pęknięć. Zastosowany materiał powinien wykluczać występowanie zjawiska korozji powierzchni zewnętrznych i wewnętrznych oraz inkrustracji rur osadem od wewnątrz.</w:t>
      </w:r>
    </w:p>
    <w:p w14:paraId="66DDD688" w14:textId="77777777" w:rsidR="004C58B4" w:rsidRPr="00641069" w:rsidRDefault="004C58B4" w:rsidP="002D4C17">
      <w:pPr>
        <w:spacing w:after="0" w:line="360" w:lineRule="auto"/>
        <w:ind w:firstLine="708"/>
        <w:jc w:val="both"/>
        <w:rPr>
          <w:rFonts w:ascii="Convection" w:hAnsi="Convection" w:cs="Calibri"/>
        </w:rPr>
      </w:pPr>
      <w:r w:rsidRPr="00641069">
        <w:rPr>
          <w:rFonts w:ascii="Convection" w:hAnsi="Convection" w:cs="Calibri"/>
        </w:rPr>
        <w:t xml:space="preserve">RR, o średnicach i w typoszeregu ciśnieniowym wynikających z obliczeń projektowych, powinny być  układane  możliwie  ze  spadkiem (min.  1%)  w  kierunku  gruntowego  wymiennika ciepła,  przy  zachowaniu  minimalnych  promieni gięcia. W przypadku przewodów wykonanych </w:t>
      </w:r>
      <w:r w:rsidRPr="00641069">
        <w:rPr>
          <w:rFonts w:ascii="Convection" w:hAnsi="Convection" w:cs="Calibri"/>
        </w:rPr>
        <w:br/>
      </w:r>
      <w:r w:rsidRPr="00641069">
        <w:rPr>
          <w:rFonts w:ascii="Convection" w:hAnsi="Convection" w:cs="Calibri"/>
        </w:rPr>
        <w:lastRenderedPageBreak/>
        <w:t>w technologii HDPE100 RC nie ma konieczności stosowania  obsypki piaskowej. W odpowiedniej odległości nad RR, należy zastosować taśmę ostrzegawczą, która dzięki</w:t>
      </w:r>
      <w:r w:rsidRPr="00641069">
        <w:rPr>
          <w:rFonts w:ascii="Convection" w:hAnsi="Convection"/>
        </w:rPr>
        <w:t xml:space="preserve"> </w:t>
      </w:r>
      <w:r w:rsidRPr="00641069">
        <w:rPr>
          <w:rFonts w:ascii="Convection" w:hAnsi="Convection" w:cs="Calibri"/>
        </w:rPr>
        <w:t>zamontowanemu elementowi metalizowanemu umożliwia łatwą lokalizację obiektu przy późniejszych pracach ziemnych.</w:t>
      </w:r>
    </w:p>
    <w:p w14:paraId="677C1843" w14:textId="77777777" w:rsidR="004C58B4" w:rsidRPr="00641069" w:rsidRDefault="004C58B4" w:rsidP="002D4C17">
      <w:pPr>
        <w:spacing w:after="0" w:line="360" w:lineRule="auto"/>
        <w:ind w:firstLine="708"/>
        <w:jc w:val="both"/>
        <w:rPr>
          <w:rFonts w:ascii="Convection" w:hAnsi="Convection" w:cs="Calibri"/>
          <w:b/>
        </w:rPr>
      </w:pPr>
      <w:r w:rsidRPr="00641069">
        <w:rPr>
          <w:rFonts w:ascii="Convection" w:hAnsi="Convection" w:cs="Calibri"/>
          <w:b/>
        </w:rPr>
        <w:t xml:space="preserve">Do łączenia rur należy </w:t>
      </w:r>
      <w:r w:rsidR="00827AF7">
        <w:rPr>
          <w:rFonts w:ascii="Convection" w:hAnsi="Convection" w:cs="Calibri"/>
          <w:b/>
        </w:rPr>
        <w:t>za</w:t>
      </w:r>
      <w:r w:rsidRPr="00641069">
        <w:rPr>
          <w:rFonts w:ascii="Convection" w:hAnsi="Convection" w:cs="Calibri"/>
          <w:b/>
        </w:rPr>
        <w:t xml:space="preserve">stosować </w:t>
      </w:r>
      <w:r w:rsidR="00827AF7">
        <w:rPr>
          <w:rFonts w:ascii="Convection" w:hAnsi="Convection" w:cs="Calibri"/>
          <w:b/>
        </w:rPr>
        <w:t xml:space="preserve">elektrooporową </w:t>
      </w:r>
      <w:r w:rsidRPr="00641069">
        <w:rPr>
          <w:rFonts w:ascii="Convection" w:hAnsi="Convection" w:cs="Calibri"/>
          <w:b/>
        </w:rPr>
        <w:t xml:space="preserve">metodę polifuzji termicznej, która  gwarantuje szczelne  i wytrzymałe połączenie. </w:t>
      </w:r>
    </w:p>
    <w:p w14:paraId="1EBBC205" w14:textId="77777777" w:rsidR="0058484C" w:rsidRPr="00641069" w:rsidRDefault="0058484C" w:rsidP="002D4C17">
      <w:pPr>
        <w:spacing w:after="0" w:line="360" w:lineRule="auto"/>
        <w:ind w:firstLine="708"/>
        <w:jc w:val="both"/>
        <w:rPr>
          <w:rFonts w:ascii="Convection" w:hAnsi="Convection" w:cs="Calibri"/>
          <w:b/>
        </w:rPr>
      </w:pPr>
    </w:p>
    <w:p w14:paraId="240F0113" w14:textId="77777777" w:rsidR="0058484C" w:rsidRPr="00641069" w:rsidRDefault="0058484C" w:rsidP="002D4C17">
      <w:pPr>
        <w:spacing w:after="0" w:line="360" w:lineRule="auto"/>
        <w:ind w:firstLine="708"/>
        <w:jc w:val="both"/>
        <w:rPr>
          <w:rFonts w:ascii="Convection" w:hAnsi="Convection" w:cs="Calibri"/>
          <w:b/>
        </w:rPr>
      </w:pPr>
    </w:p>
    <w:p w14:paraId="6EA905C6" w14:textId="77777777" w:rsidR="0058484C" w:rsidRPr="00641069" w:rsidRDefault="0058484C" w:rsidP="002D4C17">
      <w:pPr>
        <w:spacing w:after="0" w:line="360" w:lineRule="auto"/>
        <w:ind w:firstLine="708"/>
        <w:jc w:val="both"/>
        <w:rPr>
          <w:rFonts w:ascii="Convection" w:hAnsi="Convection" w:cs="Calibr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335E2BAC" w14:textId="77777777" w:rsidTr="00C63D38">
        <w:tc>
          <w:tcPr>
            <w:tcW w:w="9212" w:type="dxa"/>
            <w:shd w:val="clear" w:color="auto" w:fill="EAF1DD" w:themeFill="accent3" w:themeFillTint="33"/>
          </w:tcPr>
          <w:p w14:paraId="654F6EE5" w14:textId="77777777" w:rsidR="002D4C17" w:rsidRPr="00295A80" w:rsidRDefault="002D4C17" w:rsidP="002D4C17">
            <w:pPr>
              <w:pStyle w:val="Akapitzlist"/>
              <w:numPr>
                <w:ilvl w:val="0"/>
                <w:numId w:val="48"/>
              </w:numPr>
              <w:ind w:hanging="720"/>
              <w:jc w:val="both"/>
              <w:rPr>
                <w:rFonts w:ascii="Convection" w:hAnsi="Convection"/>
                <w:sz w:val="20"/>
                <w:szCs w:val="20"/>
              </w:rPr>
            </w:pPr>
            <w:r w:rsidRPr="00295A80">
              <w:rPr>
                <w:rFonts w:ascii="Convection" w:hAnsi="Convection" w:cs="Arial"/>
                <w:b/>
                <w:color w:val="131713"/>
                <w:sz w:val="20"/>
                <w:szCs w:val="20"/>
              </w:rPr>
              <w:t>Rury dobiegowe</w:t>
            </w:r>
            <w:r w:rsidR="00194EEF">
              <w:rPr>
                <w:rFonts w:ascii="Convection" w:hAnsi="Convection" w:cs="Arial"/>
                <w:b/>
                <w:color w:val="131713"/>
                <w:sz w:val="20"/>
                <w:szCs w:val="20"/>
              </w:rPr>
              <w:t xml:space="preserve"> (RD)</w:t>
            </w:r>
          </w:p>
        </w:tc>
      </w:tr>
    </w:tbl>
    <w:p w14:paraId="3EBE2F37" w14:textId="77777777" w:rsidR="002D4C17" w:rsidRPr="00295A80" w:rsidRDefault="002D4C17" w:rsidP="002D4C17">
      <w:pPr>
        <w:spacing w:after="0" w:line="360" w:lineRule="auto"/>
        <w:jc w:val="both"/>
        <w:rPr>
          <w:rFonts w:ascii="Convection" w:hAnsi="Convection"/>
          <w:sz w:val="20"/>
          <w:szCs w:val="20"/>
        </w:rPr>
      </w:pPr>
    </w:p>
    <w:p w14:paraId="212620A2" w14:textId="77777777" w:rsidR="004C58B4" w:rsidRPr="00641069" w:rsidRDefault="00194EEF" w:rsidP="002D4C17">
      <w:pPr>
        <w:spacing w:after="0" w:line="360" w:lineRule="auto"/>
        <w:ind w:firstLine="708"/>
        <w:jc w:val="both"/>
        <w:rPr>
          <w:rFonts w:ascii="Convection" w:hAnsi="Convection" w:cs="Calibri"/>
        </w:rPr>
      </w:pPr>
      <w:r w:rsidRPr="00641069">
        <w:rPr>
          <w:rFonts w:ascii="Convection" w:hAnsi="Convection" w:cs="Calibri"/>
        </w:rPr>
        <w:t>Rury dobiegowe (RD)</w:t>
      </w:r>
      <w:r>
        <w:rPr>
          <w:rFonts w:ascii="Convection" w:hAnsi="Convection" w:cs="Calibri"/>
        </w:rPr>
        <w:t xml:space="preserve"> s</w:t>
      </w:r>
      <w:r w:rsidR="004C58B4" w:rsidRPr="00641069">
        <w:rPr>
          <w:rFonts w:ascii="Convection" w:hAnsi="Convection" w:cs="Calibri"/>
        </w:rPr>
        <w:t>łużą do transportu medium pomiędzy studnią rozdziela</w:t>
      </w:r>
      <w:r w:rsidR="00EB284A">
        <w:rPr>
          <w:rFonts w:ascii="Convection" w:hAnsi="Convection" w:cs="Calibri"/>
        </w:rPr>
        <w:t xml:space="preserve">czową a </w:t>
      </w:r>
      <w:r w:rsidR="004C58B4" w:rsidRPr="00641069">
        <w:rPr>
          <w:rFonts w:ascii="Convection" w:hAnsi="Convection" w:cs="Calibri"/>
        </w:rPr>
        <w:t>rozdzielaczem sekcyjnym lub studnią zbiorczą a</w:t>
      </w:r>
      <w:r w:rsidR="004C58B4" w:rsidRPr="00641069">
        <w:rPr>
          <w:rFonts w:ascii="Convection" w:hAnsi="Convection"/>
        </w:rPr>
        <w:t xml:space="preserve"> </w:t>
      </w:r>
      <w:r w:rsidR="004C58B4" w:rsidRPr="00641069">
        <w:rPr>
          <w:rFonts w:ascii="Convection" w:hAnsi="Convection" w:cs="Calibri"/>
        </w:rPr>
        <w:t xml:space="preserve">maszynownią pomp ciepła. RD powinny być wykonane z polietylenu wysokiej gęstości HDPE100, który charakteryzuje się zwiększoną żywotnością w porównaniu do rur </w:t>
      </w:r>
      <w:r w:rsidR="00827AF7">
        <w:rPr>
          <w:rFonts w:ascii="Convection" w:hAnsi="Convection" w:cs="Calibri"/>
        </w:rPr>
        <w:t>stalo</w:t>
      </w:r>
      <w:r w:rsidR="004C58B4" w:rsidRPr="00641069">
        <w:rPr>
          <w:rFonts w:ascii="Convection" w:hAnsi="Convection" w:cs="Calibri"/>
        </w:rPr>
        <w:t>wych, odpornością chemiczną na większość substancji występujących w transportowanym medium (zgodnie z tabelą odporności chemicznej HDPE)</w:t>
      </w:r>
      <w:r w:rsidR="004C58B4" w:rsidRPr="00641069">
        <w:rPr>
          <w:rFonts w:ascii="Convection" w:hAnsi="Convection"/>
        </w:rPr>
        <w:t xml:space="preserve"> oraz </w:t>
      </w:r>
      <w:r w:rsidR="004C58B4" w:rsidRPr="00641069">
        <w:rPr>
          <w:rFonts w:ascii="Convection" w:hAnsi="Convection" w:cs="Calibri"/>
        </w:rPr>
        <w:t>wysoką wytrzymałością mechaniczną i odpornością termiczną w przypadku stałej pracy w środo</w:t>
      </w:r>
      <w:r>
        <w:rPr>
          <w:rFonts w:ascii="Convection" w:hAnsi="Convection" w:cs="Calibri"/>
        </w:rPr>
        <w:t>-</w:t>
      </w:r>
      <w:r w:rsidR="004C58B4" w:rsidRPr="00641069">
        <w:rPr>
          <w:rFonts w:ascii="Convection" w:hAnsi="Convection" w:cs="Calibri"/>
        </w:rPr>
        <w:t>wisku ujemnych temperatur.</w:t>
      </w:r>
      <w:r>
        <w:rPr>
          <w:rFonts w:ascii="Convection" w:hAnsi="Convection" w:cs="Calibri"/>
        </w:rPr>
        <w:t xml:space="preserve"> </w:t>
      </w:r>
      <w:r w:rsidR="004C58B4" w:rsidRPr="00641069">
        <w:rPr>
          <w:rFonts w:ascii="Convection" w:hAnsi="Convection" w:cs="Calibri"/>
        </w:rPr>
        <w:t>RD o średnicach i w typoszeregu ciśnieniowym wynikających z obliczeń projektowych, powinny być  układane  możliwie  ze  spadkiem (min.  1%)  w  kierunku  gruntowego  wymiennika ciepła,  przy  zachowaniu minimalnych promieni gięcia. W odpowiedniej odległości nad RD, należy zastosować taśmę ostrzegawczą, która umożliwia łatwą lokalizację obiektu przy późniejszych pracach ziemnych.</w:t>
      </w:r>
    </w:p>
    <w:p w14:paraId="4EBE9D8C" w14:textId="77777777" w:rsidR="004C58B4" w:rsidRPr="00641069" w:rsidRDefault="004C58B4" w:rsidP="002D4C17">
      <w:pPr>
        <w:spacing w:after="0" w:line="360" w:lineRule="auto"/>
        <w:ind w:firstLine="708"/>
        <w:jc w:val="both"/>
        <w:rPr>
          <w:rFonts w:ascii="Convection" w:hAnsi="Convection"/>
        </w:rPr>
      </w:pPr>
      <w:r w:rsidRPr="00641069">
        <w:rPr>
          <w:rFonts w:ascii="Convection" w:hAnsi="Convection" w:cs="Calibri"/>
          <w:b/>
        </w:rPr>
        <w:t xml:space="preserve">Do łączenia rur należy </w:t>
      </w:r>
      <w:r w:rsidR="008153D4">
        <w:rPr>
          <w:rFonts w:ascii="Convection" w:hAnsi="Convection" w:cs="Calibri"/>
          <w:b/>
        </w:rPr>
        <w:t>za</w:t>
      </w:r>
      <w:r w:rsidRPr="00641069">
        <w:rPr>
          <w:rFonts w:ascii="Convection" w:hAnsi="Convection" w:cs="Calibri"/>
          <w:b/>
        </w:rPr>
        <w:t xml:space="preserve">stosować </w:t>
      </w:r>
      <w:r w:rsidR="008153D4">
        <w:rPr>
          <w:rFonts w:ascii="Convection" w:hAnsi="Convection" w:cs="Calibri"/>
          <w:b/>
        </w:rPr>
        <w:t xml:space="preserve">elektrooporową </w:t>
      </w:r>
      <w:r w:rsidRPr="00641069">
        <w:rPr>
          <w:rFonts w:ascii="Convection" w:hAnsi="Convection" w:cs="Calibri"/>
          <w:b/>
        </w:rPr>
        <w:t>metodę polifuzji termicznej, która  gwarantuje szczelne  i wytrzymałe połączenie.</w:t>
      </w:r>
      <w:r w:rsidRPr="00641069">
        <w:rPr>
          <w:rFonts w:ascii="Convection" w:hAnsi="Convection"/>
        </w:rPr>
        <w:t xml:space="preserve"> </w:t>
      </w:r>
    </w:p>
    <w:p w14:paraId="01AEF4A1" w14:textId="77777777" w:rsidR="0058484C" w:rsidRPr="00641069" w:rsidRDefault="0058484C" w:rsidP="002D4C17">
      <w:pPr>
        <w:spacing w:after="0" w:line="360" w:lineRule="auto"/>
        <w:ind w:firstLine="708"/>
        <w:jc w:val="both"/>
        <w:rPr>
          <w:rFonts w:ascii="Convection" w:hAnsi="Convection" w:cs="Calibri"/>
        </w:rPr>
      </w:pPr>
    </w:p>
    <w:p w14:paraId="2FEB8620" w14:textId="77777777" w:rsidR="004C58B4" w:rsidRDefault="004C58B4" w:rsidP="002D4C17">
      <w:pPr>
        <w:spacing w:after="0" w:line="360" w:lineRule="auto"/>
        <w:jc w:val="both"/>
        <w:rPr>
          <w:rFonts w:ascii="Convection" w:hAnsi="Convection"/>
        </w:rPr>
      </w:pPr>
    </w:p>
    <w:p w14:paraId="798557F5" w14:textId="77777777" w:rsidR="008153D4" w:rsidRPr="00641069" w:rsidRDefault="008153D4" w:rsidP="002D4C17">
      <w:pPr>
        <w:spacing w:after="0" w:line="360" w:lineRule="auto"/>
        <w:jc w:val="both"/>
        <w:rPr>
          <w:rFonts w:ascii="Convection" w:hAnsi="Convectio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22DE3A1F" w14:textId="77777777" w:rsidTr="00C63D38">
        <w:tc>
          <w:tcPr>
            <w:tcW w:w="9212" w:type="dxa"/>
            <w:shd w:val="clear" w:color="auto" w:fill="EAF1DD" w:themeFill="accent3" w:themeFillTint="33"/>
          </w:tcPr>
          <w:p w14:paraId="0B8C5D26" w14:textId="77777777" w:rsidR="002D4C17" w:rsidRPr="00295A80" w:rsidRDefault="002D4C17" w:rsidP="002D4C17">
            <w:pPr>
              <w:pStyle w:val="Akapitzlist"/>
              <w:numPr>
                <w:ilvl w:val="0"/>
                <w:numId w:val="48"/>
              </w:numPr>
              <w:suppressAutoHyphens w:val="0"/>
              <w:autoSpaceDN/>
              <w:spacing w:line="276" w:lineRule="auto"/>
              <w:ind w:hanging="720"/>
              <w:contextualSpacing/>
              <w:textAlignment w:val="auto"/>
              <w:rPr>
                <w:rFonts w:ascii="Convection" w:hAnsi="Convection"/>
                <w:b/>
                <w:sz w:val="20"/>
                <w:szCs w:val="20"/>
              </w:rPr>
            </w:pPr>
            <w:r w:rsidRPr="00295A80">
              <w:rPr>
                <w:rFonts w:ascii="Convection" w:hAnsi="Convection"/>
                <w:b/>
                <w:sz w:val="20"/>
                <w:szCs w:val="20"/>
              </w:rPr>
              <w:t>Przejście przewodów instalacyjnych dolnego źródła przez pionową przegrodę budowlaną</w:t>
            </w:r>
          </w:p>
        </w:tc>
      </w:tr>
    </w:tbl>
    <w:p w14:paraId="42687D65" w14:textId="77777777" w:rsidR="002D4C17" w:rsidRPr="00641069" w:rsidRDefault="002D4C17" w:rsidP="002D4C17">
      <w:pPr>
        <w:spacing w:after="0" w:line="360" w:lineRule="auto"/>
        <w:jc w:val="both"/>
        <w:rPr>
          <w:rFonts w:ascii="Convection" w:hAnsi="Convection"/>
        </w:rPr>
      </w:pPr>
    </w:p>
    <w:p w14:paraId="3D9F6621" w14:textId="77777777" w:rsidR="00FF5AED" w:rsidRDefault="004C58B4" w:rsidP="0058484C">
      <w:pPr>
        <w:spacing w:after="0" w:line="360" w:lineRule="auto"/>
        <w:ind w:firstLine="360"/>
        <w:jc w:val="both"/>
        <w:rPr>
          <w:rFonts w:ascii="Convection" w:hAnsi="Convection"/>
        </w:rPr>
      </w:pPr>
      <w:r w:rsidRPr="00641069">
        <w:rPr>
          <w:rFonts w:ascii="Convection" w:hAnsi="Convection"/>
        </w:rPr>
        <w:t xml:space="preserve">W celu poprawnego przeprowadzenia przewodów rurowych, transportujących medium, przez ścianę budynku, </w:t>
      </w:r>
      <w:r w:rsidRPr="00B224D6">
        <w:rPr>
          <w:rFonts w:ascii="Convection" w:hAnsi="Convection"/>
          <w:b/>
          <w:u w:val="single"/>
        </w:rPr>
        <w:t>należy wykonać przepust składający  się z 2 współosiowych rur.</w:t>
      </w:r>
      <w:r w:rsidRPr="00B224D6">
        <w:rPr>
          <w:rFonts w:ascii="Convection" w:hAnsi="Convection"/>
          <w:u w:val="single"/>
        </w:rPr>
        <w:t xml:space="preserve"> </w:t>
      </w:r>
      <w:r w:rsidRPr="00641069">
        <w:rPr>
          <w:rFonts w:ascii="Convection" w:hAnsi="Convection"/>
        </w:rPr>
        <w:t>Zewnętrzna, stanowi tzw. tuleję ochronną, wewnętrzna monolityczna bez jakichkolwiek połączeń w przegrodzie (zalecenia Ministerstwa Infrastruktury zawarte w „Warunkach technicznych wykonania i odbioru instalacji budowlanych” z 2003 r. oraz zasady sztuki obowiązujące w instalacjach dolnych źródeł do gruntowych pomp ciepła).</w:t>
      </w:r>
    </w:p>
    <w:p w14:paraId="271DE30C" w14:textId="77777777" w:rsidR="002D4C17" w:rsidRPr="00641069" w:rsidRDefault="004C58B4" w:rsidP="0058484C">
      <w:pPr>
        <w:spacing w:after="0" w:line="360" w:lineRule="auto"/>
        <w:ind w:firstLine="360"/>
        <w:jc w:val="both"/>
        <w:rPr>
          <w:rFonts w:ascii="Convection" w:hAnsi="Convection"/>
        </w:rPr>
      </w:pPr>
      <w:r w:rsidRPr="00641069">
        <w:rPr>
          <w:rFonts w:ascii="Convection" w:hAnsi="Convection"/>
        </w:rPr>
        <w:t xml:space="preserve">Przestrzeń między rurami wypełniona powinna być  izolacją termiczną.  Właściwości </w:t>
      </w:r>
      <w:r w:rsidRPr="00641069">
        <w:rPr>
          <w:rFonts w:ascii="Convection" w:hAnsi="Convection"/>
        </w:rPr>
        <w:lastRenderedPageBreak/>
        <w:t>hyd</w:t>
      </w:r>
      <w:r w:rsidR="00B20E26" w:rsidRPr="00641069">
        <w:rPr>
          <w:rFonts w:ascii="Convection" w:hAnsi="Convection"/>
        </w:rPr>
        <w:t>r</w:t>
      </w:r>
      <w:r w:rsidRPr="00641069">
        <w:rPr>
          <w:rFonts w:ascii="Convection" w:hAnsi="Convection"/>
        </w:rPr>
        <w:t xml:space="preserve">oizolacyjne powinno zapewnić specjalne uszczelnienie  np. bentonitowo-kauczukowe, które pod wpływem wilgoci pęcznieje, wypełniając dokładnie w otworze, przestrzeń pierścieniową wokół przepustu w ścianie. </w:t>
      </w:r>
      <w:r w:rsidRPr="00B224D6">
        <w:rPr>
          <w:rFonts w:ascii="Convection" w:hAnsi="Convection"/>
          <w:b/>
          <w:u w:val="single"/>
        </w:rPr>
        <w:t>Dodatkowo, powinien stanowić punkt stały instalacji, bez możliwości przesuwania się względem przegrody</w:t>
      </w:r>
      <w:r w:rsidRPr="00641069">
        <w:rPr>
          <w:rFonts w:ascii="Convection" w:hAnsi="Convection"/>
        </w:rPr>
        <w:t xml:space="preserve">. </w:t>
      </w:r>
    </w:p>
    <w:p w14:paraId="409BFBC8" w14:textId="77777777" w:rsidR="000A0883" w:rsidRPr="00641069" w:rsidRDefault="000A0883" w:rsidP="0058484C">
      <w:pPr>
        <w:spacing w:after="0" w:line="360" w:lineRule="auto"/>
        <w:ind w:firstLine="360"/>
        <w:jc w:val="both"/>
        <w:rPr>
          <w:rFonts w:ascii="Convection" w:hAnsi="Convection"/>
        </w:rPr>
      </w:pPr>
      <w:r w:rsidRPr="00641069">
        <w:rPr>
          <w:rFonts w:ascii="Convection" w:hAnsi="Convection"/>
        </w:rPr>
        <w:t>Średnica przejścia prze</w:t>
      </w:r>
      <w:r w:rsidR="005935CD" w:rsidRPr="00641069">
        <w:rPr>
          <w:rFonts w:ascii="Convection" w:hAnsi="Convection"/>
        </w:rPr>
        <w:t>z przegrodę budowlaną odpowiada średnicy rury dobiegowej łączącej rozdzielacz geotermalny z instalacją maszynowni pompy ciepła.</w:t>
      </w:r>
    </w:p>
    <w:p w14:paraId="3B16F8E1" w14:textId="77777777" w:rsidR="008153D4" w:rsidRDefault="008153D4" w:rsidP="003F6D32">
      <w:pPr>
        <w:spacing w:after="0" w:line="360" w:lineRule="auto"/>
        <w:ind w:firstLine="360"/>
        <w:jc w:val="center"/>
        <w:rPr>
          <w:rFonts w:ascii="Palatino Linotype" w:hAnsi="Palatino Linotype"/>
          <w:sz w:val="20"/>
          <w:szCs w:val="20"/>
        </w:rPr>
      </w:pPr>
    </w:p>
    <w:p w14:paraId="7B56A5AE" w14:textId="77777777" w:rsidR="003F6D32" w:rsidRDefault="00FF5AED" w:rsidP="00FF5AED">
      <w:pPr>
        <w:spacing w:after="0" w:line="360" w:lineRule="auto"/>
        <w:jc w:val="center"/>
        <w:rPr>
          <w:rFonts w:ascii="Palatino Linotype" w:hAnsi="Palatino Linotype"/>
          <w:sz w:val="20"/>
          <w:szCs w:val="20"/>
        </w:rPr>
      </w:pPr>
      <w:r>
        <w:rPr>
          <w:rFonts w:ascii="Palatino Linotype" w:hAnsi="Palatino Linotype"/>
          <w:noProof/>
          <w:sz w:val="20"/>
          <w:szCs w:val="20"/>
          <w:lang w:eastAsia="pl-PL"/>
        </w:rPr>
        <w:drawing>
          <wp:inline distT="0" distB="0" distL="0" distR="0" wp14:anchorId="27707253" wp14:editId="1FDEA4A2">
            <wp:extent cx="4898967" cy="2053656"/>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er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2241" cy="2055028"/>
                    </a:xfrm>
                    <a:prstGeom prst="rect">
                      <a:avLst/>
                    </a:prstGeom>
                  </pic:spPr>
                </pic:pic>
              </a:graphicData>
            </a:graphic>
          </wp:inline>
        </w:drawing>
      </w:r>
    </w:p>
    <w:p w14:paraId="461EEB2A" w14:textId="77777777" w:rsidR="003F6D32" w:rsidRDefault="003F6D32" w:rsidP="003F6D32">
      <w:pPr>
        <w:spacing w:after="0" w:line="360" w:lineRule="auto"/>
        <w:ind w:firstLine="360"/>
        <w:jc w:val="center"/>
        <w:rPr>
          <w:rFonts w:ascii="Palatino Linotype" w:hAnsi="Palatino Linotype"/>
          <w:sz w:val="20"/>
          <w:szCs w:val="20"/>
        </w:rPr>
      </w:pPr>
    </w:p>
    <w:p w14:paraId="2B3073EA" w14:textId="77777777" w:rsidR="00FF5AED" w:rsidRDefault="00FF5AED" w:rsidP="003F6D32">
      <w:pPr>
        <w:spacing w:after="0" w:line="360" w:lineRule="auto"/>
        <w:ind w:firstLine="360"/>
        <w:jc w:val="center"/>
        <w:rPr>
          <w:rFonts w:ascii="Palatino Linotype" w:hAnsi="Palatino Linotype"/>
          <w:sz w:val="20"/>
          <w:szCs w:val="20"/>
        </w:rPr>
      </w:pPr>
    </w:p>
    <w:p w14:paraId="7CDBA0AF" w14:textId="77777777" w:rsidR="003F6D32" w:rsidRDefault="003F6D32" w:rsidP="003F6D32">
      <w:pPr>
        <w:spacing w:after="0" w:line="360" w:lineRule="auto"/>
        <w:ind w:firstLine="360"/>
        <w:jc w:val="center"/>
        <w:rPr>
          <w:rFonts w:ascii="Palatino Linotype" w:hAnsi="Palatino Linotype"/>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295A80" w14:paraId="598AAC5D" w14:textId="77777777" w:rsidTr="00C63D38">
        <w:tc>
          <w:tcPr>
            <w:tcW w:w="9212" w:type="dxa"/>
            <w:shd w:val="clear" w:color="auto" w:fill="EAF1DD" w:themeFill="accent3" w:themeFillTint="33"/>
          </w:tcPr>
          <w:p w14:paraId="10B0611F" w14:textId="77777777" w:rsidR="002D4C17" w:rsidRPr="00295A80" w:rsidRDefault="002D4C17" w:rsidP="002D4C17">
            <w:pPr>
              <w:pStyle w:val="Akapitzlist"/>
              <w:numPr>
                <w:ilvl w:val="0"/>
                <w:numId w:val="48"/>
              </w:numPr>
              <w:suppressAutoHyphens w:val="0"/>
              <w:autoSpaceDN/>
              <w:spacing w:line="276" w:lineRule="auto"/>
              <w:ind w:hanging="720"/>
              <w:contextualSpacing/>
              <w:textAlignment w:val="auto"/>
              <w:rPr>
                <w:rFonts w:ascii="Convection" w:hAnsi="Convection"/>
                <w:b/>
                <w:sz w:val="20"/>
                <w:szCs w:val="20"/>
              </w:rPr>
            </w:pPr>
            <w:r w:rsidRPr="00295A80">
              <w:rPr>
                <w:rFonts w:ascii="Convection" w:hAnsi="Convection"/>
                <w:b/>
                <w:sz w:val="20"/>
                <w:szCs w:val="20"/>
              </w:rPr>
              <w:t>Płyn chłodniczy</w:t>
            </w:r>
          </w:p>
        </w:tc>
      </w:tr>
    </w:tbl>
    <w:p w14:paraId="38035E47" w14:textId="77777777" w:rsidR="002D4C17" w:rsidRPr="00641069" w:rsidRDefault="002D4C17" w:rsidP="002D4C17">
      <w:pPr>
        <w:spacing w:after="0" w:line="360" w:lineRule="auto"/>
        <w:jc w:val="both"/>
        <w:rPr>
          <w:rFonts w:ascii="Convection" w:hAnsi="Convection"/>
        </w:rPr>
      </w:pPr>
    </w:p>
    <w:p w14:paraId="7444923F" w14:textId="77777777" w:rsidR="004C58B4" w:rsidRPr="00641069" w:rsidRDefault="004C58B4" w:rsidP="002D4C17">
      <w:pPr>
        <w:spacing w:after="0" w:line="360" w:lineRule="auto"/>
        <w:ind w:firstLine="360"/>
        <w:jc w:val="both"/>
        <w:rPr>
          <w:rFonts w:ascii="Convection" w:hAnsi="Convection"/>
        </w:rPr>
      </w:pPr>
      <w:r w:rsidRPr="00641069">
        <w:rPr>
          <w:rFonts w:ascii="Convection" w:hAnsi="Convection"/>
        </w:rPr>
        <w:t>Płyn chłodniczy jest elementem systemu dolnego źródła, służącym do transportu ciepła</w:t>
      </w:r>
      <w:r w:rsidRPr="00641069">
        <w:rPr>
          <w:rFonts w:ascii="Convection" w:hAnsi="Convection"/>
        </w:rPr>
        <w:br/>
        <w:t xml:space="preserve">w instalacjach, w których medium z uwagi na pracę w niskich temperaturach musi charakteryzować się odpowiednim zabezpieczeniem </w:t>
      </w:r>
      <w:r w:rsidR="00B20E26" w:rsidRPr="00641069">
        <w:rPr>
          <w:rFonts w:ascii="Convection" w:hAnsi="Convection"/>
        </w:rPr>
        <w:t xml:space="preserve"> </w:t>
      </w:r>
      <w:r w:rsidRPr="00641069">
        <w:rPr>
          <w:rFonts w:ascii="Convection" w:hAnsi="Convection"/>
        </w:rPr>
        <w:t xml:space="preserve">antyzamrożeniowym. </w:t>
      </w:r>
    </w:p>
    <w:p w14:paraId="05AB6D88" w14:textId="77777777" w:rsidR="008153D4" w:rsidRDefault="004C58B4" w:rsidP="002D4C17">
      <w:pPr>
        <w:spacing w:after="0" w:line="360" w:lineRule="auto"/>
        <w:ind w:firstLine="360"/>
        <w:jc w:val="both"/>
        <w:rPr>
          <w:rFonts w:ascii="Convection" w:hAnsi="Convection"/>
        </w:rPr>
      </w:pPr>
      <w:r w:rsidRPr="00641069">
        <w:rPr>
          <w:rFonts w:ascii="Convection" w:hAnsi="Convection"/>
        </w:rPr>
        <w:t xml:space="preserve">Jako medium, należy </w:t>
      </w:r>
      <w:r w:rsidR="008153D4">
        <w:rPr>
          <w:rFonts w:ascii="Convection" w:hAnsi="Convection"/>
        </w:rPr>
        <w:t xml:space="preserve">zastosować </w:t>
      </w:r>
      <w:r w:rsidRPr="00641069">
        <w:rPr>
          <w:rFonts w:ascii="Convection" w:hAnsi="Convection"/>
        </w:rPr>
        <w:t>płyn oparty na glikolu propylenowym, gwarantujący właściwości wymiany ciepła przy jednoczesnej odporności na jego degradację, korozję oraz rozwój bakterii w instalacji. Płyny, powinny zawierać pakiet inhib</w:t>
      </w:r>
      <w:r w:rsidR="00947D09">
        <w:rPr>
          <w:rFonts w:ascii="Convection" w:hAnsi="Convection"/>
        </w:rPr>
        <w:t xml:space="preserve">itorów, neutralizujących kwasy, które </w:t>
      </w:r>
      <w:r w:rsidRPr="00641069">
        <w:rPr>
          <w:rFonts w:ascii="Convection" w:hAnsi="Convection"/>
        </w:rPr>
        <w:t>powstając</w:t>
      </w:r>
      <w:r w:rsidR="0065764F">
        <w:rPr>
          <w:rFonts w:ascii="Convection" w:hAnsi="Convection"/>
        </w:rPr>
        <w:br/>
      </w:r>
      <w:r w:rsidRPr="00641069">
        <w:rPr>
          <w:rFonts w:ascii="Convection" w:hAnsi="Convection"/>
        </w:rPr>
        <w:t>w wyniku utleniania glikolu, powodują zmianę poziomu pH.</w:t>
      </w:r>
    </w:p>
    <w:p w14:paraId="7A3DBA20" w14:textId="39D19C3D" w:rsidR="00437C69" w:rsidRDefault="008153D4" w:rsidP="006669AB">
      <w:pPr>
        <w:spacing w:after="0" w:line="360" w:lineRule="auto"/>
        <w:jc w:val="both"/>
        <w:rPr>
          <w:rFonts w:ascii="Convection" w:hAnsi="Convection"/>
        </w:rPr>
      </w:pPr>
      <w:r>
        <w:rPr>
          <w:rFonts w:ascii="Convection" w:hAnsi="Convection"/>
        </w:rPr>
        <w:t>Zmniejszanie ryzyka</w:t>
      </w:r>
      <w:r w:rsidR="004C58B4" w:rsidRPr="00641069">
        <w:rPr>
          <w:rFonts w:ascii="Convection" w:hAnsi="Convection"/>
        </w:rPr>
        <w:t xml:space="preserve"> rozwoju mikroorganizmów minimalizuje niebezpieczeństwo rozwoju korozji mikrobiologicznej.</w:t>
      </w:r>
      <w:r>
        <w:rPr>
          <w:rFonts w:ascii="Convection" w:hAnsi="Convection"/>
        </w:rPr>
        <w:t xml:space="preserve"> </w:t>
      </w:r>
      <w:r w:rsidR="004C58B4" w:rsidRPr="00641069">
        <w:rPr>
          <w:rFonts w:ascii="Convection" w:hAnsi="Convection"/>
        </w:rPr>
        <w:t>Wodny roztwór glikolu propylenowego ma zapewnić ochronę przed zamarznięciem  do temperatury  -</w:t>
      </w:r>
      <w:r w:rsidR="00525763" w:rsidRPr="00641069">
        <w:rPr>
          <w:rFonts w:ascii="Convection" w:hAnsi="Convection"/>
        </w:rPr>
        <w:t xml:space="preserve"> </w:t>
      </w:r>
      <w:r w:rsidR="004C58B4" w:rsidRPr="00641069">
        <w:rPr>
          <w:rFonts w:ascii="Convection" w:hAnsi="Convection"/>
        </w:rPr>
        <w:t>15</w:t>
      </w:r>
      <w:r w:rsidR="00525763" w:rsidRPr="00641069">
        <w:rPr>
          <w:rFonts w:ascii="Convection" w:hAnsi="Convection"/>
          <w:vertAlign w:val="superscript"/>
        </w:rPr>
        <w:t xml:space="preserve">O </w:t>
      </w:r>
      <w:r w:rsidR="004C58B4" w:rsidRPr="00641069">
        <w:rPr>
          <w:rFonts w:ascii="Convection" w:hAnsi="Convection"/>
        </w:rPr>
        <w:t>C.</w:t>
      </w:r>
    </w:p>
    <w:p w14:paraId="2D1A6818" w14:textId="77777777" w:rsidR="008153D4" w:rsidRPr="00641069" w:rsidRDefault="008153D4" w:rsidP="002D4C17">
      <w:pPr>
        <w:spacing w:after="0" w:line="360" w:lineRule="auto"/>
        <w:ind w:firstLine="360"/>
        <w:jc w:val="both"/>
        <w:rPr>
          <w:rFonts w:ascii="Convection" w:hAnsi="Convectio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212"/>
      </w:tblGrid>
      <w:tr w:rsidR="002D4C17" w:rsidRPr="00641069" w14:paraId="5FA86759" w14:textId="77777777" w:rsidTr="00C63D38">
        <w:tc>
          <w:tcPr>
            <w:tcW w:w="9212" w:type="dxa"/>
            <w:shd w:val="clear" w:color="auto" w:fill="EAF1DD" w:themeFill="accent3" w:themeFillTint="33"/>
          </w:tcPr>
          <w:p w14:paraId="69182DF8" w14:textId="77777777" w:rsidR="002D4C17" w:rsidRPr="00641069" w:rsidRDefault="002D4C17" w:rsidP="002D4C17">
            <w:pPr>
              <w:pStyle w:val="Akapitzlist"/>
              <w:numPr>
                <w:ilvl w:val="0"/>
                <w:numId w:val="48"/>
              </w:numPr>
              <w:suppressAutoHyphens w:val="0"/>
              <w:autoSpaceDN/>
              <w:spacing w:line="276" w:lineRule="auto"/>
              <w:ind w:hanging="720"/>
              <w:contextualSpacing/>
              <w:textAlignment w:val="auto"/>
              <w:rPr>
                <w:rFonts w:ascii="Convection" w:hAnsi="Convection"/>
                <w:b/>
              </w:rPr>
            </w:pPr>
            <w:r w:rsidRPr="00641069">
              <w:rPr>
                <w:rFonts w:ascii="Convection" w:hAnsi="Convection"/>
                <w:b/>
              </w:rPr>
              <w:t>Materiał wypełniający odwiert</w:t>
            </w:r>
          </w:p>
        </w:tc>
      </w:tr>
    </w:tbl>
    <w:p w14:paraId="5A919C85" w14:textId="77777777" w:rsidR="002D4C17" w:rsidRPr="00641069" w:rsidRDefault="002D4C17" w:rsidP="002D4C17">
      <w:pPr>
        <w:spacing w:after="0" w:line="360" w:lineRule="auto"/>
        <w:jc w:val="both"/>
        <w:rPr>
          <w:rFonts w:ascii="Convection" w:hAnsi="Convection"/>
        </w:rPr>
      </w:pPr>
    </w:p>
    <w:p w14:paraId="1F2E7655" w14:textId="77777777" w:rsidR="004C58B4" w:rsidRPr="00B224D6" w:rsidRDefault="005F5AC5" w:rsidP="002D4C17">
      <w:pPr>
        <w:spacing w:after="0" w:line="360" w:lineRule="auto"/>
        <w:ind w:firstLine="360"/>
        <w:jc w:val="both"/>
        <w:rPr>
          <w:rFonts w:ascii="Convection" w:hAnsi="Convection"/>
          <w:b/>
          <w:u w:val="single"/>
        </w:rPr>
      </w:pPr>
      <w:r w:rsidRPr="00641069">
        <w:rPr>
          <w:rFonts w:ascii="Convection" w:hAnsi="Convection"/>
        </w:rPr>
        <w:t xml:space="preserve">Przestrzeń pierścieniową pomiędzy ścianą odwiertu a sondą geotermalną należy wypełnić </w:t>
      </w:r>
      <w:r w:rsidR="006D7F41" w:rsidRPr="00641069">
        <w:rPr>
          <w:rFonts w:ascii="Convection" w:hAnsi="Convection"/>
        </w:rPr>
        <w:lastRenderedPageBreak/>
        <w:t xml:space="preserve">szczelnie </w:t>
      </w:r>
      <w:r w:rsidRPr="00641069">
        <w:rPr>
          <w:rFonts w:ascii="Convection" w:hAnsi="Convection"/>
        </w:rPr>
        <w:t>dedykowaną do t</w:t>
      </w:r>
      <w:r w:rsidR="006D7F41" w:rsidRPr="00641069">
        <w:rPr>
          <w:rFonts w:ascii="Convection" w:hAnsi="Convection"/>
        </w:rPr>
        <w:t xml:space="preserve">ych celów </w:t>
      </w:r>
      <w:r w:rsidRPr="00641069">
        <w:rPr>
          <w:rFonts w:ascii="Convection" w:hAnsi="Convection"/>
        </w:rPr>
        <w:t>masą.</w:t>
      </w:r>
      <w:r w:rsidR="004C58B4" w:rsidRPr="00641069">
        <w:rPr>
          <w:rFonts w:ascii="Convection" w:hAnsi="Convection"/>
        </w:rPr>
        <w:t xml:space="preserve"> </w:t>
      </w:r>
      <w:r w:rsidR="006D7F41" w:rsidRPr="00641069">
        <w:rPr>
          <w:rFonts w:ascii="Convection" w:hAnsi="Convection"/>
        </w:rPr>
        <w:t>Do przygotowania masy wypełniającej n</w:t>
      </w:r>
      <w:r w:rsidR="004C58B4" w:rsidRPr="00641069">
        <w:rPr>
          <w:rFonts w:ascii="Convection" w:hAnsi="Convection"/>
        </w:rPr>
        <w:t xml:space="preserve">ależy zastosować </w:t>
      </w:r>
      <w:r w:rsidR="006D7F41" w:rsidRPr="00641069">
        <w:rPr>
          <w:rFonts w:ascii="Convection" w:hAnsi="Convection"/>
        </w:rPr>
        <w:t>fabrycznie przy</w:t>
      </w:r>
      <w:r w:rsidR="004C58B4" w:rsidRPr="00641069">
        <w:rPr>
          <w:rFonts w:ascii="Convection" w:hAnsi="Convection"/>
        </w:rPr>
        <w:t>gotow</w:t>
      </w:r>
      <w:r w:rsidR="006D7F41" w:rsidRPr="00641069">
        <w:rPr>
          <w:rFonts w:ascii="Convection" w:hAnsi="Convection"/>
        </w:rPr>
        <w:t>an</w:t>
      </w:r>
      <w:r w:rsidR="004C58B4" w:rsidRPr="00641069">
        <w:rPr>
          <w:rFonts w:ascii="Convection" w:hAnsi="Convection"/>
        </w:rPr>
        <w:t>ą mieszankę zwiększ</w:t>
      </w:r>
      <w:r w:rsidR="00101271" w:rsidRPr="00641069">
        <w:rPr>
          <w:rFonts w:ascii="Convection" w:hAnsi="Convection"/>
        </w:rPr>
        <w:t>ającą</w:t>
      </w:r>
      <w:r w:rsidR="004C58B4" w:rsidRPr="00641069">
        <w:rPr>
          <w:rFonts w:ascii="Convection" w:hAnsi="Convection"/>
        </w:rPr>
        <w:t xml:space="preserve"> przewodnictw</w:t>
      </w:r>
      <w:r w:rsidR="00101271" w:rsidRPr="00641069">
        <w:rPr>
          <w:rFonts w:ascii="Convection" w:hAnsi="Convection"/>
        </w:rPr>
        <w:t>o</w:t>
      </w:r>
      <w:r w:rsidR="004C58B4" w:rsidRPr="00641069">
        <w:rPr>
          <w:rFonts w:ascii="Convection" w:hAnsi="Convection"/>
        </w:rPr>
        <w:t xml:space="preserve"> cieplne odwiertu, chroni</w:t>
      </w:r>
      <w:r w:rsidR="00101271" w:rsidRPr="00641069">
        <w:rPr>
          <w:rFonts w:ascii="Convection" w:hAnsi="Convection"/>
        </w:rPr>
        <w:t>ącą</w:t>
      </w:r>
      <w:r w:rsidR="004C58B4" w:rsidRPr="00641069">
        <w:rPr>
          <w:rFonts w:ascii="Convection" w:hAnsi="Convection"/>
        </w:rPr>
        <w:t xml:space="preserve"> wymiennik pionowy przed uszkodzeniami  mechanicznymi, zapobiega</w:t>
      </w:r>
      <w:r w:rsidR="00101271" w:rsidRPr="00641069">
        <w:rPr>
          <w:rFonts w:ascii="Convection" w:hAnsi="Convection"/>
        </w:rPr>
        <w:t>jącą</w:t>
      </w:r>
      <w:r w:rsidR="004C58B4" w:rsidRPr="00641069">
        <w:rPr>
          <w:rFonts w:ascii="Convection" w:hAnsi="Convection"/>
        </w:rPr>
        <w:t xml:space="preserve"> mieszaniu się wód z poszczególnych warstw wodonośnych</w:t>
      </w:r>
      <w:r w:rsidR="006D7F41" w:rsidRPr="00641069">
        <w:rPr>
          <w:rFonts w:ascii="Convection" w:hAnsi="Convection"/>
        </w:rPr>
        <w:t>.</w:t>
      </w:r>
      <w:r w:rsidR="004C58B4" w:rsidRPr="00641069">
        <w:rPr>
          <w:rFonts w:ascii="Convection" w:hAnsi="Convection"/>
        </w:rPr>
        <w:t xml:space="preserve"> </w:t>
      </w:r>
      <w:r w:rsidR="006D7F41" w:rsidRPr="00641069">
        <w:rPr>
          <w:rFonts w:ascii="Convection" w:hAnsi="Convection"/>
        </w:rPr>
        <w:t xml:space="preserve">Wymaga się, aby zastosowana masa </w:t>
      </w:r>
      <w:r w:rsidR="004C58B4" w:rsidRPr="00641069">
        <w:rPr>
          <w:rFonts w:ascii="Convection" w:hAnsi="Convection"/>
        </w:rPr>
        <w:t>nadawała się do stosowania w strefach ochrony wód podziemnych z uwzględnieniem standardów higienicznych wobec ujęć wody pitnej</w:t>
      </w:r>
      <w:r w:rsidR="006D7F41" w:rsidRPr="00641069">
        <w:rPr>
          <w:rFonts w:ascii="Convection" w:hAnsi="Convection"/>
        </w:rPr>
        <w:t xml:space="preserve">. </w:t>
      </w:r>
      <w:r w:rsidR="006D7F41" w:rsidRPr="00B224D6">
        <w:rPr>
          <w:rFonts w:ascii="Convection" w:hAnsi="Convection"/>
          <w:b/>
          <w:u w:val="single"/>
        </w:rPr>
        <w:t>P</w:t>
      </w:r>
      <w:r w:rsidR="005935CD" w:rsidRPr="00B224D6">
        <w:rPr>
          <w:rFonts w:ascii="Convection" w:hAnsi="Convection"/>
          <w:b/>
          <w:u w:val="single"/>
        </w:rPr>
        <w:t xml:space="preserve">rodukt </w:t>
      </w:r>
      <w:r w:rsidR="006D7F41" w:rsidRPr="00B224D6">
        <w:rPr>
          <w:rFonts w:ascii="Convection" w:hAnsi="Convection"/>
          <w:b/>
          <w:u w:val="single"/>
        </w:rPr>
        <w:t xml:space="preserve">powinien </w:t>
      </w:r>
      <w:r w:rsidR="005935CD" w:rsidRPr="00B224D6">
        <w:rPr>
          <w:rFonts w:ascii="Convection" w:hAnsi="Convection"/>
          <w:b/>
          <w:u w:val="single"/>
        </w:rPr>
        <w:t>posiada</w:t>
      </w:r>
      <w:r w:rsidR="006D7F41" w:rsidRPr="00B224D6">
        <w:rPr>
          <w:rFonts w:ascii="Convection" w:hAnsi="Convection"/>
          <w:b/>
          <w:u w:val="single"/>
        </w:rPr>
        <w:t>ć</w:t>
      </w:r>
      <w:r w:rsidR="005935CD" w:rsidRPr="00B224D6">
        <w:rPr>
          <w:rFonts w:ascii="Convection" w:hAnsi="Convection"/>
          <w:b/>
          <w:u w:val="single"/>
        </w:rPr>
        <w:t xml:space="preserve"> Atest Higieniczny</w:t>
      </w:r>
      <w:r w:rsidR="006D7F41" w:rsidRPr="00B224D6">
        <w:rPr>
          <w:rFonts w:ascii="Convection" w:hAnsi="Convection"/>
          <w:b/>
          <w:u w:val="single"/>
        </w:rPr>
        <w:t>.</w:t>
      </w:r>
    </w:p>
    <w:sectPr w:rsidR="004C58B4" w:rsidRPr="00B224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C9DD" w14:textId="77777777" w:rsidR="00677922" w:rsidRDefault="00677922">
      <w:pPr>
        <w:spacing w:after="0" w:line="240" w:lineRule="auto"/>
      </w:pPr>
      <w:r>
        <w:separator/>
      </w:r>
    </w:p>
  </w:endnote>
  <w:endnote w:type="continuationSeparator" w:id="0">
    <w:p w14:paraId="754B5E05" w14:textId="77777777" w:rsidR="00677922" w:rsidRDefault="0067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vection">
    <w:altName w:val="Tahoma"/>
    <w:charset w:val="00"/>
    <w:family w:val="swiss"/>
    <w:pitch w:val="variable"/>
    <w:sig w:usb0="800002AF" w:usb1="50000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9559" w14:textId="77777777" w:rsidR="00677922" w:rsidRDefault="00677922">
      <w:pPr>
        <w:spacing w:after="0" w:line="240" w:lineRule="auto"/>
      </w:pPr>
      <w:r>
        <w:rPr>
          <w:color w:val="000000"/>
        </w:rPr>
        <w:separator/>
      </w:r>
    </w:p>
  </w:footnote>
  <w:footnote w:type="continuationSeparator" w:id="0">
    <w:p w14:paraId="56321E45" w14:textId="77777777" w:rsidR="00677922" w:rsidRDefault="0067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A5C"/>
    <w:multiLevelType w:val="multilevel"/>
    <w:tmpl w:val="180E24EA"/>
    <w:styleLink w:val="WWNum25"/>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3923646"/>
    <w:multiLevelType w:val="hybridMultilevel"/>
    <w:tmpl w:val="E0581AA8"/>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637F5A"/>
    <w:multiLevelType w:val="hybridMultilevel"/>
    <w:tmpl w:val="6FDE1B88"/>
    <w:lvl w:ilvl="0" w:tplc="BCD27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40E6A"/>
    <w:multiLevelType w:val="multilevel"/>
    <w:tmpl w:val="48B0EB64"/>
    <w:styleLink w:val="WWNum1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5CF0931"/>
    <w:multiLevelType w:val="multilevel"/>
    <w:tmpl w:val="8006F23A"/>
    <w:styleLink w:val="WWNum28"/>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D065915"/>
    <w:multiLevelType w:val="multilevel"/>
    <w:tmpl w:val="9DBA7548"/>
    <w:styleLink w:val="WWNum33"/>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0454A5"/>
    <w:multiLevelType w:val="multilevel"/>
    <w:tmpl w:val="02E09D0A"/>
    <w:styleLink w:val="WWNum24"/>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063C6F"/>
    <w:multiLevelType w:val="multilevel"/>
    <w:tmpl w:val="5F84E42A"/>
    <w:styleLink w:val="WWNum1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11D3DFE"/>
    <w:multiLevelType w:val="multilevel"/>
    <w:tmpl w:val="105CD81E"/>
    <w:styleLink w:val="WWNum8"/>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1BE5CB3"/>
    <w:multiLevelType w:val="multilevel"/>
    <w:tmpl w:val="2CB44186"/>
    <w:styleLink w:val="WWNum1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6155E32"/>
    <w:multiLevelType w:val="hybridMultilevel"/>
    <w:tmpl w:val="D0B0A07E"/>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9F17AA"/>
    <w:multiLevelType w:val="multilevel"/>
    <w:tmpl w:val="15B62EA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8CB4DD0"/>
    <w:multiLevelType w:val="multilevel"/>
    <w:tmpl w:val="F146A5E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A377640"/>
    <w:multiLevelType w:val="multilevel"/>
    <w:tmpl w:val="AB8C85A8"/>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CDB30F4"/>
    <w:multiLevelType w:val="multilevel"/>
    <w:tmpl w:val="5A20E7C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DFA3546"/>
    <w:multiLevelType w:val="hybridMultilevel"/>
    <w:tmpl w:val="25F8E524"/>
    <w:lvl w:ilvl="0" w:tplc="D2D4C0A6">
      <w:start w:val="5"/>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25D3F"/>
    <w:multiLevelType w:val="multilevel"/>
    <w:tmpl w:val="E8D8660A"/>
    <w:styleLink w:val="WWNum1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2926DD8"/>
    <w:multiLevelType w:val="hybridMultilevel"/>
    <w:tmpl w:val="9AA8BFD6"/>
    <w:lvl w:ilvl="0" w:tplc="70ACE338">
      <w:start w:val="7"/>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13B9C"/>
    <w:multiLevelType w:val="hybridMultilevel"/>
    <w:tmpl w:val="E738F652"/>
    <w:lvl w:ilvl="0" w:tplc="1DB2A2F4">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76250"/>
    <w:multiLevelType w:val="hybridMultilevel"/>
    <w:tmpl w:val="6AE656E6"/>
    <w:lvl w:ilvl="0" w:tplc="548CE61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E3A61"/>
    <w:multiLevelType w:val="multilevel"/>
    <w:tmpl w:val="A43629E8"/>
    <w:styleLink w:val="WWNum3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D9E1147"/>
    <w:multiLevelType w:val="multilevel"/>
    <w:tmpl w:val="F14CB6B0"/>
    <w:styleLink w:val="WWNum7"/>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E534942"/>
    <w:multiLevelType w:val="multilevel"/>
    <w:tmpl w:val="53D0B8AC"/>
    <w:styleLink w:val="WWNum23"/>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E736FD3"/>
    <w:multiLevelType w:val="multilevel"/>
    <w:tmpl w:val="8194A11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E8E1DCD"/>
    <w:multiLevelType w:val="multilevel"/>
    <w:tmpl w:val="1152CFDA"/>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FFD0F54"/>
    <w:multiLevelType w:val="multilevel"/>
    <w:tmpl w:val="995A7F9A"/>
    <w:styleLink w:val="WWNum9"/>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5CD1D19"/>
    <w:multiLevelType w:val="multilevel"/>
    <w:tmpl w:val="0AC6B28E"/>
    <w:styleLink w:val="WWNum2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A026D15"/>
    <w:multiLevelType w:val="multilevel"/>
    <w:tmpl w:val="26665EBE"/>
    <w:styleLink w:val="WWNum2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AA55516"/>
    <w:multiLevelType w:val="multilevel"/>
    <w:tmpl w:val="A7D88008"/>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FCE65F6"/>
    <w:multiLevelType w:val="multilevel"/>
    <w:tmpl w:val="A0D8FEA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12A7137"/>
    <w:multiLevelType w:val="multilevel"/>
    <w:tmpl w:val="5336B61C"/>
    <w:styleLink w:val="WWNum17"/>
    <w:lvl w:ilvl="0">
      <w:numFmt w:val="bullet"/>
      <w:lvlText w:val="o"/>
      <w:lvlJc w:val="left"/>
      <w:rPr>
        <w:rFonts w:ascii="Courier New" w:hAnsi="Courier New" w:cs="Courier New"/>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6C748D3"/>
    <w:multiLevelType w:val="hybridMultilevel"/>
    <w:tmpl w:val="4DCA9F02"/>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763C6C"/>
    <w:multiLevelType w:val="hybridMultilevel"/>
    <w:tmpl w:val="8C029C48"/>
    <w:lvl w:ilvl="0" w:tplc="1BD2CE58">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714F77"/>
    <w:multiLevelType w:val="multilevel"/>
    <w:tmpl w:val="79367F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BF63247"/>
    <w:multiLevelType w:val="multilevel"/>
    <w:tmpl w:val="9B627B6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5D15468"/>
    <w:multiLevelType w:val="multilevel"/>
    <w:tmpl w:val="C6A2E7D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74C1AC4"/>
    <w:multiLevelType w:val="hybridMultilevel"/>
    <w:tmpl w:val="877E82CE"/>
    <w:lvl w:ilvl="0" w:tplc="C8283D86">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93125"/>
    <w:multiLevelType w:val="multilevel"/>
    <w:tmpl w:val="1D00F4E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D176044"/>
    <w:multiLevelType w:val="multilevel"/>
    <w:tmpl w:val="C7D6EA9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4041ECF"/>
    <w:multiLevelType w:val="multilevel"/>
    <w:tmpl w:val="41D8673A"/>
    <w:styleLink w:val="WWNum18"/>
    <w:lvl w:ilvl="0">
      <w:numFmt w:val="bullet"/>
      <w:lvlText w:val="o"/>
      <w:lvlJc w:val="left"/>
      <w:rPr>
        <w:rFonts w:ascii="Courier New" w:hAnsi="Courier New" w:cs="Courier New"/>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6BC669C"/>
    <w:multiLevelType w:val="hybridMultilevel"/>
    <w:tmpl w:val="89ECC7FC"/>
    <w:lvl w:ilvl="0" w:tplc="87AA12BE">
      <w:start w:val="2"/>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673F1"/>
    <w:multiLevelType w:val="multilevel"/>
    <w:tmpl w:val="914ECA7C"/>
    <w:styleLink w:val="WWNum2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B3F66E7"/>
    <w:multiLevelType w:val="multilevel"/>
    <w:tmpl w:val="DBD8AC5E"/>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D197709"/>
    <w:multiLevelType w:val="multilevel"/>
    <w:tmpl w:val="E9306856"/>
    <w:styleLink w:val="WWNum1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912037805">
    <w:abstractNumId w:val="12"/>
  </w:num>
  <w:num w:numId="2" w16cid:durableId="1517233497">
    <w:abstractNumId w:val="28"/>
  </w:num>
  <w:num w:numId="3" w16cid:durableId="1131241465">
    <w:abstractNumId w:val="35"/>
  </w:num>
  <w:num w:numId="4" w16cid:durableId="1612008290">
    <w:abstractNumId w:val="37"/>
  </w:num>
  <w:num w:numId="5" w16cid:durableId="595291211">
    <w:abstractNumId w:val="34"/>
  </w:num>
  <w:num w:numId="6" w16cid:durableId="210272191">
    <w:abstractNumId w:val="38"/>
  </w:num>
  <w:num w:numId="7" w16cid:durableId="2017414999">
    <w:abstractNumId w:val="21"/>
  </w:num>
  <w:num w:numId="8" w16cid:durableId="965886968">
    <w:abstractNumId w:val="8"/>
  </w:num>
  <w:num w:numId="9" w16cid:durableId="221839910">
    <w:abstractNumId w:val="25"/>
  </w:num>
  <w:num w:numId="10" w16cid:durableId="2090998819">
    <w:abstractNumId w:val="33"/>
  </w:num>
  <w:num w:numId="11" w16cid:durableId="1931428011">
    <w:abstractNumId w:val="23"/>
  </w:num>
  <w:num w:numId="12" w16cid:durableId="963578224">
    <w:abstractNumId w:val="3"/>
  </w:num>
  <w:num w:numId="13" w16cid:durableId="865754127">
    <w:abstractNumId w:val="43"/>
  </w:num>
  <w:num w:numId="14" w16cid:durableId="2032683115">
    <w:abstractNumId w:val="16"/>
  </w:num>
  <w:num w:numId="15" w16cid:durableId="927351814">
    <w:abstractNumId w:val="9"/>
  </w:num>
  <w:num w:numId="16" w16cid:durableId="2048528757">
    <w:abstractNumId w:val="7"/>
  </w:num>
  <w:num w:numId="17" w16cid:durableId="1473447312">
    <w:abstractNumId w:val="30"/>
  </w:num>
  <w:num w:numId="18" w16cid:durableId="2023507971">
    <w:abstractNumId w:val="39"/>
  </w:num>
  <w:num w:numId="19" w16cid:durableId="214705309">
    <w:abstractNumId w:val="24"/>
  </w:num>
  <w:num w:numId="20" w16cid:durableId="211385843">
    <w:abstractNumId w:val="26"/>
  </w:num>
  <w:num w:numId="21" w16cid:durableId="778992406">
    <w:abstractNumId w:val="29"/>
  </w:num>
  <w:num w:numId="22" w16cid:durableId="390230815">
    <w:abstractNumId w:val="41"/>
  </w:num>
  <w:num w:numId="23" w16cid:durableId="1746148881">
    <w:abstractNumId w:val="22"/>
  </w:num>
  <w:num w:numId="24" w16cid:durableId="1081608973">
    <w:abstractNumId w:val="6"/>
  </w:num>
  <w:num w:numId="25" w16cid:durableId="1833793449">
    <w:abstractNumId w:val="0"/>
  </w:num>
  <w:num w:numId="26" w16cid:durableId="819425729">
    <w:abstractNumId w:val="27"/>
  </w:num>
  <w:num w:numId="27" w16cid:durableId="1844273676">
    <w:abstractNumId w:val="14"/>
  </w:num>
  <w:num w:numId="28" w16cid:durableId="353120389">
    <w:abstractNumId w:val="4"/>
  </w:num>
  <w:num w:numId="29" w16cid:durableId="728000596">
    <w:abstractNumId w:val="11"/>
  </w:num>
  <w:num w:numId="30" w16cid:durableId="386417394">
    <w:abstractNumId w:val="20"/>
  </w:num>
  <w:num w:numId="31" w16cid:durableId="142696251">
    <w:abstractNumId w:val="42"/>
  </w:num>
  <w:num w:numId="32" w16cid:durableId="1649240474">
    <w:abstractNumId w:val="13"/>
  </w:num>
  <w:num w:numId="33" w16cid:durableId="1053386632">
    <w:abstractNumId w:val="5"/>
  </w:num>
  <w:num w:numId="34" w16cid:durableId="1454136979">
    <w:abstractNumId w:val="28"/>
    <w:lvlOverride w:ilvl="0">
      <w:startOverride w:val="1"/>
      <w:lvl w:ilvl="0">
        <w:start w:val="1"/>
        <w:numFmt w:val="upperLetter"/>
        <w:lvlText w:val="%1."/>
        <w:lvlJc w:val="left"/>
        <w:rPr>
          <w:b/>
        </w:rPr>
      </w:lvl>
    </w:lvlOverride>
  </w:num>
  <w:num w:numId="35" w16cid:durableId="481776139">
    <w:abstractNumId w:val="34"/>
    <w:lvlOverride w:ilvl="0">
      <w:startOverride w:val="1"/>
      <w:lvl w:ilvl="0">
        <w:start w:val="1"/>
        <w:numFmt w:val="decimal"/>
        <w:lvlText w:val="%1."/>
        <w:lvlJc w:val="left"/>
        <w:rPr>
          <w:b/>
        </w:rPr>
      </w:lvl>
    </w:lvlOverride>
  </w:num>
  <w:num w:numId="36" w16cid:durableId="484207787">
    <w:abstractNumId w:val="21"/>
  </w:num>
  <w:num w:numId="37" w16cid:durableId="1410881416">
    <w:abstractNumId w:val="35"/>
    <w:lvlOverride w:ilvl="0">
      <w:startOverride w:val="1"/>
    </w:lvlOverride>
  </w:num>
  <w:num w:numId="38" w16cid:durableId="586617861">
    <w:abstractNumId w:val="40"/>
  </w:num>
  <w:num w:numId="39" w16cid:durableId="80231447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3966037">
    <w:abstractNumId w:val="15"/>
  </w:num>
  <w:num w:numId="41" w16cid:durableId="694884492">
    <w:abstractNumId w:val="17"/>
  </w:num>
  <w:num w:numId="42" w16cid:durableId="156749139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66544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84525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1308275">
    <w:abstractNumId w:val="19"/>
  </w:num>
  <w:num w:numId="46" w16cid:durableId="410584026">
    <w:abstractNumId w:val="18"/>
  </w:num>
  <w:num w:numId="47" w16cid:durableId="1132286864">
    <w:abstractNumId w:val="36"/>
  </w:num>
  <w:num w:numId="48" w16cid:durableId="162831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203D8"/>
    <w:rsid w:val="000A0883"/>
    <w:rsid w:val="00101271"/>
    <w:rsid w:val="001158E1"/>
    <w:rsid w:val="00186B33"/>
    <w:rsid w:val="00194EEF"/>
    <w:rsid w:val="002874BE"/>
    <w:rsid w:val="00295A80"/>
    <w:rsid w:val="002A1887"/>
    <w:rsid w:val="002D4C17"/>
    <w:rsid w:val="00336EE9"/>
    <w:rsid w:val="003A5BCD"/>
    <w:rsid w:val="003F6D32"/>
    <w:rsid w:val="00432798"/>
    <w:rsid w:val="00437C69"/>
    <w:rsid w:val="004C58B4"/>
    <w:rsid w:val="005203D8"/>
    <w:rsid w:val="00525763"/>
    <w:rsid w:val="0058484C"/>
    <w:rsid w:val="005935CD"/>
    <w:rsid w:val="005E10B5"/>
    <w:rsid w:val="005F5AC5"/>
    <w:rsid w:val="00641069"/>
    <w:rsid w:val="0065764F"/>
    <w:rsid w:val="006669AB"/>
    <w:rsid w:val="00677922"/>
    <w:rsid w:val="00683BF0"/>
    <w:rsid w:val="006925AE"/>
    <w:rsid w:val="006D7F41"/>
    <w:rsid w:val="00703F15"/>
    <w:rsid w:val="00746A73"/>
    <w:rsid w:val="00801876"/>
    <w:rsid w:val="008153D4"/>
    <w:rsid w:val="00827AF7"/>
    <w:rsid w:val="00947D09"/>
    <w:rsid w:val="00952EEE"/>
    <w:rsid w:val="009F4713"/>
    <w:rsid w:val="009F6F2F"/>
    <w:rsid w:val="00AA533F"/>
    <w:rsid w:val="00B20E26"/>
    <w:rsid w:val="00B224D6"/>
    <w:rsid w:val="00C82E51"/>
    <w:rsid w:val="00D016C4"/>
    <w:rsid w:val="00D954CE"/>
    <w:rsid w:val="00DD14BD"/>
    <w:rsid w:val="00EB284A"/>
    <w:rsid w:val="00F47205"/>
    <w:rsid w:val="00F9610D"/>
    <w:rsid w:val="00FA4468"/>
    <w:rsid w:val="00FF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9126"/>
  <w15:docId w15:val="{A4D6F7C2-D95F-4009-9C40-5D59531D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uiPriority w:val="34"/>
    <w:qFormat/>
    <w:pPr>
      <w:ind w:left="720"/>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cs="Tahoma"/>
      <w:sz w:val="16"/>
      <w:szCs w:val="16"/>
    </w:rPr>
  </w:style>
  <w:style w:type="character" w:customStyle="1" w:styleId="Internetlink">
    <w:name w:val="Internet link"/>
    <w:basedOn w:val="Domylnaczcionkaakapitu"/>
    <w:rPr>
      <w:color w:val="0000FF"/>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Courier New"/>
      <w:color w:val="00000A"/>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NormalnyWeb">
    <w:name w:val="Normal (Web)"/>
    <w:basedOn w:val="Normalny"/>
    <w:uiPriority w:val="99"/>
    <w:semiHidden/>
    <w:unhideWhenUsed/>
    <w:rsid w:val="004C58B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table" w:styleId="Tabela-Siatka">
    <w:name w:val="Table Grid"/>
    <w:basedOn w:val="Standardowy"/>
    <w:uiPriority w:val="59"/>
    <w:rsid w:val="004C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5111">
      <w:bodyDiv w:val="1"/>
      <w:marLeft w:val="0"/>
      <w:marRight w:val="0"/>
      <w:marTop w:val="0"/>
      <w:marBottom w:val="0"/>
      <w:divBdr>
        <w:top w:val="none" w:sz="0" w:space="0" w:color="auto"/>
        <w:left w:val="none" w:sz="0" w:space="0" w:color="auto"/>
        <w:bottom w:val="none" w:sz="0" w:space="0" w:color="auto"/>
        <w:right w:val="none" w:sz="0" w:space="0" w:color="auto"/>
      </w:divBdr>
    </w:div>
    <w:div w:id="633365581">
      <w:bodyDiv w:val="1"/>
      <w:marLeft w:val="0"/>
      <w:marRight w:val="0"/>
      <w:marTop w:val="0"/>
      <w:marBottom w:val="0"/>
      <w:divBdr>
        <w:top w:val="none" w:sz="0" w:space="0" w:color="auto"/>
        <w:left w:val="none" w:sz="0" w:space="0" w:color="auto"/>
        <w:bottom w:val="none" w:sz="0" w:space="0" w:color="auto"/>
        <w:right w:val="none" w:sz="0" w:space="0" w:color="auto"/>
      </w:divBdr>
    </w:div>
    <w:div w:id="1255624442">
      <w:bodyDiv w:val="1"/>
      <w:marLeft w:val="0"/>
      <w:marRight w:val="0"/>
      <w:marTop w:val="0"/>
      <w:marBottom w:val="0"/>
      <w:divBdr>
        <w:top w:val="none" w:sz="0" w:space="0" w:color="auto"/>
        <w:left w:val="none" w:sz="0" w:space="0" w:color="auto"/>
        <w:bottom w:val="none" w:sz="0" w:space="0" w:color="auto"/>
        <w:right w:val="none" w:sz="0" w:space="0" w:color="auto"/>
      </w:divBdr>
    </w:div>
    <w:div w:id="187734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1573</Words>
  <Characters>9441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Janduła</dc:creator>
  <cp:lastModifiedBy>Andrzej Barna</cp:lastModifiedBy>
  <cp:revision>15</cp:revision>
  <cp:lastPrinted>2020-11-26T09:48:00Z</cp:lastPrinted>
  <dcterms:created xsi:type="dcterms:W3CDTF">2020-11-26T09:48:00Z</dcterms:created>
  <dcterms:modified xsi:type="dcterms:W3CDTF">2023-05-30T06:06:00Z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