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177F4F" w:rsidRDefault="00143BD7" w:rsidP="00C87412">
      <w:pPr>
        <w:jc w:val="right"/>
        <w:rPr>
          <w:rFonts w:ascii="Palatino Linotype" w:hAnsi="Palatino Linotype" w:cs="Calibri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 xml:space="preserve"> </w:t>
      </w:r>
      <w:r w:rsidR="00D70D1A" w:rsidRPr="00177F4F">
        <w:rPr>
          <w:rFonts w:ascii="Palatino Linotype" w:hAnsi="Palatino Linotype" w:cs="Calibri"/>
          <w:sz w:val="22"/>
          <w:szCs w:val="22"/>
        </w:rPr>
        <w:tab/>
      </w:r>
    </w:p>
    <w:p w14:paraId="7C90786E" w14:textId="3B47FCB2" w:rsidR="00D70D1A" w:rsidRPr="00177F4F" w:rsidRDefault="001651E3" w:rsidP="00C87412">
      <w:pPr>
        <w:rPr>
          <w:rFonts w:ascii="Palatino Linotype" w:hAnsi="Palatino Linotype" w:cs="Calibri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>Nr postępowania</w:t>
      </w:r>
      <w:r w:rsidR="0043692D" w:rsidRPr="00177F4F">
        <w:rPr>
          <w:rFonts w:ascii="Palatino Linotype" w:hAnsi="Palatino Linotype"/>
          <w:sz w:val="22"/>
          <w:szCs w:val="22"/>
        </w:rPr>
        <w:t xml:space="preserve">: </w:t>
      </w:r>
      <w:r w:rsidR="00197813" w:rsidRPr="00177F4F">
        <w:rPr>
          <w:rFonts w:ascii="Palatino Linotype" w:hAnsi="Palatino Linotype"/>
          <w:sz w:val="22"/>
          <w:szCs w:val="22"/>
        </w:rPr>
        <w:t>4</w:t>
      </w:r>
      <w:r w:rsidR="0043692D" w:rsidRPr="00177F4F">
        <w:rPr>
          <w:rFonts w:ascii="Palatino Linotype" w:hAnsi="Palatino Linotype"/>
          <w:sz w:val="22"/>
          <w:szCs w:val="22"/>
        </w:rPr>
        <w:t>/PZP/202</w:t>
      </w:r>
      <w:r w:rsidR="00991123" w:rsidRPr="00177F4F">
        <w:rPr>
          <w:rFonts w:ascii="Palatino Linotype" w:hAnsi="Palatino Linotype"/>
          <w:sz w:val="22"/>
          <w:szCs w:val="22"/>
        </w:rPr>
        <w:t>3</w:t>
      </w:r>
      <w:r w:rsidR="0043692D" w:rsidRPr="00177F4F">
        <w:rPr>
          <w:rFonts w:ascii="Palatino Linotype" w:hAnsi="Palatino Linotype"/>
          <w:sz w:val="22"/>
          <w:szCs w:val="22"/>
        </w:rPr>
        <w:t xml:space="preserve">/PN          </w:t>
      </w:r>
      <w:r w:rsidRPr="00177F4F">
        <w:rPr>
          <w:rFonts w:ascii="Palatino Linotype" w:hAnsi="Palatino Linotype"/>
          <w:sz w:val="22"/>
          <w:szCs w:val="22"/>
        </w:rPr>
        <w:t xml:space="preserve">  </w:t>
      </w:r>
      <w:r w:rsidR="0043692D" w:rsidRPr="00177F4F">
        <w:rPr>
          <w:rFonts w:ascii="Palatino Linotype" w:hAnsi="Palatino Linotype"/>
          <w:sz w:val="22"/>
          <w:szCs w:val="22"/>
        </w:rPr>
        <w:t xml:space="preserve">              </w:t>
      </w:r>
      <w:r w:rsidR="00E93864" w:rsidRPr="00177F4F">
        <w:rPr>
          <w:rFonts w:ascii="Palatino Linotype" w:hAnsi="Palatino Linotype"/>
          <w:sz w:val="22"/>
          <w:szCs w:val="22"/>
        </w:rPr>
        <w:t xml:space="preserve">   </w:t>
      </w:r>
      <w:r w:rsidR="00D70D1A" w:rsidRPr="00177F4F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6B5743">
        <w:rPr>
          <w:rFonts w:ascii="Palatino Linotype" w:hAnsi="Palatino Linotype" w:cs="Calibri"/>
          <w:sz w:val="22"/>
          <w:szCs w:val="22"/>
        </w:rPr>
        <w:t>1</w:t>
      </w:r>
      <w:r w:rsidR="0049256C">
        <w:rPr>
          <w:rFonts w:ascii="Palatino Linotype" w:hAnsi="Palatino Linotype" w:cs="Calibri"/>
          <w:sz w:val="22"/>
          <w:szCs w:val="22"/>
        </w:rPr>
        <w:t>3</w:t>
      </w:r>
      <w:r w:rsidR="006B5743">
        <w:rPr>
          <w:rFonts w:ascii="Palatino Linotype" w:hAnsi="Palatino Linotype" w:cs="Calibri"/>
          <w:sz w:val="22"/>
          <w:szCs w:val="22"/>
        </w:rPr>
        <w:t>.04.2023</w:t>
      </w:r>
      <w:r w:rsidR="00D70D1A" w:rsidRPr="00177F4F">
        <w:rPr>
          <w:rFonts w:ascii="Palatino Linotype" w:hAnsi="Palatino Linotype" w:cs="Calibri"/>
          <w:sz w:val="22"/>
          <w:szCs w:val="22"/>
        </w:rPr>
        <w:t xml:space="preserve"> r.</w:t>
      </w:r>
    </w:p>
    <w:p w14:paraId="4D691596" w14:textId="77777777" w:rsidR="0094199B" w:rsidRPr="00177F4F" w:rsidRDefault="00D70D1A" w:rsidP="00C87412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177F4F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177F4F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36DFE9F" w14:textId="77777777" w:rsidR="00DD37BA" w:rsidRPr="00177F4F" w:rsidRDefault="00DD37BA" w:rsidP="00C87412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DCDFF84" w14:textId="25D294F3" w:rsidR="001956A2" w:rsidRPr="00177F4F" w:rsidRDefault="00D87C91" w:rsidP="00C87412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177F4F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F16DBD" w:rsidRPr="00177F4F">
        <w:rPr>
          <w:rFonts w:ascii="Palatino Linotype" w:hAnsi="Palatino Linotype" w:cs="Calibri"/>
          <w:b/>
          <w:bCs/>
          <w:sz w:val="22"/>
          <w:szCs w:val="22"/>
        </w:rPr>
        <w:t xml:space="preserve"> (</w:t>
      </w:r>
      <w:r w:rsidR="00147DCF">
        <w:rPr>
          <w:rFonts w:ascii="Palatino Linotype" w:hAnsi="Palatino Linotype" w:cs="Calibri"/>
          <w:b/>
          <w:bCs/>
          <w:sz w:val="22"/>
          <w:szCs w:val="22"/>
        </w:rPr>
        <w:t>3</w:t>
      </w:r>
      <w:r w:rsidR="00F16DBD" w:rsidRPr="00177F4F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22D0380E" w14:textId="77777777" w:rsidR="00D0762E" w:rsidRPr="00177F4F" w:rsidRDefault="00D0762E" w:rsidP="00C87412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29034768" w14:textId="15A7AE86" w:rsidR="001651E3" w:rsidRPr="00177F4F" w:rsidRDefault="001651E3" w:rsidP="00C87412">
      <w:pPr>
        <w:jc w:val="both"/>
        <w:rPr>
          <w:rFonts w:ascii="Palatino Linotype" w:hAnsi="Palatino Linotype" w:cs="Calibri"/>
          <w:bCs/>
          <w:sz w:val="22"/>
          <w:szCs w:val="22"/>
        </w:rPr>
      </w:pPr>
      <w:r w:rsidRPr="00177F4F">
        <w:rPr>
          <w:rFonts w:ascii="Palatino Linotype" w:hAnsi="Palatino Linotype" w:cs="Calibri"/>
          <w:bCs/>
          <w:sz w:val="22"/>
          <w:szCs w:val="22"/>
        </w:rPr>
        <w:t xml:space="preserve">Dotyczy postępowania pn. </w:t>
      </w:r>
      <w:r w:rsidRPr="00177F4F">
        <w:rPr>
          <w:rFonts w:ascii="Palatino Linotype" w:hAnsi="Palatino Linotype" w:cs="Calibri"/>
          <w:b/>
          <w:sz w:val="22"/>
          <w:szCs w:val="22"/>
        </w:rPr>
        <w:t>„</w:t>
      </w:r>
      <w:r w:rsidR="00991123" w:rsidRPr="00177F4F">
        <w:rPr>
          <w:rFonts w:ascii="Palatino Linotype" w:hAnsi="Palatino Linotype" w:cs="Arial"/>
          <w:b/>
          <w:sz w:val="22"/>
          <w:szCs w:val="22"/>
        </w:rPr>
        <w:t>Sukcesywne dostawy produktów leczniczych</w:t>
      </w:r>
      <w:r w:rsidRPr="00177F4F">
        <w:rPr>
          <w:rFonts w:ascii="Palatino Linotype" w:hAnsi="Palatino Linotype" w:cs="Calibri"/>
          <w:b/>
          <w:sz w:val="22"/>
          <w:szCs w:val="22"/>
        </w:rPr>
        <w:t>”.</w:t>
      </w:r>
    </w:p>
    <w:p w14:paraId="7DD71DD8" w14:textId="77777777" w:rsidR="004379BF" w:rsidRPr="00177F4F" w:rsidRDefault="004379BF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40A0E918" w14:textId="14619ECF" w:rsidR="00F446AE" w:rsidRPr="007B400E" w:rsidRDefault="00945BBE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77F4F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77F4F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177F4F">
        <w:rPr>
          <w:rFonts w:ascii="Palatino Linotype" w:hAnsi="Palatino Linotype"/>
          <w:sz w:val="22"/>
          <w:szCs w:val="22"/>
        </w:rPr>
        <w:t xml:space="preserve">art. </w:t>
      </w:r>
      <w:r w:rsidR="00277671" w:rsidRPr="00177F4F">
        <w:rPr>
          <w:rFonts w:ascii="Palatino Linotype" w:hAnsi="Palatino Linotype"/>
          <w:sz w:val="22"/>
          <w:szCs w:val="22"/>
        </w:rPr>
        <w:t>135</w:t>
      </w:r>
      <w:r w:rsidR="0043692D" w:rsidRPr="00177F4F">
        <w:rPr>
          <w:rFonts w:ascii="Palatino Linotype" w:hAnsi="Palatino Linotype"/>
          <w:sz w:val="22"/>
          <w:szCs w:val="22"/>
        </w:rPr>
        <w:t xml:space="preserve"> ust. </w:t>
      </w:r>
      <w:r w:rsidR="00531B3C" w:rsidRPr="00177F4F">
        <w:rPr>
          <w:rFonts w:ascii="Palatino Linotype" w:hAnsi="Palatino Linotype"/>
          <w:sz w:val="22"/>
          <w:szCs w:val="22"/>
        </w:rPr>
        <w:t xml:space="preserve">2 </w:t>
      </w:r>
      <w:r w:rsidR="002071A2" w:rsidRPr="00177F4F">
        <w:rPr>
          <w:rFonts w:ascii="Palatino Linotype" w:hAnsi="Palatino Linotype"/>
          <w:sz w:val="22"/>
          <w:szCs w:val="22"/>
        </w:rPr>
        <w:t xml:space="preserve">i 6 </w:t>
      </w:r>
      <w:r w:rsidR="00D87C91" w:rsidRPr="00177F4F">
        <w:rPr>
          <w:rFonts w:ascii="Palatino Linotype" w:hAnsi="Palatino Linotype"/>
          <w:sz w:val="22"/>
          <w:szCs w:val="22"/>
        </w:rPr>
        <w:t xml:space="preserve">ustawy z dnia 11 września 2019 r. - Prawo </w:t>
      </w:r>
      <w:r w:rsidR="00D87C91" w:rsidRPr="007B400E">
        <w:rPr>
          <w:rFonts w:ascii="Palatino Linotype" w:hAnsi="Palatino Linotype"/>
          <w:sz w:val="22"/>
          <w:szCs w:val="22"/>
        </w:rPr>
        <w:t>zamówień publicznych (</w:t>
      </w:r>
      <w:r w:rsidR="00991123" w:rsidRPr="007B400E">
        <w:rPr>
          <w:rFonts w:ascii="Palatino Linotype" w:hAnsi="Palatino Linotype"/>
          <w:sz w:val="22"/>
          <w:szCs w:val="22"/>
        </w:rPr>
        <w:t xml:space="preserve">Dz.U.2022.1710 </w:t>
      </w:r>
      <w:proofErr w:type="spellStart"/>
      <w:r w:rsidR="00991123" w:rsidRPr="007B400E">
        <w:rPr>
          <w:rFonts w:ascii="Palatino Linotype" w:hAnsi="Palatino Linotype"/>
          <w:sz w:val="22"/>
          <w:szCs w:val="22"/>
        </w:rPr>
        <w:t>t.j</w:t>
      </w:r>
      <w:proofErr w:type="spellEnd"/>
      <w:r w:rsidR="00991123" w:rsidRPr="007B400E">
        <w:rPr>
          <w:rFonts w:ascii="Palatino Linotype" w:hAnsi="Palatino Linotype"/>
          <w:sz w:val="22"/>
          <w:szCs w:val="22"/>
        </w:rPr>
        <w:t>. ze zm.</w:t>
      </w:r>
      <w:r w:rsidR="00D87C91" w:rsidRPr="007B400E">
        <w:rPr>
          <w:rFonts w:ascii="Palatino Linotype" w:hAnsi="Palatino Linotype"/>
          <w:sz w:val="22"/>
          <w:szCs w:val="22"/>
        </w:rPr>
        <w:t xml:space="preserve">) </w:t>
      </w:r>
      <w:r w:rsidR="00277671" w:rsidRPr="007B400E">
        <w:rPr>
          <w:rFonts w:ascii="Palatino Linotype" w:hAnsi="Palatino Linotype"/>
          <w:sz w:val="22"/>
          <w:szCs w:val="22"/>
        </w:rPr>
        <w:t xml:space="preserve">                </w:t>
      </w:r>
      <w:r w:rsidR="00196A68" w:rsidRPr="007B400E">
        <w:rPr>
          <w:rFonts w:ascii="Palatino Linotype" w:hAnsi="Palatino Linotype"/>
          <w:sz w:val="22"/>
          <w:szCs w:val="22"/>
        </w:rPr>
        <w:t>w odpowiedzi na pytani</w:t>
      </w:r>
      <w:r w:rsidR="00D93F13" w:rsidRPr="007B400E">
        <w:rPr>
          <w:rFonts w:ascii="Palatino Linotype" w:hAnsi="Palatino Linotype"/>
          <w:sz w:val="22"/>
          <w:szCs w:val="22"/>
        </w:rPr>
        <w:t>a</w:t>
      </w:r>
      <w:r w:rsidR="00196A68" w:rsidRPr="007B400E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7B400E">
        <w:rPr>
          <w:rFonts w:ascii="Palatino Linotype" w:hAnsi="Palatino Linotype"/>
          <w:sz w:val="22"/>
          <w:szCs w:val="22"/>
        </w:rPr>
        <w:t>ów</w:t>
      </w:r>
      <w:r w:rsidR="00196A68" w:rsidRPr="007B400E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7B400E">
        <w:rPr>
          <w:rFonts w:ascii="Palatino Linotype" w:hAnsi="Palatino Linotype"/>
          <w:sz w:val="22"/>
          <w:szCs w:val="22"/>
        </w:rPr>
        <w:t xml:space="preserve">treści </w:t>
      </w:r>
      <w:r w:rsidR="00196A68" w:rsidRPr="007B400E">
        <w:rPr>
          <w:rFonts w:ascii="Palatino Linotype" w:hAnsi="Palatino Linotype"/>
          <w:sz w:val="22"/>
          <w:szCs w:val="22"/>
        </w:rPr>
        <w:t>Specyfikacji Warunków Zamówienia.</w:t>
      </w:r>
    </w:p>
    <w:p w14:paraId="00162D4A" w14:textId="77777777" w:rsidR="007B400E" w:rsidRPr="007B400E" w:rsidRDefault="007B400E" w:rsidP="00C87412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5BAE5C1A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1.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Czy zamawiający ze względu na bezpieczeństwo stosowania wymaga / dopuszcza by produkt wskazany w pakiecie nr 73 pozycja nr 1 nie zawierał siarczynów, innych środków konserwujących oraz lateksu, co potwierdzają zapisy w zatwierdzonej Charakterystyce Produktu Leczniczego?</w:t>
      </w:r>
    </w:p>
    <w:p w14:paraId="4B102F55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46F49A35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Uzasadnienie: </w:t>
      </w:r>
    </w:p>
    <w:p w14:paraId="30CCC44A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Niektóre substancje konserwujące, jak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pirosiarczyn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sodu oraz inne siarczyny mogą powodować ciężkie reakcje nadwrażliwości i skurcz oskrzeli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Parabeny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mogą powodować reakcje anafilaktyczne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.</w:t>
      </w:r>
    </w:p>
    <w:p w14:paraId="3A9306FA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Lateks może powodować reakcje anafilaktyczne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.</w:t>
      </w:r>
    </w:p>
    <w:p w14:paraId="357F7239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Zgodnie z wytycznymi Europejskiej Agencji Leków produkty pozajelitowe nie powinny zawierać środków konserwujących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. Dlatego włączenie tych substancji wymaga specjalnego uzasadnienia. </w:t>
      </w:r>
    </w:p>
    <w:p w14:paraId="754DC088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Produkt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Noredrenaline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Aguettant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nie zawiera siarczynów,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parabenów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oraz w procesie produkcji nie jest używany lateks. Dlatego jest bezpieczniejszy od produktów zawierających te substancje.</w:t>
      </w:r>
    </w:p>
    <w:p w14:paraId="42E01AB7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2A6DBB51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Źródła:</w:t>
      </w:r>
    </w:p>
    <w:p w14:paraId="4EB7EE4A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eastAsia="en-US" w:bidi="ar-SA"/>
        </w:rPr>
        <w:t xml:space="preserve">1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eastAsia="en-US" w:bidi="ar-SA"/>
        </w:rPr>
        <w:t>Vally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eastAsia="en-US" w:bidi="ar-SA"/>
        </w:rPr>
        <w:t xml:space="preserve"> H,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eastAsia="en-US" w:bidi="ar-SA"/>
        </w:rPr>
        <w:t>Misso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eastAsia="en-US" w:bidi="ar-SA"/>
        </w:rPr>
        <w:t xml:space="preserve"> NL.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Adverse reactions to the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sulphite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additives. Gastroenterol Hepatol Bed Bench. 2012 Winter;5(1):16-23. PMID: 24834193; PMCID: PMC4017440.</w:t>
      </w:r>
    </w:p>
    <w:p w14:paraId="013D5AE3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2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Kajimoto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Y, Rosenberg ME,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Kyttä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J, Randell T, Tuominen M,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Reunala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T, Rosenberg PH. Anaphylactoid skin reactions after intravenous regional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anaesthesia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using 0.5% prilocaine with or without preservative--a double-blind study. Acta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Anaesthesiol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Scand. 1995 Aug;39(6):782-4.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doi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: 10.1111/j.1399-</w:t>
      </w:r>
      <w:proofErr w:type="gram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6576.1995.tb</w:t>
      </w:r>
      <w:proofErr w:type="gram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04170.x. PMID: 7484034.</w:t>
      </w:r>
    </w:p>
    <w:p w14:paraId="29D46D50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3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Heitz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JW, Bader SO. Risk of Latex Allergy from Pharmaceutical Vial Closures. Anesthesiology November 2011, Vol. 115, 1138–1139. </w:t>
      </w:r>
      <w:hyperlink r:id="rId8" w:history="1">
        <w:r w:rsidRPr="00147DCF">
          <w:rPr>
            <w:rFonts w:ascii="Palatino Linotype" w:eastAsia="Calibri" w:hAnsi="Palatino Linotype" w:cs="Times New Roman"/>
            <w:kern w:val="0"/>
            <w:sz w:val="18"/>
            <w:szCs w:val="18"/>
            <w:lang w:val="en-US" w:eastAsia="en-US" w:bidi="ar-SA"/>
          </w:rPr>
          <w:t>https://doi.org/10.1097/ALN.0b013e318234287e</w:t>
        </w:r>
      </w:hyperlink>
    </w:p>
    <w:p w14:paraId="55726E67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4 Guideline on excipients in the dossier for application for marketing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>authorisation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val="en-US" w:eastAsia="en-US" w:bidi="ar-SA"/>
        </w:rPr>
        <w:t xml:space="preserve"> of a medicinal product Doc. Ref.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18"/>
          <w:szCs w:val="18"/>
          <w:lang w:eastAsia="en-US" w:bidi="ar-SA"/>
        </w:rPr>
        <w:t>EMEA/CHMP/QWP/396951/2006</w:t>
      </w:r>
    </w:p>
    <w:p w14:paraId="220250AE" w14:textId="77777777" w:rsidR="00147DCF" w:rsidRPr="00147DCF" w:rsidRDefault="00147DCF" w:rsidP="00147DCF">
      <w:pPr>
        <w:rPr>
          <w:rFonts w:ascii="Palatino Linotype" w:hAnsi="Palatino Linotype" w:cs="Times New Roman"/>
          <w:b/>
          <w:bCs/>
          <w:sz w:val="18"/>
          <w:szCs w:val="18"/>
          <w:lang w:eastAsia="hi-IN"/>
        </w:rPr>
      </w:pPr>
    </w:p>
    <w:p w14:paraId="4DDDEA8B" w14:textId="695E102D" w:rsidR="00147DCF" w:rsidRPr="00147DCF" w:rsidRDefault="00147DCF" w:rsidP="00147DCF">
      <w:pPr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bookmarkStart w:id="0" w:name="_Hlk131669225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Odpowiedź: </w:t>
      </w:r>
      <w:r w:rsidRPr="006602E3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Zamawiający d</w:t>
      </w: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opuszcza, nie wymaga.</w:t>
      </w:r>
    </w:p>
    <w:bookmarkEnd w:id="0"/>
    <w:p w14:paraId="557BAD56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04B5AA17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2.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Czy zamawiający wymaga dostarczenia produktu w ramach pakietu nr 73 pozycja nr 1, który można przechowywać w temperaturze do 25°C?</w:t>
      </w:r>
    </w:p>
    <w:p w14:paraId="484AF2C5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7E50552A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Uzasadnienie: </w:t>
      </w:r>
    </w:p>
    <w:p w14:paraId="6AE03826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Przechowywanie w temperaturze do 25°C w porównaniu z koniecznością przechowywania w lodówce jest wygodniejsze, tańsze oraz produkt jest od razu gotowy do użytku (nie jest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lastRenderedPageBreak/>
        <w:t xml:space="preserve">niezbędne ogrzanie przed podaniem). Nie ma także ryzyka błędu związanego z przechowywaniem, na co wskazuje wersja robocza europejskiej wytycznej „Good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practice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guide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on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risk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minimisation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and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prevention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of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medication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errors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”*</w:t>
      </w:r>
      <w:proofErr w:type="gram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.</w:t>
      </w:r>
    </w:p>
    <w:p w14:paraId="36D6E871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6D9FFA69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Źródła:</w:t>
      </w:r>
    </w:p>
    <w:p w14:paraId="2D56734D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* </w:t>
      </w:r>
      <w:hyperlink r:id="rId9" w:history="1">
        <w:r w:rsidRPr="00147DCF">
          <w:rPr>
            <w:rFonts w:ascii="Palatino Linotype" w:eastAsia="Calibri" w:hAnsi="Palatino Linotype" w:cs="Times New Roman"/>
            <w:kern w:val="0"/>
            <w:sz w:val="22"/>
            <w:szCs w:val="22"/>
            <w:lang w:eastAsia="en-US" w:bidi="ar-SA"/>
          </w:rPr>
          <w:t>https://www.asahq.org/standards-and-guidelines/recommendations-for-safe-injection-practices</w:t>
        </w:r>
      </w:hyperlink>
    </w:p>
    <w:p w14:paraId="460372F7" w14:textId="77AC9895" w:rsidR="00147DCF" w:rsidRDefault="00147DCF" w:rsidP="00147DCF">
      <w:pPr>
        <w:widowControl/>
        <w:suppressAutoHyphens w:val="0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Zamawiający dopuszcza, nie wymaga.</w:t>
      </w:r>
    </w:p>
    <w:p w14:paraId="7EA6FBB1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0D5E45ED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3.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 xml:space="preserve">Czy zamawiający wymaga/dopuści w zakresie pakietu </w:t>
      </w:r>
      <w:r w:rsidRPr="00147DCF">
        <w:rPr>
          <w:rFonts w:ascii="Palatino Linotype" w:eastAsia="Times New Roman" w:hAnsi="Palatino Linotype" w:cs="Times New Roman"/>
          <w:color w:val="000000"/>
          <w:kern w:val="0"/>
          <w:sz w:val="22"/>
          <w:szCs w:val="22"/>
          <w:lang w:eastAsia="pl-PL" w:bidi="ar-SA"/>
        </w:rPr>
        <w:t xml:space="preserve">nr 73 pozycja nr 1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>produkt będący roztworem do infuzji gotowym do podania (zgodnie z Rezolucją Rady Europy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 xml:space="preserve"> produkty takie mają pierwszeństwo stosowania nad produktami wymagającymi rozpuszczania przed użyciem) o mocy 4 mg/50 ml x 10 fiolek (i przeliczenie zgodnie z SWZ)?</w:t>
      </w:r>
      <w:r w:rsidRPr="00147DCF">
        <w:rPr>
          <w:rFonts w:ascii="Palatino Linotype" w:eastAsia="Times New Roman" w:hAnsi="Palatino Linotype" w:cs="Times New Roman"/>
          <w:color w:val="000000"/>
          <w:kern w:val="0"/>
          <w:sz w:val="22"/>
          <w:szCs w:val="22"/>
          <w:lang w:eastAsia="pl-PL" w:bidi="ar-SA"/>
        </w:rPr>
        <w:t> 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>W przypadku oferowanego produktu nie ma potrzeby rozpuszczania produktu przed podaniem co przyczynia się do optymalizacji kosztów w związku z brakiem kosztów dodatkowych materiałów- niepotrzebny dodatkowy rozpuszczalnik, strzykawka i igła oraz eliminuje koszty związane utylizacją dodatkowych materiałów. Oferowany produkt można przechowywać w temperaturze do 25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o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>C, produkt posiada udokumentowaną jednorodność stężenia, co gwarantuje pewność podanej dawki oraz eliminuje błędy ludzkie. Produkt nie zawiera siarczynów i lateksu (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>pirosiarczyn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 xml:space="preserve"> sodu rzadko może powodować ciężkie reakcje nadwrażliwości i skurcz oskrzeli i zgodnie z wytycznymi Europejskiej Agencji Leków produkty pozajelitowe nie powinny zawierać środków konserwujących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pl-PL" w:bidi="ar-SA"/>
        </w:rPr>
        <w:t>. 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Dopuszczenie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umożliwi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złożenie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ekonomicznie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korzystnej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oferty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dla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szpitala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pl-PL" w:bidi="ar-SA"/>
        </w:rPr>
        <w:t>.</w:t>
      </w:r>
    </w:p>
    <w:p w14:paraId="74AD408E" w14:textId="77777777" w:rsidR="00147DCF" w:rsidRPr="00147DCF" w:rsidRDefault="00147DCF" w:rsidP="00147DCF">
      <w:pPr>
        <w:widowControl/>
        <w:suppressAutoHyphens w:val="0"/>
        <w:rPr>
          <w:rFonts w:ascii="Palatino Linotype" w:eastAsia="Times New Roman" w:hAnsi="Palatino Linotype" w:cs="Times New Roman"/>
          <w:color w:val="000000"/>
          <w:kern w:val="0"/>
          <w:sz w:val="22"/>
          <w:szCs w:val="22"/>
          <w:lang w:val="en-US" w:eastAsia="pl-PL" w:bidi="ar-SA"/>
        </w:rPr>
      </w:pPr>
    </w:p>
    <w:p w14:paraId="35926EEA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</w:pP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  <w:t>Źródła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  <w:t>:</w:t>
      </w:r>
    </w:p>
    <w:p w14:paraId="4DB5CD11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  <w:footnoteRef/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  <w:t xml:space="preserve"> Resolution CM/Res (2016)1 on quality and safety assurance requirements for medicinal products prepared in pharmacies for the special needs of patients </w:t>
      </w:r>
      <w:hyperlink r:id="rId10" w:history="1">
        <w:r w:rsidRPr="00147DCF">
          <w:rPr>
            <w:rFonts w:ascii="Palatino Linotype" w:eastAsia="Calibri" w:hAnsi="Palatino Linotype" w:cs="Times New Roman"/>
            <w:color w:val="000000"/>
            <w:kern w:val="0"/>
            <w:sz w:val="22"/>
            <w:szCs w:val="22"/>
            <w:lang w:val="en-US" w:eastAsia="en-US" w:bidi="ar-SA"/>
          </w:rPr>
          <w:t>https://search.coe.int/cm/Pages/result_details.aspx?ObjectId=090000168065c132</w:t>
        </w:r>
      </w:hyperlink>
    </w:p>
    <w:p w14:paraId="5288D8A5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  <w:t xml:space="preserve">2 Guideline on excipients in the dossier for application for marketing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  <w:t>authorisation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val="en-US" w:eastAsia="en-US" w:bidi="ar-SA"/>
        </w:rPr>
        <w:t xml:space="preserve"> of a medicinal </w:t>
      </w:r>
      <w:r w:rsidRPr="00147DCF">
        <w:rPr>
          <w:rFonts w:ascii="Palatino Linotype" w:eastAsia="Calibri" w:hAnsi="Palatino Linotype" w:cs="Times New Roman"/>
          <w:kern w:val="0"/>
          <w:sz w:val="22"/>
          <w:szCs w:val="22"/>
          <w:lang w:val="en-US" w:eastAsia="en-US" w:bidi="ar-SA"/>
        </w:rPr>
        <w:t xml:space="preserve">product Doc. Ref. </w:t>
      </w:r>
      <w:r w:rsidRPr="00147DCF"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EMEA/CHMP/QWP/396951/2006</w:t>
      </w:r>
    </w:p>
    <w:p w14:paraId="66EC191E" w14:textId="3BAF2BA0" w:rsidR="00147DCF" w:rsidRPr="00147DCF" w:rsidRDefault="00147DCF" w:rsidP="00147DCF">
      <w:pPr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Nie, Zamawiający nie dopuszcza.</w:t>
      </w:r>
    </w:p>
    <w:p w14:paraId="0A8C7250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</w:pPr>
    </w:p>
    <w:p w14:paraId="490A1571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4.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Czy zamawiający ze względu na bezpieczeństwo pacjentów wymaga, by produkt wskazany w pakiecie nr 55 pozycja 101 zawierał wystandaryzowaną ilość (1400) jednostek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antyheparynowych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w 1 ml, co potwierdzają zapisy w zatwierdzonej Charakterystyce Produktu Leczniczego?</w:t>
      </w:r>
    </w:p>
    <w:p w14:paraId="22E57A9A" w14:textId="16915FE3" w:rsidR="00147DCF" w:rsidRPr="00147DCF" w:rsidRDefault="00147DCF" w:rsidP="00147DCF">
      <w:pPr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bookmarkStart w:id="1" w:name="_Hlk132102334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Odpowiedź: </w:t>
      </w:r>
      <w:bookmarkStart w:id="2" w:name="_Hlk132098456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Zamawiający nie wymaga</w:t>
      </w:r>
      <w:bookmarkEnd w:id="2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.</w:t>
      </w:r>
    </w:p>
    <w:bookmarkEnd w:id="1"/>
    <w:p w14:paraId="589D24A9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1F944282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5.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Czy zamawiający wymaga, by produkt w pakiecie nr 55 pozycja 101 posiadał zarejestrowane wskazanie stosowania w zabiegach pomostowania krążeniowo-oddechowego, co potwierdzają zapisy w zatwierdzonej Charakterystyce Produktu Leczniczego?</w:t>
      </w:r>
    </w:p>
    <w:p w14:paraId="3FD61920" w14:textId="279D608E" w:rsidR="00147DCF" w:rsidRDefault="00147DCF" w:rsidP="00147DCF">
      <w:pPr>
        <w:widowControl/>
        <w:suppressAutoHyphens w:val="0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bookmarkStart w:id="3" w:name="_Hlk132102414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Zamawiający nie wymaga.</w:t>
      </w:r>
    </w:p>
    <w:bookmarkEnd w:id="3"/>
    <w:p w14:paraId="6DD47291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</w:p>
    <w:p w14:paraId="138EB539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6.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Czy zamawiający wymaga, by produkt w pakiecie nr 55 pozycja 101 mógł być stosowany w celu przeciwdziałania przeciwzakrzepowemu działaniu heparyny drobnocząsteczkowej (LMWH), co potwierdzają zapisy w zatwierdzonej Charakterystyce Produktu Leczniczego?</w:t>
      </w:r>
    </w:p>
    <w:p w14:paraId="64CB01F4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Według danych rynkowych z ostatnich lat w Polsce ponad 80% rynku (ilościowo) stanowią heparyny drobnocząsteczkowe (LMWH),</w:t>
      </w:r>
    </w:p>
    <w:p w14:paraId="16DAE9BC" w14:textId="185F09C1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Zamawiający nie wymaga.</w:t>
      </w:r>
    </w:p>
    <w:p w14:paraId="67458705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 xml:space="preserve">7.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Czy zamawiający wymaga, by produkt w pakiecie nr 55 pozycja 101 mógł być stosowany przed operacją w trybie nagłym, co potwierdzają zapisy w zatwierdzonej Charakterystyce Produktu Leczniczego?</w:t>
      </w:r>
    </w:p>
    <w:p w14:paraId="5BCAD51C" w14:textId="77777777" w:rsidR="00147DCF" w:rsidRDefault="00147DCF" w:rsidP="00147DCF">
      <w:pPr>
        <w:widowControl/>
        <w:suppressAutoHyphens w:val="0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Zamawiający nie wymaga.</w:t>
      </w:r>
    </w:p>
    <w:p w14:paraId="186A630F" w14:textId="77777777" w:rsidR="00147DCF" w:rsidRPr="00147DCF" w:rsidRDefault="00147DCF" w:rsidP="00147DCF">
      <w:pPr>
        <w:widowControl/>
        <w:suppressAutoHyphens w:val="0"/>
        <w:jc w:val="both"/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4466E9A0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8.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Czy zamawiający wymaga, by produkt w pakiecie nr 55 pozycja 101 mógł być stosowany we wlewie dożylnym, co potwierdzają zapisy w zatwierdzonej Charakterystyce Produktu Leczniczego?</w:t>
      </w:r>
    </w:p>
    <w:p w14:paraId="7016B46A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Uzasadnienie: </w:t>
      </w:r>
    </w:p>
    <w:p w14:paraId="321446B6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Ponieważ istnieje ryzyko niepełnej neutralizacji przy tylko jednym wstrzyknięciu siarczanu protaminy przy neutralizacji podskórnie podawanej LMWH (faza wchłaniania z miejsca wstrzyknięcia prowadzi do uwolnienia do krążenia dodatkowej ilości LMWH – tzw. „efekt depot”) może być konieczne powtórne podawanie siarczanu protaminy lub można zastosować ciągły, powolny wlew dożylny.</w:t>
      </w:r>
    </w:p>
    <w:p w14:paraId="0AEFC90B" w14:textId="77777777" w:rsidR="00147DCF" w:rsidRDefault="00147DCF" w:rsidP="00F656B4">
      <w:pPr>
        <w:widowControl/>
        <w:suppressAutoHyphens w:val="0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bookmarkStart w:id="4" w:name="_Hlk132102472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Zamawiający nie wymaga.</w:t>
      </w:r>
    </w:p>
    <w:bookmarkEnd w:id="4"/>
    <w:p w14:paraId="6FC14FA4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6619370B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9.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Czy zamawiający wymaga, by produkt w pakiecie nr 55 pozycja 101 można było rozcieńczać co potwierdzają zapisy w zatwierdzonej Charakterystyce Produktu Leczniczego?</w:t>
      </w:r>
    </w:p>
    <w:p w14:paraId="6A66CABC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Uzasadnienie: </w:t>
      </w:r>
    </w:p>
    <w:p w14:paraId="047C7CD2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W przypadku neutralizacji podskórnie podawanej LMWH może być konieczne powtórne podawanie siarczanu protaminy lub można zastosować ciągły, powolny wlew dożylny.</w:t>
      </w:r>
    </w:p>
    <w:p w14:paraId="36CD34B2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Zgodnie z zatwierdzoną Charakterystyką Produktu Leczniczego proponowany produkt leczniczy można rozcieńczać w roztworze chlorku sodu 9 mg/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mL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.</w:t>
      </w:r>
    </w:p>
    <w:p w14:paraId="25161440" w14:textId="5CD4F6D5" w:rsidR="00147DCF" w:rsidRDefault="00147DCF" w:rsidP="00F656B4">
      <w:pPr>
        <w:widowControl/>
        <w:suppressAutoHyphens w:val="0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Zamawiający nie wymaga.</w:t>
      </w:r>
    </w:p>
    <w:p w14:paraId="473323F6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5B139A1D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</w:pPr>
      <w:r w:rsidRPr="00147DCF"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10. </w:t>
      </w:r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Czy zamawiający w pakiecie nr 55 pozycja 101 dopuści zaoferowanie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Protamini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sulfas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 xml:space="preserve"> 50 mg/5 ml x 5 ampułek i przeliczenie ilości zgodnie z SWZ, </w:t>
      </w:r>
      <w:proofErr w:type="spellStart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tj</w:t>
      </w:r>
      <w:proofErr w:type="spellEnd"/>
      <w:r w:rsidRPr="00147DCF">
        <w:rPr>
          <w:rFonts w:ascii="Palatino Linotype" w:eastAsia="Calibri" w:hAnsi="Palatino Linotype" w:cs="Times New Roman"/>
          <w:color w:val="000000"/>
          <w:kern w:val="0"/>
          <w:sz w:val="22"/>
          <w:szCs w:val="22"/>
          <w:lang w:eastAsia="en-US" w:bidi="ar-SA"/>
        </w:rPr>
        <w:t>: 1 opakowanie?</w:t>
      </w:r>
    </w:p>
    <w:p w14:paraId="1A0C3396" w14:textId="1BD7C934" w:rsidR="00147DCF" w:rsidRPr="00147DCF" w:rsidRDefault="00147DCF" w:rsidP="00F656B4">
      <w:pPr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bookmarkStart w:id="5" w:name="_Hlk131669665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Odpowiedź: </w:t>
      </w:r>
      <w:r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Tak, Za</w:t>
      </w:r>
      <w:r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mawiający d</w:t>
      </w: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opuszcza</w:t>
      </w:r>
    </w:p>
    <w:bookmarkEnd w:id="5"/>
    <w:p w14:paraId="6123CE4B" w14:textId="77777777" w:rsidR="00147DCF" w:rsidRPr="00147DCF" w:rsidRDefault="00147DCF" w:rsidP="00F656B4">
      <w:pPr>
        <w:widowControl/>
        <w:suppressAutoHyphens w:val="0"/>
        <w:jc w:val="both"/>
        <w:rPr>
          <w:rFonts w:ascii="Palatino Linotype" w:eastAsia="Calibri" w:hAnsi="Palatino Linotype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6D788AA2" w14:textId="77777777" w:rsidR="00147DCF" w:rsidRPr="00096B44" w:rsidRDefault="00147DCF" w:rsidP="00F656B4">
      <w:pPr>
        <w:widowControl/>
        <w:suppressAutoHyphens w:val="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096B44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>11.</w:t>
      </w:r>
      <w:r w:rsidRPr="00096B4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Poniższe pytania dotyczą opisu przedmiotu zamówienia w Pakiecie 79 w przedmiotowym </w:t>
      </w:r>
      <w:proofErr w:type="gramStart"/>
      <w:r w:rsidRPr="00096B4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postępowaniu::</w:t>
      </w:r>
      <w:proofErr w:type="gramEnd"/>
    </w:p>
    <w:p w14:paraId="446B68FB" w14:textId="77777777" w:rsidR="00147DCF" w:rsidRPr="00096B44" w:rsidRDefault="00147DCF" w:rsidP="00F656B4">
      <w:pPr>
        <w:widowControl/>
        <w:suppressAutoHyphens w:val="0"/>
        <w:spacing w:after="200" w:line="276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096B4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Czy Zamawiający wyrazi zgodę na zaoferowanie szybkich testów kasetkowych? </w:t>
      </w:r>
    </w:p>
    <w:p w14:paraId="67A73009" w14:textId="070128F9" w:rsidR="00147DCF" w:rsidRPr="00096B44" w:rsidRDefault="00147DCF" w:rsidP="00F656B4">
      <w:pPr>
        <w:widowControl/>
        <w:suppressAutoHyphens w:val="0"/>
        <w:spacing w:after="200" w:line="276" w:lineRule="auto"/>
        <w:jc w:val="both"/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</w:pPr>
      <w:r w:rsidRPr="00096B44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 xml:space="preserve">Odpowiedź: </w:t>
      </w:r>
      <w:r w:rsidR="00096B44" w:rsidRPr="00096B44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>Tak, Zamawiający wyraża zgodę.</w:t>
      </w:r>
    </w:p>
    <w:p w14:paraId="2E23BC74" w14:textId="32654A64" w:rsidR="00147DCF" w:rsidRPr="00147DCF" w:rsidRDefault="00B45262" w:rsidP="00F656B4">
      <w:pPr>
        <w:widowControl/>
        <w:numPr>
          <w:ilvl w:val="0"/>
          <w:numId w:val="42"/>
        </w:numPr>
        <w:tabs>
          <w:tab w:val="left" w:pos="426"/>
        </w:tabs>
        <w:suppressAutoHyphens w:val="0"/>
        <w:spacing w:before="120" w:after="120"/>
        <w:ind w:left="0" w:firstLine="0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Pakiet </w:t>
      </w:r>
      <w:r w:rsidR="00147DCF"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3 poz. 1 i 2. Czy Zamawiający wymaga zaoferowania produktu spełniającego wymóg łączenia w jednej strzykawce produktu Metamizol ze wszystkimi dostępnymi na rynku </w:t>
      </w:r>
      <w:proofErr w:type="spellStart"/>
      <w:r w:rsidR="00147DCF"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tramadolami</w:t>
      </w:r>
      <w:proofErr w:type="spellEnd"/>
      <w:r w:rsidR="00147DCF"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na podstawie charakterystyki produktu leczniczego? </w:t>
      </w:r>
    </w:p>
    <w:p w14:paraId="2C017E2A" w14:textId="74CBE4D8" w:rsidR="00147DCF" w:rsidRPr="00147DCF" w:rsidRDefault="00F656B4" w:rsidP="00F656B4">
      <w:pPr>
        <w:ind w:hanging="76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 </w:t>
      </w:r>
      <w:r w:rsidR="00147DCF"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Odpowiedź: </w:t>
      </w:r>
      <w:r w:rsidR="00B45262"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Zamawiający n</w:t>
      </w:r>
      <w:r w:rsidR="00147DCF"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ie wymaga</w:t>
      </w:r>
      <w:r w:rsidR="00B45262"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.</w:t>
      </w:r>
    </w:p>
    <w:p w14:paraId="5051EACC" w14:textId="77777777" w:rsidR="00147DCF" w:rsidRPr="00147DCF" w:rsidRDefault="00147DCF" w:rsidP="00F656B4">
      <w:pPr>
        <w:widowControl/>
        <w:suppressAutoHyphens w:val="0"/>
        <w:spacing w:before="120" w:after="120"/>
        <w:ind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71A97045" w14:textId="77777777" w:rsidR="00147DCF" w:rsidRPr="00147DCF" w:rsidRDefault="00147DCF" w:rsidP="00F656B4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before="120" w:after="120"/>
        <w:ind w:left="0"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Pakiet 13 poz. 2 Czy Zamawiający dopuści produkt </w:t>
      </w:r>
      <w:proofErr w:type="spellStart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Ceftazidime</w:t>
      </w:r>
      <w:proofErr w:type="spellEnd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w opakowaniu typu butelka?</w:t>
      </w:r>
    </w:p>
    <w:p w14:paraId="0C44F0F2" w14:textId="4D1734D8" w:rsidR="00147DCF" w:rsidRPr="00147DCF" w:rsidRDefault="00F656B4" w:rsidP="00F656B4">
      <w:pPr>
        <w:ind w:hanging="76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bookmarkStart w:id="6" w:name="_Hlk132102833"/>
      <w:r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 </w:t>
      </w:r>
      <w:r w:rsidR="00147DCF"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Tak</w:t>
      </w:r>
      <w:r w:rsidR="00B45262"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, Zamawiający dopuszcza</w:t>
      </w:r>
      <w:r w:rsidR="00147DCF"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.</w:t>
      </w:r>
    </w:p>
    <w:bookmarkEnd w:id="6"/>
    <w:p w14:paraId="4BDC1A5A" w14:textId="77777777" w:rsidR="00147DCF" w:rsidRPr="00147DCF" w:rsidRDefault="00147DCF" w:rsidP="00F656B4">
      <w:pPr>
        <w:widowControl/>
        <w:suppressAutoHyphens w:val="0"/>
        <w:spacing w:before="120" w:after="120"/>
        <w:ind w:hanging="76"/>
        <w:jc w:val="both"/>
        <w:rPr>
          <w:rFonts w:ascii="Palatino Linotype" w:eastAsia="Times New Roman" w:hAnsi="Palatino Linotype" w:cs="Times New Roman"/>
          <w:kern w:val="0"/>
          <w:sz w:val="14"/>
          <w:szCs w:val="14"/>
          <w:lang w:eastAsia="pl-PL" w:bidi="ar-SA"/>
        </w:rPr>
      </w:pPr>
    </w:p>
    <w:p w14:paraId="55EBCF80" w14:textId="77777777" w:rsidR="00147DCF" w:rsidRPr="00147DCF" w:rsidRDefault="00147DCF" w:rsidP="00F656B4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before="120" w:after="120"/>
        <w:ind w:left="0"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Pakiet 20 poz. 2. Czy Zamawiający dopuści produkt </w:t>
      </w:r>
      <w:proofErr w:type="spellStart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Levofloxacyna</w:t>
      </w:r>
      <w:proofErr w:type="spellEnd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w opakowaniu typu butelka </w:t>
      </w:r>
      <w:proofErr w:type="spellStart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KabiPac</w:t>
      </w:r>
      <w:proofErr w:type="spellEnd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?</w:t>
      </w:r>
    </w:p>
    <w:p w14:paraId="39CD9D46" w14:textId="0E531E69" w:rsidR="00147DCF" w:rsidRDefault="00F656B4" w:rsidP="00F656B4">
      <w:pPr>
        <w:widowControl/>
        <w:suppressAutoHyphens w:val="0"/>
        <w:ind w:hanging="76"/>
        <w:contextualSpacing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 </w:t>
      </w:r>
      <w:r w:rsidR="00B45262"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Tak, Zamawiający dopuszcza.</w:t>
      </w:r>
    </w:p>
    <w:p w14:paraId="70A3762D" w14:textId="77777777" w:rsidR="00F656B4" w:rsidRPr="00147DCF" w:rsidRDefault="00F656B4" w:rsidP="00F656B4">
      <w:pPr>
        <w:widowControl/>
        <w:suppressAutoHyphens w:val="0"/>
        <w:ind w:hanging="76"/>
        <w:contextualSpacing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20175123" w14:textId="77777777" w:rsidR="00147DCF" w:rsidRPr="00147DCF" w:rsidRDefault="00147DCF" w:rsidP="00F656B4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before="120" w:after="120"/>
        <w:ind w:left="0"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lastRenderedPageBreak/>
        <w:t>Pakiet 61 pozycja 1 i 2. Czy Zamawiający dopuści produkt Paracetamol w opakowaniu typu fiolka?</w:t>
      </w:r>
    </w:p>
    <w:p w14:paraId="0E4905BB" w14:textId="77777777" w:rsidR="00B45262" w:rsidRPr="00147DCF" w:rsidRDefault="00B45262" w:rsidP="00F656B4">
      <w:pPr>
        <w:ind w:hanging="76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Tak</w:t>
      </w:r>
      <w:r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, Zamawiający dopuszcza</w:t>
      </w: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.</w:t>
      </w:r>
    </w:p>
    <w:p w14:paraId="732D8622" w14:textId="77777777" w:rsidR="00147DCF" w:rsidRPr="00147DCF" w:rsidRDefault="00147DCF" w:rsidP="00F656B4">
      <w:pPr>
        <w:widowControl/>
        <w:suppressAutoHyphens w:val="0"/>
        <w:ind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347FBBFD" w14:textId="77777777" w:rsidR="00147DCF" w:rsidRPr="00147DCF" w:rsidRDefault="00147DCF" w:rsidP="00F656B4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before="120" w:after="120"/>
        <w:ind w:left="0"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Pakiet 72 poz. 6 i 7. Czy Zamawiający wyrazi zgodę na zaoferowanie produktu </w:t>
      </w:r>
      <w:proofErr w:type="spellStart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lidocaine</w:t>
      </w:r>
      <w:proofErr w:type="spellEnd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w opakowaniu o pojemności 5 ml z zachowaniem przez Zamawiającego ilości wymaganej w postępowaniu, co wpłynie na zwiększenie konkurencyjności składanych ofert?</w:t>
      </w:r>
    </w:p>
    <w:p w14:paraId="235BB9A5" w14:textId="22D7932D" w:rsidR="00147DCF" w:rsidRPr="00147DCF" w:rsidRDefault="00147DCF" w:rsidP="00F656B4">
      <w:pPr>
        <w:ind w:hanging="76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 xml:space="preserve">Odpowiedź: </w:t>
      </w:r>
      <w:r w:rsidR="00B45262"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Zamawiający n</w:t>
      </w: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ie wyraża zgody</w:t>
      </w:r>
      <w:r w:rsidR="00B45262"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.</w:t>
      </w:r>
    </w:p>
    <w:p w14:paraId="10EDB587" w14:textId="77777777" w:rsidR="00147DCF" w:rsidRPr="00147DCF" w:rsidRDefault="00147DCF" w:rsidP="00F656B4">
      <w:pPr>
        <w:widowControl/>
        <w:suppressAutoHyphens w:val="0"/>
        <w:ind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0A59B392" w14:textId="77777777" w:rsidR="00147DCF" w:rsidRPr="00147DCF" w:rsidRDefault="00147DCF" w:rsidP="00F656B4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before="120" w:after="120"/>
        <w:ind w:left="0"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Pakiet 90 poz.1. Czy Zamawiający dopuści produkt </w:t>
      </w:r>
      <w:proofErr w:type="spellStart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Levofloxacin</w:t>
      </w:r>
      <w:proofErr w:type="spellEnd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w opakowaniu typu butelka </w:t>
      </w:r>
      <w:proofErr w:type="spellStart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KabiPac</w:t>
      </w:r>
      <w:proofErr w:type="spellEnd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?</w:t>
      </w:r>
    </w:p>
    <w:p w14:paraId="17F3C4EE" w14:textId="77777777" w:rsidR="00B45262" w:rsidRPr="00147DCF" w:rsidRDefault="00B45262" w:rsidP="00F656B4">
      <w:pPr>
        <w:ind w:hanging="76"/>
        <w:jc w:val="both"/>
        <w:rPr>
          <w:rFonts w:ascii="Palatino Linotype" w:hAnsi="Palatino Linotype" w:cs="Times New Roman"/>
          <w:b/>
          <w:bCs/>
          <w:sz w:val="22"/>
          <w:szCs w:val="22"/>
          <w:lang w:eastAsia="hi-IN"/>
        </w:rPr>
      </w:pPr>
      <w:bookmarkStart w:id="7" w:name="_Hlk132103458"/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Odpowiedź: Tak</w:t>
      </w:r>
      <w:r w:rsidRPr="00B45262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, Zamawiający dopuszcza</w:t>
      </w:r>
      <w:r w:rsidRPr="00147DCF">
        <w:rPr>
          <w:rFonts w:ascii="Palatino Linotype" w:hAnsi="Palatino Linotype" w:cs="Times New Roman"/>
          <w:b/>
          <w:bCs/>
          <w:sz w:val="22"/>
          <w:szCs w:val="22"/>
          <w:lang w:eastAsia="hi-IN"/>
        </w:rPr>
        <w:t>.</w:t>
      </w:r>
    </w:p>
    <w:bookmarkEnd w:id="7"/>
    <w:p w14:paraId="7CE9E364" w14:textId="77777777" w:rsidR="00147DCF" w:rsidRPr="00147DCF" w:rsidRDefault="00147DCF" w:rsidP="00F656B4">
      <w:pPr>
        <w:widowControl/>
        <w:suppressAutoHyphens w:val="0"/>
        <w:ind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33C57C26" w14:textId="77777777" w:rsidR="00147DCF" w:rsidRPr="00147DCF" w:rsidRDefault="00147DCF" w:rsidP="00F656B4">
      <w:pPr>
        <w:widowControl/>
        <w:numPr>
          <w:ilvl w:val="0"/>
          <w:numId w:val="42"/>
        </w:numPr>
        <w:tabs>
          <w:tab w:val="left" w:pos="284"/>
        </w:tabs>
        <w:suppressAutoHyphens w:val="0"/>
        <w:spacing w:before="120" w:after="120"/>
        <w:ind w:left="0" w:hanging="76"/>
        <w:contextualSpacing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Dotyczy Umowy: Czy zamawiający w § 6 Pkt. 4 Wyrazi zgodę na wydłużenie terminu odpowiedzi na reklamację </w:t>
      </w:r>
      <w:proofErr w:type="gramStart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jakościową  do</w:t>
      </w:r>
      <w:proofErr w:type="gramEnd"/>
      <w:r w:rsidRPr="00147DCF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14 dni?</w:t>
      </w:r>
    </w:p>
    <w:p w14:paraId="4E96D26F" w14:textId="0386C386" w:rsidR="001B2B6D" w:rsidRDefault="001B2B6D" w:rsidP="00F656B4">
      <w:pPr>
        <w:pStyle w:val="Akapitzlist"/>
        <w:tabs>
          <w:tab w:val="center" w:pos="4536"/>
          <w:tab w:val="right" w:pos="9072"/>
        </w:tabs>
        <w:spacing w:after="200" w:line="276" w:lineRule="auto"/>
        <w:ind w:left="0" w:hanging="76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6B5743">
        <w:rPr>
          <w:rFonts w:ascii="Palatino Linotype" w:hAnsi="Palatino Linotype"/>
          <w:b/>
          <w:bCs/>
          <w:iCs/>
          <w:sz w:val="22"/>
          <w:szCs w:val="22"/>
        </w:rPr>
        <w:t xml:space="preserve">Odpowiedź: </w:t>
      </w:r>
      <w:r w:rsidR="006B5743" w:rsidRPr="006B5743">
        <w:rPr>
          <w:rFonts w:ascii="Palatino Linotype" w:hAnsi="Palatino Linotype"/>
          <w:b/>
          <w:bCs/>
          <w:iCs/>
          <w:sz w:val="22"/>
          <w:szCs w:val="22"/>
        </w:rPr>
        <w:t xml:space="preserve">Patrz odpowiedź na pytanie nr </w:t>
      </w:r>
      <w:r w:rsidR="00147DCF">
        <w:rPr>
          <w:rFonts w:ascii="Palatino Linotype" w:hAnsi="Palatino Linotype"/>
          <w:b/>
          <w:bCs/>
          <w:iCs/>
          <w:sz w:val="22"/>
          <w:szCs w:val="22"/>
        </w:rPr>
        <w:t>9</w:t>
      </w:r>
      <w:r w:rsidR="006B5743" w:rsidRPr="006B5743">
        <w:rPr>
          <w:rFonts w:ascii="Palatino Linotype" w:hAnsi="Palatino Linotype"/>
          <w:b/>
          <w:bCs/>
          <w:iCs/>
          <w:sz w:val="22"/>
          <w:szCs w:val="22"/>
        </w:rPr>
        <w:t xml:space="preserve"> w piśmie „WYJAŚNIENIA TREŚCI SWZ (</w:t>
      </w:r>
      <w:proofErr w:type="gramStart"/>
      <w:r w:rsidR="006B5743" w:rsidRPr="006B5743">
        <w:rPr>
          <w:rFonts w:ascii="Palatino Linotype" w:hAnsi="Palatino Linotype"/>
          <w:b/>
          <w:bCs/>
          <w:iCs/>
          <w:sz w:val="22"/>
          <w:szCs w:val="22"/>
        </w:rPr>
        <w:t>1)/</w:t>
      </w:r>
      <w:proofErr w:type="gramEnd"/>
      <w:r w:rsidR="006B5743" w:rsidRPr="006B5743">
        <w:rPr>
          <w:rFonts w:ascii="Palatino Linotype" w:hAnsi="Palatino Linotype"/>
          <w:b/>
          <w:bCs/>
          <w:iCs/>
          <w:sz w:val="22"/>
          <w:szCs w:val="22"/>
        </w:rPr>
        <w:t xml:space="preserve"> ZMIANA TREŚCI SWZ” z dnia 11.04.2023 r.</w:t>
      </w:r>
    </w:p>
    <w:p w14:paraId="49EE03DE" w14:textId="77777777" w:rsidR="00F656B4" w:rsidRPr="006B5743" w:rsidRDefault="00F656B4" w:rsidP="00F656B4">
      <w:pPr>
        <w:pStyle w:val="Akapitzlist"/>
        <w:tabs>
          <w:tab w:val="center" w:pos="4536"/>
          <w:tab w:val="right" w:pos="9072"/>
        </w:tabs>
        <w:spacing w:after="200" w:line="276" w:lineRule="auto"/>
        <w:ind w:left="0" w:hanging="76"/>
        <w:jc w:val="both"/>
        <w:rPr>
          <w:rFonts w:ascii="Palatino Linotype" w:hAnsi="Palatino Linotype"/>
          <w:iCs/>
          <w:sz w:val="22"/>
          <w:szCs w:val="22"/>
        </w:rPr>
      </w:pPr>
    </w:p>
    <w:p w14:paraId="1C5EF698" w14:textId="0226E7AF" w:rsidR="00893CBB" w:rsidRDefault="00893CBB" w:rsidP="00893CBB">
      <w:pPr>
        <w:pStyle w:val="Akapitzlist"/>
        <w:tabs>
          <w:tab w:val="center" w:pos="4536"/>
          <w:tab w:val="right" w:pos="9072"/>
        </w:tabs>
        <w:spacing w:after="200" w:line="276" w:lineRule="auto"/>
        <w:ind w:left="426"/>
        <w:jc w:val="both"/>
        <w:rPr>
          <w:rFonts w:ascii="Palatino Linotype" w:hAnsi="Palatino Linotype"/>
          <w:iCs/>
          <w:sz w:val="22"/>
          <w:szCs w:val="22"/>
        </w:rPr>
      </w:pPr>
    </w:p>
    <w:p w14:paraId="10F60248" w14:textId="6A84965C" w:rsidR="0022312D" w:rsidRPr="00177F4F" w:rsidRDefault="0022312D" w:rsidP="00C87412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color w:val="0070C0"/>
          <w:sz w:val="22"/>
          <w:szCs w:val="22"/>
        </w:rPr>
      </w:pPr>
      <w:r w:rsidRPr="00177F4F">
        <w:rPr>
          <w:rFonts w:ascii="Palatino Linotype" w:hAnsi="Palatino Linotype"/>
          <w:i/>
          <w:color w:val="0070C0"/>
          <w:sz w:val="22"/>
          <w:szCs w:val="22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8C23921" w14:textId="77777777" w:rsidR="00797C77" w:rsidRPr="00177F4F" w:rsidRDefault="00797C77" w:rsidP="00C87412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color w:val="0070C0"/>
          <w:sz w:val="22"/>
          <w:szCs w:val="22"/>
        </w:rPr>
      </w:pP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Niniejsze </w:t>
      </w:r>
      <w:r w:rsidR="00FB5E41" w:rsidRPr="00177F4F">
        <w:rPr>
          <w:rFonts w:ascii="Palatino Linotype" w:hAnsi="Palatino Linotype"/>
          <w:i/>
          <w:color w:val="0070C0"/>
          <w:sz w:val="22"/>
          <w:szCs w:val="22"/>
        </w:rPr>
        <w:t>pismo stanowi integralną część SWZ i dotyczy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wszystkich Wykonawców biorących udział</w:t>
      </w:r>
      <w:r w:rsidR="009A3BF9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</w:t>
      </w:r>
      <w:r w:rsidR="00815AA6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                       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>w przedmiotowym postępowaniu. Wykonawca zobowiązany jest złożyć ofertę</w:t>
      </w:r>
      <w:r w:rsidR="009E5A59"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 z uw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 xml:space="preserve">zględnieniem udzielonych przez Zamawiającego </w:t>
      </w:r>
      <w:r w:rsidR="00D93F13" w:rsidRPr="00177F4F">
        <w:rPr>
          <w:rFonts w:ascii="Palatino Linotype" w:hAnsi="Palatino Linotype"/>
          <w:i/>
          <w:color w:val="0070C0"/>
          <w:sz w:val="22"/>
          <w:szCs w:val="22"/>
        </w:rPr>
        <w:t>wyjaśnień</w:t>
      </w:r>
      <w:r w:rsidRPr="00177F4F">
        <w:rPr>
          <w:rFonts w:ascii="Palatino Linotype" w:hAnsi="Palatino Linotype"/>
          <w:i/>
          <w:color w:val="0070C0"/>
          <w:sz w:val="22"/>
          <w:szCs w:val="22"/>
        </w:rPr>
        <w:t>.</w:t>
      </w:r>
    </w:p>
    <w:p w14:paraId="5E1690EF" w14:textId="77777777" w:rsidR="00811118" w:rsidRPr="00177F4F" w:rsidRDefault="00811118" w:rsidP="00C87412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22C31AE2" w14:textId="0802724B" w:rsidR="008D7507" w:rsidRPr="00177F4F" w:rsidRDefault="007B400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</w:t>
      </w:r>
      <w:r w:rsidR="0049256C">
        <w:rPr>
          <w:rFonts w:ascii="Palatino Linotype" w:hAnsi="Palatino Linotype"/>
          <w:i/>
          <w:iCs/>
          <w:sz w:val="22"/>
          <w:szCs w:val="22"/>
        </w:rPr>
        <w:t xml:space="preserve">  </w:t>
      </w: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="00945BBE" w:rsidRPr="00177F4F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31EB25D2" w14:textId="77777777" w:rsidR="00945BBE" w:rsidRPr="00177F4F" w:rsidRDefault="00945BB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6BB56" w14:textId="75A281C0" w:rsidR="00945BBE" w:rsidRPr="00177F4F" w:rsidRDefault="007B400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 </w:t>
      </w:r>
      <w:r w:rsidR="00E147BA" w:rsidRPr="00177F4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EA73FA6" w14:textId="2141A4DE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E5E8FDE" w14:textId="12CCE535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981E29E" w14:textId="77777777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4E089" w14:textId="7EC6A25C" w:rsidR="00E147BA" w:rsidRPr="00177F4F" w:rsidRDefault="00E147BA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4FA547" w14:textId="7357CD7A" w:rsidR="00E147BA" w:rsidRPr="00177F4F" w:rsidRDefault="007B400E" w:rsidP="00C8741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    </w:t>
      </w:r>
      <w:r w:rsidR="00E147BA" w:rsidRPr="00177F4F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E147BA" w:rsidRPr="00177F4F" w:rsidSect="007E0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F89B" w14:textId="77777777" w:rsidR="00C76569" w:rsidRDefault="00C76569">
      <w:r>
        <w:separator/>
      </w:r>
    </w:p>
  </w:endnote>
  <w:endnote w:type="continuationSeparator" w:id="0">
    <w:p w14:paraId="380EC5D5" w14:textId="77777777" w:rsidR="00C76569" w:rsidRDefault="00C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9FA" w14:textId="77777777" w:rsidR="00C76569" w:rsidRDefault="00C76569">
      <w:r>
        <w:separator/>
      </w:r>
    </w:p>
  </w:footnote>
  <w:footnote w:type="continuationSeparator" w:id="0">
    <w:p w14:paraId="5F115AB8" w14:textId="77777777" w:rsidR="00C76569" w:rsidRDefault="00C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5FB0D3CE" w:rsidR="008A4AFC" w:rsidRPr="000511DE" w:rsidRDefault="006D77C6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79F9200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4957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A35"/>
    <w:multiLevelType w:val="hybridMultilevel"/>
    <w:tmpl w:val="0AA81D36"/>
    <w:lvl w:ilvl="0" w:tplc="06EAAF7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9F5CD7"/>
    <w:multiLevelType w:val="hybridMultilevel"/>
    <w:tmpl w:val="C82E08BE"/>
    <w:lvl w:ilvl="0" w:tplc="D5BABF3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6468E"/>
    <w:multiLevelType w:val="hybridMultilevel"/>
    <w:tmpl w:val="D4E86276"/>
    <w:lvl w:ilvl="0" w:tplc="7F04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E7061"/>
    <w:multiLevelType w:val="hybridMultilevel"/>
    <w:tmpl w:val="A55099D2"/>
    <w:lvl w:ilvl="0" w:tplc="A080C9E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F0A"/>
    <w:multiLevelType w:val="hybridMultilevel"/>
    <w:tmpl w:val="58647A66"/>
    <w:lvl w:ilvl="0" w:tplc="CEB6B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D2B1E"/>
    <w:multiLevelType w:val="hybridMultilevel"/>
    <w:tmpl w:val="7A220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6AAC"/>
    <w:multiLevelType w:val="hybridMultilevel"/>
    <w:tmpl w:val="1B922DEC"/>
    <w:lvl w:ilvl="0" w:tplc="18305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28"/>
  </w:num>
  <w:num w:numId="2" w16cid:durableId="345442401">
    <w:abstractNumId w:val="25"/>
  </w:num>
  <w:num w:numId="3" w16cid:durableId="1789733669">
    <w:abstractNumId w:val="38"/>
  </w:num>
  <w:num w:numId="4" w16cid:durableId="1821461916">
    <w:abstractNumId w:val="26"/>
  </w:num>
  <w:num w:numId="5" w16cid:durableId="114813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39"/>
  </w:num>
  <w:num w:numId="7" w16cid:durableId="1130173466">
    <w:abstractNumId w:val="30"/>
  </w:num>
  <w:num w:numId="8" w16cid:durableId="27490960">
    <w:abstractNumId w:val="32"/>
  </w:num>
  <w:num w:numId="9" w16cid:durableId="266743357">
    <w:abstractNumId w:val="7"/>
  </w:num>
  <w:num w:numId="10" w16cid:durableId="1010328631">
    <w:abstractNumId w:val="16"/>
  </w:num>
  <w:num w:numId="11" w16cid:durableId="2062943450">
    <w:abstractNumId w:val="23"/>
  </w:num>
  <w:num w:numId="12" w16cid:durableId="171577219">
    <w:abstractNumId w:val="21"/>
  </w:num>
  <w:num w:numId="13" w16cid:durableId="1386372309">
    <w:abstractNumId w:val="36"/>
  </w:num>
  <w:num w:numId="14" w16cid:durableId="89743204">
    <w:abstractNumId w:val="33"/>
  </w:num>
  <w:num w:numId="15" w16cid:durableId="31997532">
    <w:abstractNumId w:val="9"/>
  </w:num>
  <w:num w:numId="16" w16cid:durableId="705253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27"/>
  </w:num>
  <w:num w:numId="19" w16cid:durableId="1961766040">
    <w:abstractNumId w:val="24"/>
  </w:num>
  <w:num w:numId="20" w16cid:durableId="1606309769">
    <w:abstractNumId w:val="37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1"/>
  </w:num>
  <w:num w:numId="24" w16cid:durableId="2096901732">
    <w:abstractNumId w:val="11"/>
  </w:num>
  <w:num w:numId="25" w16cid:durableId="1426728185">
    <w:abstractNumId w:val="20"/>
  </w:num>
  <w:num w:numId="26" w16cid:durableId="733434051">
    <w:abstractNumId w:val="13"/>
  </w:num>
  <w:num w:numId="27" w16cid:durableId="1354067727">
    <w:abstractNumId w:val="2"/>
  </w:num>
  <w:num w:numId="28" w16cid:durableId="1515336328">
    <w:abstractNumId w:val="14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5"/>
  </w:num>
  <w:num w:numId="34" w16cid:durableId="1006327512">
    <w:abstractNumId w:val="40"/>
  </w:num>
  <w:num w:numId="35" w16cid:durableId="1827277697">
    <w:abstractNumId w:val="34"/>
  </w:num>
  <w:num w:numId="36" w16cid:durableId="1459109024">
    <w:abstractNumId w:val="41"/>
  </w:num>
  <w:num w:numId="37" w16cid:durableId="1909613561">
    <w:abstractNumId w:val="29"/>
  </w:num>
  <w:num w:numId="38" w16cid:durableId="742029630">
    <w:abstractNumId w:val="10"/>
  </w:num>
  <w:num w:numId="39" w16cid:durableId="941492163">
    <w:abstractNumId w:val="22"/>
  </w:num>
  <w:num w:numId="40" w16cid:durableId="1672878710">
    <w:abstractNumId w:val="17"/>
  </w:num>
  <w:num w:numId="41" w16cid:durableId="1792505960">
    <w:abstractNumId w:val="8"/>
  </w:num>
  <w:num w:numId="42" w16cid:durableId="39493306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6B44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47DCF"/>
    <w:rsid w:val="00150F77"/>
    <w:rsid w:val="00152F23"/>
    <w:rsid w:val="0015615C"/>
    <w:rsid w:val="00157AA2"/>
    <w:rsid w:val="001651E3"/>
    <w:rsid w:val="001654C1"/>
    <w:rsid w:val="00165B38"/>
    <w:rsid w:val="00170142"/>
    <w:rsid w:val="00170F92"/>
    <w:rsid w:val="0017461A"/>
    <w:rsid w:val="001762AE"/>
    <w:rsid w:val="00176971"/>
    <w:rsid w:val="00177F4F"/>
    <w:rsid w:val="00181B56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2B6D"/>
    <w:rsid w:val="001B6DCE"/>
    <w:rsid w:val="001C110C"/>
    <w:rsid w:val="001C1B3A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3762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AB0"/>
    <w:rsid w:val="00255EF8"/>
    <w:rsid w:val="00261625"/>
    <w:rsid w:val="0026185D"/>
    <w:rsid w:val="00261E79"/>
    <w:rsid w:val="002643E1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39D6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256C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3BB"/>
    <w:rsid w:val="004C602D"/>
    <w:rsid w:val="004D21FB"/>
    <w:rsid w:val="004D610A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759D7"/>
    <w:rsid w:val="0058279F"/>
    <w:rsid w:val="005852E6"/>
    <w:rsid w:val="00590AAD"/>
    <w:rsid w:val="00591234"/>
    <w:rsid w:val="00593529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310A"/>
    <w:rsid w:val="00624A32"/>
    <w:rsid w:val="00625C5B"/>
    <w:rsid w:val="00631723"/>
    <w:rsid w:val="00635F49"/>
    <w:rsid w:val="00657223"/>
    <w:rsid w:val="006602E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2DC9"/>
    <w:rsid w:val="006A4A71"/>
    <w:rsid w:val="006B0171"/>
    <w:rsid w:val="006B4C84"/>
    <w:rsid w:val="006B5743"/>
    <w:rsid w:val="006C1B1D"/>
    <w:rsid w:val="006C3714"/>
    <w:rsid w:val="006C3AE4"/>
    <w:rsid w:val="006C4E28"/>
    <w:rsid w:val="006C765B"/>
    <w:rsid w:val="006D2FAA"/>
    <w:rsid w:val="006D6F98"/>
    <w:rsid w:val="006D705A"/>
    <w:rsid w:val="006D77C6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53DC"/>
    <w:rsid w:val="00736F04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400E"/>
    <w:rsid w:val="007B57F6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1977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11118"/>
    <w:rsid w:val="00811DFB"/>
    <w:rsid w:val="00813254"/>
    <w:rsid w:val="008137E4"/>
    <w:rsid w:val="00815AA6"/>
    <w:rsid w:val="008178C3"/>
    <w:rsid w:val="00820C3B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3CBB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745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63FF"/>
    <w:rsid w:val="0090089B"/>
    <w:rsid w:val="00911347"/>
    <w:rsid w:val="0091713F"/>
    <w:rsid w:val="00920D2E"/>
    <w:rsid w:val="00921C75"/>
    <w:rsid w:val="00921FE6"/>
    <w:rsid w:val="00922025"/>
    <w:rsid w:val="009237EF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1123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287D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6E7"/>
    <w:rsid w:val="00A5561C"/>
    <w:rsid w:val="00A56C54"/>
    <w:rsid w:val="00A6211A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0C76"/>
    <w:rsid w:val="00B311D9"/>
    <w:rsid w:val="00B315BE"/>
    <w:rsid w:val="00B318D0"/>
    <w:rsid w:val="00B330B2"/>
    <w:rsid w:val="00B3437A"/>
    <w:rsid w:val="00B34991"/>
    <w:rsid w:val="00B37C04"/>
    <w:rsid w:val="00B41846"/>
    <w:rsid w:val="00B41CE2"/>
    <w:rsid w:val="00B42B1F"/>
    <w:rsid w:val="00B448DC"/>
    <w:rsid w:val="00B45262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C0177B"/>
    <w:rsid w:val="00C01AB1"/>
    <w:rsid w:val="00C0334D"/>
    <w:rsid w:val="00C03529"/>
    <w:rsid w:val="00C07DE8"/>
    <w:rsid w:val="00C168D1"/>
    <w:rsid w:val="00C16F62"/>
    <w:rsid w:val="00C2037B"/>
    <w:rsid w:val="00C225D7"/>
    <w:rsid w:val="00C239ED"/>
    <w:rsid w:val="00C23F2D"/>
    <w:rsid w:val="00C24BA4"/>
    <w:rsid w:val="00C3094B"/>
    <w:rsid w:val="00C456A4"/>
    <w:rsid w:val="00C46AFB"/>
    <w:rsid w:val="00C518E4"/>
    <w:rsid w:val="00C519E0"/>
    <w:rsid w:val="00C52A9B"/>
    <w:rsid w:val="00C54549"/>
    <w:rsid w:val="00C547EA"/>
    <w:rsid w:val="00C6196A"/>
    <w:rsid w:val="00C63E06"/>
    <w:rsid w:val="00C64721"/>
    <w:rsid w:val="00C66DD5"/>
    <w:rsid w:val="00C67557"/>
    <w:rsid w:val="00C7651C"/>
    <w:rsid w:val="00C76569"/>
    <w:rsid w:val="00C76993"/>
    <w:rsid w:val="00C82B96"/>
    <w:rsid w:val="00C83967"/>
    <w:rsid w:val="00C86931"/>
    <w:rsid w:val="00C87412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2919"/>
    <w:rsid w:val="00D04158"/>
    <w:rsid w:val="00D0762E"/>
    <w:rsid w:val="00D16408"/>
    <w:rsid w:val="00D16B91"/>
    <w:rsid w:val="00D26B78"/>
    <w:rsid w:val="00D27B06"/>
    <w:rsid w:val="00D30DB7"/>
    <w:rsid w:val="00D34505"/>
    <w:rsid w:val="00D34DC4"/>
    <w:rsid w:val="00D41C43"/>
    <w:rsid w:val="00D447F6"/>
    <w:rsid w:val="00D53383"/>
    <w:rsid w:val="00D566F9"/>
    <w:rsid w:val="00D60F45"/>
    <w:rsid w:val="00D634B9"/>
    <w:rsid w:val="00D63D6A"/>
    <w:rsid w:val="00D6412A"/>
    <w:rsid w:val="00D6412E"/>
    <w:rsid w:val="00D67F70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4F3A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2E97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0916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56B4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1BE4"/>
    <w:rsid w:val="00FB239C"/>
    <w:rsid w:val="00FB4115"/>
    <w:rsid w:val="00FB5E41"/>
    <w:rsid w:val="00FB6B15"/>
    <w:rsid w:val="00FC0250"/>
    <w:rsid w:val="00FC267E"/>
    <w:rsid w:val="00FC385C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B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conversation-company-name">
    <w:name w:val="conversation-company-name"/>
    <w:basedOn w:val="Domylnaczcionkaakapitu"/>
    <w:rsid w:val="008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7/ALN.0b013e318234287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arch.coe.int/cm/Pages/result_details.aspx?ObjectId=090000168065c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ahq.org/standards-and-guidelines/recommendations-for-safe-injection-practice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50</TotalTime>
  <Pages>4</Pages>
  <Words>1376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11</cp:revision>
  <cp:lastPrinted>2021-08-02T11:45:00Z</cp:lastPrinted>
  <dcterms:created xsi:type="dcterms:W3CDTF">2023-04-11T08:38:00Z</dcterms:created>
  <dcterms:modified xsi:type="dcterms:W3CDTF">2023-04-13T06:41:00Z</dcterms:modified>
</cp:coreProperties>
</file>