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C0B313E"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w:t>
      </w:r>
      <w:r w:rsidR="001A1E06">
        <w:rPr>
          <w:sz w:val="20"/>
          <w:szCs w:val="20"/>
        </w:rPr>
        <w:t>3</w:t>
      </w:r>
      <w:r>
        <w:rPr>
          <w:sz w:val="20"/>
          <w:szCs w:val="20"/>
        </w:rPr>
        <w:t xml:space="preserve"> r. poz. </w:t>
      </w:r>
      <w:r w:rsidR="001A1E06">
        <w:rPr>
          <w:sz w:val="20"/>
          <w:szCs w:val="20"/>
        </w:rPr>
        <w:t>1605</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374D8CBE" w:rsidR="00944389" w:rsidRPr="00944389" w:rsidRDefault="00944389" w:rsidP="00944389">
      <w:pPr>
        <w:rPr>
          <w:b/>
          <w:sz w:val="32"/>
          <w:szCs w:val="32"/>
        </w:rPr>
      </w:pPr>
      <w:r w:rsidRPr="00944389">
        <w:rPr>
          <w:b/>
          <w:sz w:val="32"/>
          <w:szCs w:val="32"/>
        </w:rPr>
        <w:t xml:space="preserve">“ </w:t>
      </w:r>
      <w:bookmarkStart w:id="0" w:name="_Hlk67487152"/>
      <w:r w:rsidRPr="00944389">
        <w:rPr>
          <w:b/>
          <w:sz w:val="32"/>
          <w:szCs w:val="32"/>
        </w:rPr>
        <w:t>Wykonanie usługi sprzętowej równiarkami i walcami samojezdnymi w roku 202</w:t>
      </w:r>
      <w:r w:rsidR="001A1E06">
        <w:rPr>
          <w:b/>
          <w:sz w:val="32"/>
          <w:szCs w:val="32"/>
        </w:rPr>
        <w:t>4</w:t>
      </w:r>
      <w:r w:rsidRPr="00944389">
        <w:rPr>
          <w:b/>
          <w:sz w:val="32"/>
          <w:szCs w:val="32"/>
        </w:rPr>
        <w:t xml:space="preserve"> na drogach Gminy Przodkowo</w:t>
      </w:r>
      <w:bookmarkEnd w:id="0"/>
      <w:r w:rsidRPr="00944389">
        <w:rPr>
          <w:b/>
          <w:sz w:val="32"/>
          <w:szCs w:val="32"/>
        </w:rPr>
        <w:t>”</w:t>
      </w:r>
    </w:p>
    <w:p w14:paraId="00000010" w14:textId="77777777" w:rsidR="00FE1011" w:rsidRDefault="00FE1011">
      <w:pPr>
        <w:jc w:val="center"/>
        <w:rPr>
          <w:sz w:val="16"/>
          <w:szCs w:val="16"/>
        </w:rPr>
      </w:pPr>
    </w:p>
    <w:p w14:paraId="00000011" w14:textId="70FFBC4A" w:rsidR="00FE1011" w:rsidRPr="001C2F34" w:rsidRDefault="001C2F34">
      <w:pPr>
        <w:jc w:val="center"/>
        <w:rPr>
          <w:b/>
        </w:rPr>
      </w:pPr>
      <w:r>
        <w:t xml:space="preserve">Nr postępowania: </w:t>
      </w:r>
      <w:r>
        <w:rPr>
          <w:sz w:val="20"/>
          <w:szCs w:val="20"/>
        </w:rPr>
        <w:t>ZP.271.</w:t>
      </w:r>
      <w:r w:rsidR="005824D1">
        <w:rPr>
          <w:sz w:val="20"/>
          <w:szCs w:val="20"/>
        </w:rPr>
        <w:t>7</w:t>
      </w:r>
      <w:r>
        <w:rPr>
          <w:sz w:val="20"/>
          <w:szCs w:val="20"/>
        </w:rPr>
        <w:t>.202</w:t>
      </w:r>
      <w:r w:rsidR="001A1E06">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519D2BA2" w:rsidR="00FE1011" w:rsidRPr="00944389" w:rsidRDefault="00CA055B">
      <w:pPr>
        <w:jc w:val="center"/>
        <w:rPr>
          <w:b/>
          <w:color w:val="000000" w:themeColor="text1"/>
        </w:rPr>
      </w:pPr>
      <w:r>
        <w:rPr>
          <w:b/>
          <w:color w:val="000000" w:themeColor="text1"/>
        </w:rPr>
        <w:t>2</w:t>
      </w:r>
      <w:r w:rsidR="005824D1">
        <w:rPr>
          <w:b/>
          <w:color w:val="000000" w:themeColor="text1"/>
        </w:rPr>
        <w:t>8</w:t>
      </w:r>
      <w:r w:rsidR="00EB51CB">
        <w:rPr>
          <w:b/>
          <w:color w:val="000000" w:themeColor="text1"/>
        </w:rPr>
        <w:t xml:space="preserve"> </w:t>
      </w:r>
      <w:r>
        <w:rPr>
          <w:b/>
          <w:color w:val="000000" w:themeColor="text1"/>
        </w:rPr>
        <w:t>lutego</w:t>
      </w:r>
      <w:r w:rsidR="0053203C">
        <w:rPr>
          <w:b/>
          <w:color w:val="000000" w:themeColor="text1"/>
        </w:rPr>
        <w:t xml:space="preserve"> </w:t>
      </w:r>
      <w:r w:rsidR="001C2F34" w:rsidRPr="00944389">
        <w:rPr>
          <w:b/>
          <w:color w:val="000000" w:themeColor="text1"/>
        </w:rPr>
        <w:t>202</w:t>
      </w:r>
      <w:r w:rsidR="001A1E06">
        <w:rPr>
          <w:b/>
          <w:color w:val="000000" w:themeColor="text1"/>
        </w:rPr>
        <w:t>4</w:t>
      </w:r>
      <w:r w:rsidR="005B58F7">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015634">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015634">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015634">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015634">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015634">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015634">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015634">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015634">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015634">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015634">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015634">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015634">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015634">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015634">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015634">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015634">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015634">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015634">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015634">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015634">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015634">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015634">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015634">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015634">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CE964E4"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53203C">
        <w:rPr>
          <w:sz w:val="20"/>
          <w:szCs w:val="20"/>
        </w:rPr>
        <w:t>2</w:t>
      </w:r>
      <w:r w:rsidR="001A1E06">
        <w:rPr>
          <w:sz w:val="20"/>
          <w:szCs w:val="20"/>
        </w:rPr>
        <w:t>3</w:t>
      </w:r>
      <w:r>
        <w:rPr>
          <w:sz w:val="20"/>
          <w:szCs w:val="20"/>
        </w:rPr>
        <w:t xml:space="preserve"> r. poz. </w:t>
      </w:r>
      <w:r w:rsidR="001A1E06">
        <w:rPr>
          <w:sz w:val="20"/>
          <w:szCs w:val="20"/>
        </w:rPr>
        <w:t>1465</w:t>
      </w:r>
      <w:r w:rsidR="0053203C">
        <w:rPr>
          <w:sz w:val="20"/>
          <w:szCs w:val="20"/>
        </w:rPr>
        <w:t xml:space="preserve"> ze zm.</w:t>
      </w:r>
      <w:r>
        <w:rPr>
          <w:sz w:val="20"/>
          <w:szCs w:val="20"/>
        </w:rPr>
        <w:t xml:space="preserve">) obejmują następujące rodzaje czynności: </w:t>
      </w:r>
    </w:p>
    <w:p w14:paraId="0000006C" w14:textId="056DFA1E" w:rsidR="00FE1011" w:rsidRDefault="00944389" w:rsidP="004411F8">
      <w:pPr>
        <w:numPr>
          <w:ilvl w:val="0"/>
          <w:numId w:val="12"/>
        </w:numPr>
        <w:spacing w:line="360" w:lineRule="auto"/>
        <w:ind w:left="852" w:hanging="418"/>
        <w:jc w:val="both"/>
        <w:rPr>
          <w:sz w:val="20"/>
          <w:szCs w:val="20"/>
        </w:rPr>
      </w:pPr>
      <w:r>
        <w:rPr>
          <w:sz w:val="20"/>
          <w:szCs w:val="20"/>
          <w:lang w:val="pl-PL"/>
        </w:rPr>
        <w:t>kierowanie równiarkami i walcami</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6D6E98EA" w:rsidR="00944389" w:rsidRPr="00944389" w:rsidRDefault="00944389" w:rsidP="00944389">
      <w:pPr>
        <w:numPr>
          <w:ilvl w:val="0"/>
          <w:numId w:val="1"/>
        </w:numPr>
        <w:spacing w:before="120" w:after="120" w:line="360" w:lineRule="auto"/>
        <w:jc w:val="both"/>
        <w:rPr>
          <w:sz w:val="20"/>
          <w:szCs w:val="20"/>
        </w:rPr>
      </w:pPr>
      <w:r w:rsidRPr="00944389">
        <w:rPr>
          <w:sz w:val="20"/>
          <w:szCs w:val="20"/>
        </w:rPr>
        <w:t>Przedmiotem zamówienia jest profilowanie dróg gruntowych równiarkami drogowymi oraz zagęszczenie dróg gruntowych walcami stalowymi samojezdnymi.</w:t>
      </w:r>
    </w:p>
    <w:p w14:paraId="2F174112" w14:textId="74A864B8" w:rsidR="00944389" w:rsidRPr="00944389" w:rsidRDefault="00944389" w:rsidP="00944389">
      <w:pPr>
        <w:pStyle w:val="Akapitzlist"/>
        <w:numPr>
          <w:ilvl w:val="1"/>
          <w:numId w:val="45"/>
        </w:numPr>
        <w:spacing w:before="120" w:after="120" w:line="360" w:lineRule="auto"/>
        <w:jc w:val="both"/>
        <w:rPr>
          <w:sz w:val="20"/>
          <w:szCs w:val="20"/>
        </w:rPr>
      </w:pPr>
      <w:r w:rsidRPr="00944389">
        <w:rPr>
          <w:sz w:val="20"/>
          <w:szCs w:val="20"/>
        </w:rPr>
        <w:t xml:space="preserve">Przedmiot zamówienia </w:t>
      </w:r>
      <w:r w:rsidR="003369C0">
        <w:rPr>
          <w:sz w:val="20"/>
          <w:szCs w:val="20"/>
        </w:rPr>
        <w:t>obejmuje rejon 3</w:t>
      </w:r>
      <w:r w:rsidRPr="00944389">
        <w:rPr>
          <w:sz w:val="20"/>
          <w:szCs w:val="20"/>
        </w:rPr>
        <w:t xml:space="preserve">. Wykaz rejonów – załącznik nr </w:t>
      </w:r>
      <w:r w:rsidR="00EF5488">
        <w:rPr>
          <w:sz w:val="20"/>
          <w:szCs w:val="20"/>
        </w:rPr>
        <w:t>2</w:t>
      </w:r>
      <w:r w:rsidRPr="00944389">
        <w:rPr>
          <w:sz w:val="20"/>
          <w:szCs w:val="20"/>
        </w:rPr>
        <w:t xml:space="preserve"> do SWZ.</w:t>
      </w:r>
    </w:p>
    <w:p w14:paraId="2A280B2F" w14:textId="6112A309"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2 Wykonawca zobowiązany będzie na życzenie Zamawiającego  do świadczenia usługi wyłącznie równiarką lub wyłącznie walcem na wskazanych przez niego odcinkach dróg.</w:t>
      </w:r>
    </w:p>
    <w:p w14:paraId="5D41D407" w14:textId="3F3FF53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3. Zamawiający wyposaży  Wykonawców, z którymi podpisze umowę, w urządzenia pomiarowe typu GPS, które zostaną zainstalowane w udostępnionym przez Wykonawców sprzęcie, służącym do wykonania przedmiotu zamówienia. Po zakończeniu świadczenia usług wraz ze złożeniem ostatniej faktury przez Wykonawcę należy zdać protokolarnie urządzenie GPS Zamawiającemu.</w:t>
      </w:r>
    </w:p>
    <w:p w14:paraId="416FF519" w14:textId="4CAB0404"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 xml:space="preserve">.4. </w:t>
      </w:r>
      <w:r w:rsidR="001A1E06" w:rsidRPr="001A1E06">
        <w:rPr>
          <w:sz w:val="20"/>
          <w:szCs w:val="20"/>
        </w:rPr>
        <w:t>Przekazanie i zwrot Zamawiającemu urządzenia GPS odbędzie się  na podstawie protokołu zdawczo-odbiorczego. Wykonawca w czasie realizacji usługi odpowiada za urządzenie typu GPS. W przypadku nie dokonania zwrotu  urządzeń GPS przez Wykonawcę zostanie wstrzymana przez Zamawiającego płatność za fakturę końcową</w:t>
      </w:r>
      <w:r w:rsidRPr="00944389">
        <w:rPr>
          <w:sz w:val="20"/>
          <w:szCs w:val="20"/>
        </w:rPr>
        <w:t>.</w:t>
      </w:r>
    </w:p>
    <w:p w14:paraId="2F5A361A" w14:textId="77777777" w:rsidR="00944389" w:rsidRDefault="00944389" w:rsidP="00944389">
      <w:pPr>
        <w:spacing w:before="120" w:after="120" w:line="360" w:lineRule="auto"/>
        <w:ind w:left="360"/>
        <w:jc w:val="both"/>
        <w:rPr>
          <w:sz w:val="20"/>
          <w:szCs w:val="20"/>
        </w:rPr>
      </w:pPr>
      <w:r>
        <w:rPr>
          <w:sz w:val="20"/>
          <w:szCs w:val="20"/>
        </w:rPr>
        <w:t>1</w:t>
      </w:r>
      <w:r w:rsidRPr="00944389">
        <w:rPr>
          <w:sz w:val="20"/>
          <w:szCs w:val="20"/>
        </w:rPr>
        <w:t>.5. Zamawiający nie ponosi odpowiedzialności za szkody wyrządzone przez Wykonawcę podczas  wykonywania przedmiotu zamówienia.</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77777777" w:rsidR="00944389" w:rsidRPr="00944389" w:rsidRDefault="00944389" w:rsidP="00CE3743">
      <w:pPr>
        <w:spacing w:before="120" w:after="120" w:line="360" w:lineRule="auto"/>
        <w:ind w:firstLine="142"/>
        <w:jc w:val="both"/>
        <w:rPr>
          <w:sz w:val="20"/>
          <w:szCs w:val="20"/>
        </w:rPr>
      </w:pPr>
      <w:r w:rsidRPr="00944389">
        <w:rPr>
          <w:sz w:val="20"/>
          <w:szCs w:val="20"/>
        </w:rPr>
        <w:t>- kod CPV: 43312400-7</w:t>
      </w:r>
    </w:p>
    <w:p w14:paraId="5BCD9156" w14:textId="77777777" w:rsidR="00944389" w:rsidRDefault="00944389" w:rsidP="00944389">
      <w:pPr>
        <w:spacing w:before="120" w:after="120" w:line="360" w:lineRule="auto"/>
        <w:ind w:firstLine="142"/>
        <w:jc w:val="both"/>
        <w:rPr>
          <w:sz w:val="20"/>
          <w:szCs w:val="20"/>
        </w:rPr>
      </w:pPr>
      <w:r w:rsidRPr="00944389">
        <w:rPr>
          <w:sz w:val="20"/>
          <w:szCs w:val="20"/>
        </w:rPr>
        <w:t>- kod CPV: 45500000-2</w:t>
      </w:r>
    </w:p>
    <w:p w14:paraId="00000073" w14:textId="3ACDC846"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w:t>
      </w:r>
      <w:r w:rsidR="003369C0">
        <w:rPr>
          <w:sz w:val="20"/>
          <w:szCs w:val="20"/>
        </w:rPr>
        <w:t xml:space="preserve"> nie</w:t>
      </w:r>
      <w:r w:rsidR="001C2F34" w:rsidRPr="000254E5">
        <w:rPr>
          <w:sz w:val="20"/>
          <w:szCs w:val="20"/>
        </w:rPr>
        <w:t xml:space="preserve"> dopuszcza składania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1C666031"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od dnia podpisania umowy do </w:t>
      </w:r>
      <w:r w:rsidR="00480CE3">
        <w:rPr>
          <w:sz w:val="20"/>
          <w:szCs w:val="20"/>
        </w:rPr>
        <w:t>dnia 31.12.2024 r.</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r>
        <w:rPr>
          <w:sz w:val="20"/>
          <w:szCs w:val="20"/>
        </w:rPr>
        <w:t xml:space="preserve">Zamawiający nie określa warunku </w:t>
      </w:r>
      <w:r w:rsidR="00F10E7D">
        <w:rPr>
          <w:sz w:val="20"/>
          <w:szCs w:val="20"/>
        </w:rPr>
        <w:t>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431127E" w:rsidR="00CE3743" w:rsidRDefault="00A259E0" w:rsidP="002670D8">
      <w:pPr>
        <w:spacing w:line="360" w:lineRule="auto"/>
        <w:ind w:left="868" w:right="20"/>
        <w:jc w:val="both"/>
        <w:rPr>
          <w:sz w:val="20"/>
          <w:szCs w:val="20"/>
        </w:rPr>
      </w:pPr>
      <w:r w:rsidRPr="00A259E0">
        <w:rPr>
          <w:sz w:val="20"/>
          <w:szCs w:val="20"/>
        </w:rPr>
        <w:t>Wykonawca spełni warunek, jeżeli wykaże, że</w:t>
      </w:r>
      <w:r w:rsidRPr="00A259E0">
        <w:rPr>
          <w:sz w:val="20"/>
          <w:szCs w:val="20"/>
        </w:rPr>
        <w:tab/>
      </w:r>
      <w:r w:rsidR="00CE3743" w:rsidRPr="00CE3743">
        <w:rPr>
          <w:sz w:val="20"/>
          <w:szCs w:val="20"/>
        </w:rPr>
        <w:t xml:space="preserve"> jest ubezpieczony od odpowiedzialności cywilnej w zakresie prowadzonej działalności związanej z przedmiotem zamówienia na sumę gwarancyjną ubezpieczenia 30.000,00 PLN.</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0FD24191" w:rsidR="00CE3743" w:rsidRP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4E421086" w14:textId="05FEC338" w:rsidR="00A259E0"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r w:rsidR="00A259E0" w:rsidRPr="00CE3743">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85B4344" w14:textId="77777777" w:rsidR="00EE0839" w:rsidRPr="003432EC" w:rsidRDefault="00EE0839" w:rsidP="00EE0839">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50305F12" w14:textId="77777777" w:rsidR="00EE0839" w:rsidRPr="003432EC" w:rsidRDefault="00EE0839" w:rsidP="00EE0839">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6ABC076F" w14:textId="43E479A2" w:rsidR="00EE0839" w:rsidRPr="003432EC" w:rsidRDefault="00EE0839" w:rsidP="00EE0839">
      <w:pPr>
        <w:numPr>
          <w:ilvl w:val="0"/>
          <w:numId w:val="48"/>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2670D8">
        <w:rPr>
          <w:sz w:val="20"/>
          <w:szCs w:val="20"/>
        </w:rPr>
        <w:t>3</w:t>
      </w:r>
      <w:r w:rsidRPr="003432EC">
        <w:rPr>
          <w:sz w:val="20"/>
          <w:szCs w:val="20"/>
        </w:rPr>
        <w:t xml:space="preserve"> r. poz. </w:t>
      </w:r>
      <w:r w:rsidR="002670D8">
        <w:rPr>
          <w:sz w:val="20"/>
          <w:szCs w:val="20"/>
        </w:rPr>
        <w:t>1124</w:t>
      </w:r>
      <w:r>
        <w:rPr>
          <w:sz w:val="20"/>
          <w:szCs w:val="20"/>
        </w:rPr>
        <w:t xml:space="preserve">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761B9E" w14:textId="09FEA886" w:rsidR="00EE0839" w:rsidRDefault="00EE0839" w:rsidP="00EE0839">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AB6182">
        <w:rPr>
          <w:sz w:val="20"/>
          <w:szCs w:val="20"/>
        </w:rPr>
        <w:t>3</w:t>
      </w:r>
      <w:r w:rsidRPr="003432EC">
        <w:rPr>
          <w:sz w:val="20"/>
          <w:szCs w:val="20"/>
        </w:rPr>
        <w:t xml:space="preserve"> r. poz. </w:t>
      </w:r>
      <w:r w:rsidR="00AB6182">
        <w:rPr>
          <w:sz w:val="20"/>
          <w:szCs w:val="20"/>
        </w:rPr>
        <w:t>120 z późn.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4AD5C06E"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442A769"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AB6182">
        <w:rPr>
          <w:sz w:val="20"/>
          <w:szCs w:val="20"/>
        </w:rPr>
        <w:t>3</w:t>
      </w:r>
      <w:r>
        <w:rPr>
          <w:sz w:val="20"/>
          <w:szCs w:val="20"/>
        </w:rPr>
        <w:t xml:space="preserve"> r. poz. </w:t>
      </w:r>
      <w:r w:rsidR="00AB6182">
        <w:rPr>
          <w:sz w:val="20"/>
          <w:szCs w:val="20"/>
        </w:rPr>
        <w:t>1689</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015634"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3A4DB13F"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AB6182">
        <w:rPr>
          <w:sz w:val="20"/>
          <w:szCs w:val="20"/>
        </w:rPr>
        <w:t>3</w:t>
      </w:r>
      <w:r>
        <w:rPr>
          <w:sz w:val="20"/>
          <w:szCs w:val="20"/>
        </w:rPr>
        <w:t xml:space="preserve"> r. poz. </w:t>
      </w:r>
      <w:r w:rsidR="00AB6182">
        <w:rPr>
          <w:sz w:val="20"/>
          <w:szCs w:val="20"/>
        </w:rPr>
        <w:t>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373BC9EE" w14:textId="7E96917A" w:rsidR="00FA275C" w:rsidRPr="003369C0" w:rsidRDefault="001C2F34" w:rsidP="008711BD">
      <w:pPr>
        <w:numPr>
          <w:ilvl w:val="1"/>
          <w:numId w:val="47"/>
        </w:numPr>
        <w:spacing w:line="360" w:lineRule="auto"/>
        <w:ind w:left="426"/>
        <w:jc w:val="both"/>
        <w:rPr>
          <w:sz w:val="20"/>
          <w:szCs w:val="20"/>
        </w:rPr>
      </w:pPr>
      <w:r w:rsidRPr="003369C0">
        <w:rPr>
          <w:sz w:val="20"/>
          <w:szCs w:val="20"/>
        </w:rPr>
        <w:t>Wykonawca zobowiązany jest do zabezpieczenia swojej oferty wadium w wysokości:</w:t>
      </w:r>
      <w:r w:rsidR="00F13CDA" w:rsidRPr="003369C0">
        <w:rPr>
          <w:sz w:val="20"/>
          <w:szCs w:val="20"/>
        </w:rPr>
        <w:t xml:space="preserve">   </w:t>
      </w:r>
      <w:r w:rsidR="00FA275C" w:rsidRPr="003369C0">
        <w:rPr>
          <w:sz w:val="20"/>
          <w:szCs w:val="20"/>
        </w:rPr>
        <w:t xml:space="preserve"> </w:t>
      </w:r>
      <w:r w:rsidR="00FA275C" w:rsidRPr="003369C0">
        <w:rPr>
          <w:b/>
          <w:bCs/>
          <w:sz w:val="20"/>
          <w:szCs w:val="20"/>
        </w:rPr>
        <w:t>800 zł</w:t>
      </w:r>
      <w:r w:rsidR="00FA275C" w:rsidRPr="003369C0">
        <w:rPr>
          <w:sz w:val="20"/>
          <w:szCs w:val="20"/>
        </w:rPr>
        <w:t xml:space="preserve"> </w:t>
      </w:r>
      <w:r w:rsidR="00F13CDA" w:rsidRPr="003369C0">
        <w:rPr>
          <w:sz w:val="20"/>
          <w:szCs w:val="20"/>
        </w:rPr>
        <w:t xml:space="preserve">  </w:t>
      </w:r>
      <w:r w:rsidR="00FA275C" w:rsidRPr="003369C0">
        <w:rPr>
          <w:sz w:val="20"/>
          <w:szCs w:val="20"/>
        </w:rPr>
        <w:t>(słownie: osiemset złotych 00/100).</w:t>
      </w:r>
    </w:p>
    <w:p w14:paraId="000000F5" w14:textId="77777777" w:rsidR="00FE1011" w:rsidRDefault="001C2F34" w:rsidP="008711BD">
      <w:pPr>
        <w:numPr>
          <w:ilvl w:val="3"/>
          <w:numId w:val="26"/>
        </w:numPr>
        <w:spacing w:line="360" w:lineRule="auto"/>
        <w:ind w:left="426"/>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5EE6A0D"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w:t>
      </w:r>
      <w:r w:rsidR="00AB6182">
        <w:rPr>
          <w:sz w:val="20"/>
          <w:szCs w:val="20"/>
        </w:rPr>
        <w:t>3</w:t>
      </w:r>
      <w:r>
        <w:rPr>
          <w:sz w:val="20"/>
          <w:szCs w:val="20"/>
        </w:rPr>
        <w:t xml:space="preserve"> r. poz. </w:t>
      </w:r>
      <w:r w:rsidR="00AB6182">
        <w:rPr>
          <w:sz w:val="20"/>
          <w:szCs w:val="20"/>
        </w:rPr>
        <w:t>462</w:t>
      </w:r>
      <w:r w:rsidR="00F13CDA">
        <w:rPr>
          <w:sz w:val="20"/>
          <w:szCs w:val="20"/>
        </w:rPr>
        <w:t xml:space="preserve"> z późn. zm.</w:t>
      </w:r>
      <w:r>
        <w:rPr>
          <w:sz w:val="20"/>
          <w:szCs w:val="20"/>
        </w:rPr>
        <w:t>).</w:t>
      </w:r>
    </w:p>
    <w:p w14:paraId="79B22EE5" w14:textId="5E2BA175"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40E49" w:rsidRPr="00A40E49">
        <w:rPr>
          <w:b/>
          <w:sz w:val="20"/>
          <w:szCs w:val="20"/>
        </w:rPr>
        <w:t>Wykonanie usługi sprzętowej równiarkami i walcami samojezdnymi w roku 202</w:t>
      </w:r>
      <w:r w:rsidR="00E34E45">
        <w:rPr>
          <w:b/>
          <w:sz w:val="20"/>
          <w:szCs w:val="20"/>
        </w:rPr>
        <w:t>4</w:t>
      </w:r>
      <w:r w:rsidR="00A40E49" w:rsidRPr="00A40E49">
        <w:rPr>
          <w:b/>
          <w:sz w:val="20"/>
          <w:szCs w:val="20"/>
        </w:rPr>
        <w:t xml:space="preserve"> na drogach Gminy Przodkowo</w:t>
      </w:r>
      <w:r w:rsidR="00171B74" w:rsidRPr="00171B74">
        <w:rPr>
          <w:sz w:val="20"/>
          <w:szCs w:val="20"/>
          <w:lang w:val="pl-PL"/>
        </w:rPr>
        <w:t>” znak sprawy ZP.271.</w:t>
      </w:r>
      <w:r w:rsidR="00015634">
        <w:rPr>
          <w:sz w:val="20"/>
          <w:szCs w:val="20"/>
          <w:lang w:val="pl-PL"/>
        </w:rPr>
        <w:t>7</w:t>
      </w:r>
      <w:r w:rsidR="00171B74" w:rsidRPr="00171B74">
        <w:rPr>
          <w:sz w:val="20"/>
          <w:szCs w:val="20"/>
          <w:lang w:val="pl-PL"/>
        </w:rPr>
        <w:t>.202</w:t>
      </w:r>
      <w:r w:rsidR="00480CE3">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0E63F45B"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015634">
        <w:rPr>
          <w:sz w:val="20"/>
          <w:szCs w:val="20"/>
        </w:rPr>
        <w:t>5</w:t>
      </w:r>
      <w:r w:rsidR="00FA275C" w:rsidRPr="00FA275C">
        <w:rPr>
          <w:color w:val="000000" w:themeColor="text1"/>
          <w:sz w:val="20"/>
          <w:szCs w:val="20"/>
        </w:rPr>
        <w:t xml:space="preserve"> </w:t>
      </w:r>
      <w:r w:rsidR="00015634">
        <w:rPr>
          <w:color w:val="000000" w:themeColor="text1"/>
          <w:sz w:val="20"/>
          <w:szCs w:val="20"/>
        </w:rPr>
        <w:t>kwietnia</w:t>
      </w:r>
      <w:r w:rsidR="00FA275C" w:rsidRPr="00FA275C">
        <w:rPr>
          <w:color w:val="000000" w:themeColor="text1"/>
          <w:sz w:val="20"/>
          <w:szCs w:val="20"/>
        </w:rPr>
        <w:t xml:space="preserve"> 202</w:t>
      </w:r>
      <w:r w:rsidR="0083588C">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170A16F1"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015634">
        <w:rPr>
          <w:color w:val="000000" w:themeColor="text1"/>
          <w:sz w:val="20"/>
          <w:szCs w:val="20"/>
        </w:rPr>
        <w:t>7</w:t>
      </w:r>
      <w:r w:rsidR="00FA275C" w:rsidRPr="00FA275C">
        <w:rPr>
          <w:color w:val="000000" w:themeColor="text1"/>
          <w:sz w:val="20"/>
          <w:szCs w:val="20"/>
        </w:rPr>
        <w:t xml:space="preserve"> </w:t>
      </w:r>
      <w:r w:rsidR="00015634">
        <w:rPr>
          <w:color w:val="000000" w:themeColor="text1"/>
          <w:sz w:val="20"/>
          <w:szCs w:val="20"/>
        </w:rPr>
        <w:t>marca</w:t>
      </w:r>
      <w:r w:rsidR="00FA275C" w:rsidRPr="00FA275C">
        <w:rPr>
          <w:color w:val="000000" w:themeColor="text1"/>
          <w:sz w:val="20"/>
          <w:szCs w:val="20"/>
        </w:rPr>
        <w:t xml:space="preserve"> 202</w:t>
      </w:r>
      <w:r w:rsidR="0083588C">
        <w:rPr>
          <w:color w:val="000000" w:themeColor="text1"/>
          <w:sz w:val="20"/>
          <w:szCs w:val="20"/>
        </w:rPr>
        <w:t>4</w:t>
      </w:r>
      <w:r w:rsidR="00FA275C" w:rsidRPr="00FA275C">
        <w:rPr>
          <w:color w:val="000000" w:themeColor="text1"/>
          <w:sz w:val="20"/>
          <w:szCs w:val="20"/>
        </w:rPr>
        <w:t xml:space="preserve"> roku godz. 1</w:t>
      </w:r>
      <w:r w:rsidR="003369C0">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127F0B12"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015634">
        <w:rPr>
          <w:color w:val="000000" w:themeColor="text1"/>
          <w:sz w:val="20"/>
          <w:szCs w:val="20"/>
        </w:rPr>
        <w:t>7</w:t>
      </w:r>
      <w:r w:rsidR="00FA275C" w:rsidRPr="00FA275C">
        <w:rPr>
          <w:color w:val="000000" w:themeColor="text1"/>
          <w:sz w:val="20"/>
          <w:szCs w:val="20"/>
        </w:rPr>
        <w:t xml:space="preserve"> </w:t>
      </w:r>
      <w:r w:rsidR="00015634">
        <w:rPr>
          <w:color w:val="000000" w:themeColor="text1"/>
          <w:sz w:val="20"/>
          <w:szCs w:val="20"/>
        </w:rPr>
        <w:t>marca</w:t>
      </w:r>
      <w:r w:rsidR="00FA275C" w:rsidRPr="00FA275C">
        <w:rPr>
          <w:color w:val="000000" w:themeColor="text1"/>
          <w:sz w:val="20"/>
          <w:szCs w:val="20"/>
        </w:rPr>
        <w:t xml:space="preserve"> 202</w:t>
      </w:r>
      <w:r w:rsidR="0083588C">
        <w:rPr>
          <w:color w:val="000000" w:themeColor="text1"/>
          <w:sz w:val="20"/>
          <w:szCs w:val="20"/>
        </w:rPr>
        <w:t>4</w:t>
      </w:r>
      <w:r w:rsidR="00FA275C" w:rsidRPr="00FA275C">
        <w:rPr>
          <w:color w:val="000000" w:themeColor="text1"/>
          <w:sz w:val="20"/>
          <w:szCs w:val="20"/>
        </w:rPr>
        <w:t xml:space="preserve"> roku godz. 1</w:t>
      </w:r>
      <w:r w:rsidR="003369C0">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B754656"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usługę równiarki  i walca</w:t>
      </w:r>
      <w:r w:rsidR="008B5907">
        <w:rPr>
          <w:rFonts w:ascii="Arial" w:hAnsi="Arial" w:cs="Arial"/>
          <w:sz w:val="20"/>
          <w:szCs w:val="20"/>
        </w:rPr>
        <w:t xml:space="preserve"> i minimalny czas reakcji 2 godziny</w:t>
      </w:r>
      <w:r>
        <w:rPr>
          <w:rFonts w:ascii="Arial" w:hAnsi="Arial" w:cs="Arial"/>
          <w:sz w:val="20"/>
          <w:szCs w:val="20"/>
        </w:rPr>
        <w:t xml:space="preserve">. (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F010C7">
        <w:tc>
          <w:tcPr>
            <w:tcW w:w="4605"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4605"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F010C7">
        <w:tc>
          <w:tcPr>
            <w:tcW w:w="4605"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4605" w:type="dxa"/>
            <w:shd w:val="clear" w:color="auto" w:fill="auto"/>
            <w:vAlign w:val="center"/>
          </w:tcPr>
          <w:p w14:paraId="6FBC848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FA275C" w:rsidRPr="00E4572F" w14:paraId="087C23AD" w14:textId="77777777" w:rsidTr="00F010C7">
        <w:tc>
          <w:tcPr>
            <w:tcW w:w="4605" w:type="dxa"/>
            <w:shd w:val="clear" w:color="auto" w:fill="auto"/>
            <w:vAlign w:val="center"/>
          </w:tcPr>
          <w:p w14:paraId="23D6061A" w14:textId="3574D330"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3</w:t>
            </w:r>
            <w:r w:rsidR="008B5907">
              <w:rPr>
                <w:rFonts w:ascii="Arial" w:hAnsi="Arial" w:cs="Arial"/>
                <w:sz w:val="20"/>
                <w:szCs w:val="20"/>
              </w:rPr>
              <w:t>,5</w:t>
            </w:r>
            <w:r w:rsidRPr="00E4572F">
              <w:rPr>
                <w:rFonts w:ascii="Arial" w:hAnsi="Arial" w:cs="Arial"/>
                <w:sz w:val="20"/>
                <w:szCs w:val="20"/>
              </w:rPr>
              <w:t xml:space="preserve"> GODZINY</w:t>
            </w:r>
          </w:p>
        </w:tc>
        <w:tc>
          <w:tcPr>
            <w:tcW w:w="4605" w:type="dxa"/>
            <w:shd w:val="clear" w:color="auto" w:fill="auto"/>
            <w:vAlign w:val="center"/>
          </w:tcPr>
          <w:p w14:paraId="64B4D5D4"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1</w:t>
            </w:r>
            <w:r w:rsidRPr="00E4572F">
              <w:rPr>
                <w:rFonts w:ascii="Arial" w:hAnsi="Arial" w:cs="Arial"/>
                <w:sz w:val="20"/>
                <w:szCs w:val="20"/>
              </w:rPr>
              <w:t>0 PKT</w:t>
            </w:r>
          </w:p>
        </w:tc>
      </w:tr>
      <w:tr w:rsidR="00FA275C" w:rsidRPr="00E4572F" w14:paraId="2E7B13CD" w14:textId="77777777" w:rsidTr="00F010C7">
        <w:tc>
          <w:tcPr>
            <w:tcW w:w="4605"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4605" w:type="dxa"/>
            <w:shd w:val="clear" w:color="auto" w:fill="auto"/>
            <w:vAlign w:val="center"/>
          </w:tcPr>
          <w:p w14:paraId="1DF3D690"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B5907" w:rsidRPr="00E4572F" w14:paraId="13EF1144" w14:textId="77777777" w:rsidTr="00F010C7">
        <w:tc>
          <w:tcPr>
            <w:tcW w:w="4605" w:type="dxa"/>
            <w:shd w:val="clear" w:color="auto" w:fill="auto"/>
            <w:vAlign w:val="center"/>
          </w:tcPr>
          <w:p w14:paraId="755A31AF" w14:textId="010D65A3" w:rsidR="008B5907"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2,5 GODZINY</w:t>
            </w:r>
          </w:p>
        </w:tc>
        <w:tc>
          <w:tcPr>
            <w:tcW w:w="4605" w:type="dxa"/>
            <w:shd w:val="clear" w:color="auto" w:fill="auto"/>
            <w:vAlign w:val="center"/>
          </w:tcPr>
          <w:p w14:paraId="2031073A" w14:textId="4881A279"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F010C7">
        <w:tc>
          <w:tcPr>
            <w:tcW w:w="4605"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4605" w:type="dxa"/>
            <w:shd w:val="clear" w:color="auto" w:fill="auto"/>
            <w:vAlign w:val="center"/>
          </w:tcPr>
          <w:p w14:paraId="00D93393" w14:textId="63FCB960"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7BE5B720"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 xml:space="preserve">Jeżeli Wykonawca określi minimalny „Czas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3DF8D681"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83588C">
        <w:rPr>
          <w:sz w:val="20"/>
          <w:szCs w:val="20"/>
          <w:lang w:val="pl-PL"/>
        </w:rPr>
        <w:t>3</w:t>
      </w:r>
      <w:r w:rsidRPr="00EE23F1">
        <w:rPr>
          <w:sz w:val="20"/>
          <w:szCs w:val="20"/>
          <w:lang w:val="pl-PL"/>
        </w:rPr>
        <w:t xml:space="preserve"> r. poz. </w:t>
      </w:r>
      <w:r w:rsidR="0083588C">
        <w:rPr>
          <w:sz w:val="20"/>
          <w:szCs w:val="20"/>
          <w:lang w:val="pl-PL"/>
        </w:rPr>
        <w:t>1605</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495C97F8"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5824D1">
      <w:rPr>
        <w:b/>
        <w:bCs/>
        <w:sz w:val="20"/>
        <w:szCs w:val="20"/>
      </w:rPr>
      <w:t>7</w:t>
    </w:r>
    <w:r w:rsidRPr="00D922B2">
      <w:rPr>
        <w:b/>
        <w:bCs/>
        <w:sz w:val="20"/>
        <w:szCs w:val="20"/>
      </w:rPr>
      <w:t>.202</w:t>
    </w:r>
    <w:r w:rsidR="001A1E06">
      <w:rPr>
        <w:b/>
        <w:bCs/>
        <w:sz w:val="20"/>
        <w:szCs w:val="20"/>
      </w:rPr>
      <w:t>4</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DCE6FAB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95FA1A3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42355393">
    <w:abstractNumId w:val="4"/>
  </w:num>
  <w:num w:numId="2" w16cid:durableId="758260366">
    <w:abstractNumId w:val="37"/>
  </w:num>
  <w:num w:numId="3" w16cid:durableId="81996579">
    <w:abstractNumId w:val="7"/>
  </w:num>
  <w:num w:numId="4" w16cid:durableId="1772581763">
    <w:abstractNumId w:val="14"/>
  </w:num>
  <w:num w:numId="5" w16cid:durableId="1050110154">
    <w:abstractNumId w:val="28"/>
  </w:num>
  <w:num w:numId="6" w16cid:durableId="2094158714">
    <w:abstractNumId w:val="24"/>
  </w:num>
  <w:num w:numId="7" w16cid:durableId="853493958">
    <w:abstractNumId w:val="15"/>
  </w:num>
  <w:num w:numId="8" w16cid:durableId="1278952668">
    <w:abstractNumId w:val="8"/>
  </w:num>
  <w:num w:numId="9" w16cid:durableId="77097352">
    <w:abstractNumId w:val="1"/>
  </w:num>
  <w:num w:numId="10" w16cid:durableId="1871600600">
    <w:abstractNumId w:val="23"/>
  </w:num>
  <w:num w:numId="11" w16cid:durableId="1939678867">
    <w:abstractNumId w:val="12"/>
  </w:num>
  <w:num w:numId="12" w16cid:durableId="88553411">
    <w:abstractNumId w:val="46"/>
  </w:num>
  <w:num w:numId="13" w16cid:durableId="1205949066">
    <w:abstractNumId w:val="38"/>
  </w:num>
  <w:num w:numId="14" w16cid:durableId="1126583870">
    <w:abstractNumId w:val="0"/>
  </w:num>
  <w:num w:numId="15" w16cid:durableId="642199280">
    <w:abstractNumId w:val="33"/>
  </w:num>
  <w:num w:numId="16" w16cid:durableId="741945270">
    <w:abstractNumId w:val="25"/>
  </w:num>
  <w:num w:numId="17" w16cid:durableId="847210526">
    <w:abstractNumId w:val="27"/>
  </w:num>
  <w:num w:numId="18" w16cid:durableId="2063401504">
    <w:abstractNumId w:val="42"/>
  </w:num>
  <w:num w:numId="19" w16cid:durableId="1233853554">
    <w:abstractNumId w:val="31"/>
  </w:num>
  <w:num w:numId="20" w16cid:durableId="753626446">
    <w:abstractNumId w:val="43"/>
  </w:num>
  <w:num w:numId="21" w16cid:durableId="1711107990">
    <w:abstractNumId w:val="30"/>
  </w:num>
  <w:num w:numId="22" w16cid:durableId="1428425586">
    <w:abstractNumId w:val="45"/>
  </w:num>
  <w:num w:numId="23" w16cid:durableId="360790606">
    <w:abstractNumId w:val="39"/>
  </w:num>
  <w:num w:numId="24" w16cid:durableId="1407722804">
    <w:abstractNumId w:val="11"/>
  </w:num>
  <w:num w:numId="25" w16cid:durableId="558784137">
    <w:abstractNumId w:val="9"/>
  </w:num>
  <w:num w:numId="26" w16cid:durableId="1559902982">
    <w:abstractNumId w:val="10"/>
  </w:num>
  <w:num w:numId="27" w16cid:durableId="368340711">
    <w:abstractNumId w:val="2"/>
  </w:num>
  <w:num w:numId="28" w16cid:durableId="330790174">
    <w:abstractNumId w:val="17"/>
  </w:num>
  <w:num w:numId="29" w16cid:durableId="1154487263">
    <w:abstractNumId w:val="32"/>
  </w:num>
  <w:num w:numId="30" w16cid:durableId="1190069822">
    <w:abstractNumId w:val="16"/>
  </w:num>
  <w:num w:numId="31" w16cid:durableId="1323970376">
    <w:abstractNumId w:val="3"/>
  </w:num>
  <w:num w:numId="32" w16cid:durableId="1707293082">
    <w:abstractNumId w:val="21"/>
  </w:num>
  <w:num w:numId="33" w16cid:durableId="1866945326">
    <w:abstractNumId w:val="20"/>
  </w:num>
  <w:num w:numId="34" w16cid:durableId="931206839">
    <w:abstractNumId w:val="6"/>
  </w:num>
  <w:num w:numId="35" w16cid:durableId="592783860">
    <w:abstractNumId w:val="44"/>
  </w:num>
  <w:num w:numId="36" w16cid:durableId="1698849458">
    <w:abstractNumId w:val="5"/>
  </w:num>
  <w:num w:numId="37" w16cid:durableId="999504665">
    <w:abstractNumId w:val="41"/>
  </w:num>
  <w:num w:numId="38" w16cid:durableId="209734990">
    <w:abstractNumId w:val="35"/>
  </w:num>
  <w:num w:numId="39" w16cid:durableId="1160003704">
    <w:abstractNumId w:val="40"/>
  </w:num>
  <w:num w:numId="40" w16cid:durableId="1664039740">
    <w:abstractNumId w:val="18"/>
  </w:num>
  <w:num w:numId="41" w16cid:durableId="1415473705">
    <w:abstractNumId w:val="26"/>
  </w:num>
  <w:num w:numId="42" w16cid:durableId="1614822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6518288">
    <w:abstractNumId w:val="18"/>
  </w:num>
  <w:num w:numId="44" w16cid:durableId="280840268">
    <w:abstractNumId w:val="36"/>
  </w:num>
  <w:num w:numId="45" w16cid:durableId="998584245">
    <w:abstractNumId w:val="34"/>
  </w:num>
  <w:num w:numId="46" w16cid:durableId="2063559930">
    <w:abstractNumId w:val="13"/>
  </w:num>
  <w:num w:numId="47" w16cid:durableId="1014915327">
    <w:abstractNumId w:val="19"/>
  </w:num>
  <w:num w:numId="48" w16cid:durableId="130982073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014B8"/>
    <w:rsid w:val="000120E7"/>
    <w:rsid w:val="00015634"/>
    <w:rsid w:val="000254E5"/>
    <w:rsid w:val="000473CE"/>
    <w:rsid w:val="00064F9A"/>
    <w:rsid w:val="00067636"/>
    <w:rsid w:val="000C1A35"/>
    <w:rsid w:val="000D15F2"/>
    <w:rsid w:val="000D5AB5"/>
    <w:rsid w:val="001077C3"/>
    <w:rsid w:val="00171B74"/>
    <w:rsid w:val="001A1E06"/>
    <w:rsid w:val="001A6FCF"/>
    <w:rsid w:val="001C2F34"/>
    <w:rsid w:val="00221C3B"/>
    <w:rsid w:val="002430F4"/>
    <w:rsid w:val="002540CC"/>
    <w:rsid w:val="002670D8"/>
    <w:rsid w:val="002B1DCB"/>
    <w:rsid w:val="002E366B"/>
    <w:rsid w:val="002E59CE"/>
    <w:rsid w:val="00304C62"/>
    <w:rsid w:val="00304D8F"/>
    <w:rsid w:val="00312267"/>
    <w:rsid w:val="003369C0"/>
    <w:rsid w:val="00371257"/>
    <w:rsid w:val="003904E4"/>
    <w:rsid w:val="003C4B37"/>
    <w:rsid w:val="003E2288"/>
    <w:rsid w:val="003E3120"/>
    <w:rsid w:val="003F65F2"/>
    <w:rsid w:val="004325F9"/>
    <w:rsid w:val="004411F8"/>
    <w:rsid w:val="00480CE3"/>
    <w:rsid w:val="00494ECA"/>
    <w:rsid w:val="00496ED9"/>
    <w:rsid w:val="004B2402"/>
    <w:rsid w:val="004C6C37"/>
    <w:rsid w:val="00507C03"/>
    <w:rsid w:val="0053203C"/>
    <w:rsid w:val="00554497"/>
    <w:rsid w:val="00560FD2"/>
    <w:rsid w:val="005754F6"/>
    <w:rsid w:val="00576800"/>
    <w:rsid w:val="005824D1"/>
    <w:rsid w:val="005B11CA"/>
    <w:rsid w:val="005B58F7"/>
    <w:rsid w:val="00611481"/>
    <w:rsid w:val="00613BA6"/>
    <w:rsid w:val="00640845"/>
    <w:rsid w:val="00681959"/>
    <w:rsid w:val="006D2E9E"/>
    <w:rsid w:val="006E4DC2"/>
    <w:rsid w:val="006F378A"/>
    <w:rsid w:val="007417A0"/>
    <w:rsid w:val="00766CB3"/>
    <w:rsid w:val="007B5F65"/>
    <w:rsid w:val="008026BB"/>
    <w:rsid w:val="008058B8"/>
    <w:rsid w:val="00815E56"/>
    <w:rsid w:val="00820996"/>
    <w:rsid w:val="0083588C"/>
    <w:rsid w:val="008560DF"/>
    <w:rsid w:val="00864444"/>
    <w:rsid w:val="008711BD"/>
    <w:rsid w:val="00874DF3"/>
    <w:rsid w:val="0088672B"/>
    <w:rsid w:val="008915C2"/>
    <w:rsid w:val="008A31DA"/>
    <w:rsid w:val="008B5907"/>
    <w:rsid w:val="008F0BF1"/>
    <w:rsid w:val="0091041F"/>
    <w:rsid w:val="00943ADF"/>
    <w:rsid w:val="00944389"/>
    <w:rsid w:val="0095173D"/>
    <w:rsid w:val="00984EB0"/>
    <w:rsid w:val="009C506B"/>
    <w:rsid w:val="00A12170"/>
    <w:rsid w:val="00A259E0"/>
    <w:rsid w:val="00A40E49"/>
    <w:rsid w:val="00A550E2"/>
    <w:rsid w:val="00A66F52"/>
    <w:rsid w:val="00A9091F"/>
    <w:rsid w:val="00AB6182"/>
    <w:rsid w:val="00AC2489"/>
    <w:rsid w:val="00B12E25"/>
    <w:rsid w:val="00B16C27"/>
    <w:rsid w:val="00B22903"/>
    <w:rsid w:val="00B3594A"/>
    <w:rsid w:val="00B932C0"/>
    <w:rsid w:val="00BE409D"/>
    <w:rsid w:val="00BF2EA9"/>
    <w:rsid w:val="00C37E4E"/>
    <w:rsid w:val="00C437C0"/>
    <w:rsid w:val="00C6589D"/>
    <w:rsid w:val="00C730A2"/>
    <w:rsid w:val="00CA055B"/>
    <w:rsid w:val="00CE3743"/>
    <w:rsid w:val="00CE5B25"/>
    <w:rsid w:val="00CF2C15"/>
    <w:rsid w:val="00D30974"/>
    <w:rsid w:val="00D504F0"/>
    <w:rsid w:val="00D71B27"/>
    <w:rsid w:val="00D922B2"/>
    <w:rsid w:val="00DB0A16"/>
    <w:rsid w:val="00DD1F50"/>
    <w:rsid w:val="00DD6AF3"/>
    <w:rsid w:val="00DF02F9"/>
    <w:rsid w:val="00E01FDE"/>
    <w:rsid w:val="00E23348"/>
    <w:rsid w:val="00E34E45"/>
    <w:rsid w:val="00E54149"/>
    <w:rsid w:val="00E55F92"/>
    <w:rsid w:val="00E57DB1"/>
    <w:rsid w:val="00E84A2A"/>
    <w:rsid w:val="00EB2618"/>
    <w:rsid w:val="00EB51CB"/>
    <w:rsid w:val="00ED5FCF"/>
    <w:rsid w:val="00ED7E3D"/>
    <w:rsid w:val="00EE0839"/>
    <w:rsid w:val="00EE23F1"/>
    <w:rsid w:val="00EF5488"/>
    <w:rsid w:val="00F010C7"/>
    <w:rsid w:val="00F10E7D"/>
    <w:rsid w:val="00F13CDA"/>
    <w:rsid w:val="00F25598"/>
    <w:rsid w:val="00F34900"/>
    <w:rsid w:val="00F36981"/>
    <w:rsid w:val="00F4311A"/>
    <w:rsid w:val="00F91CEA"/>
    <w:rsid w:val="00F92CFC"/>
    <w:rsid w:val="00FA275C"/>
    <w:rsid w:val="00FE1011"/>
    <w:rsid w:val="00FE6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1901</TotalTime>
  <Pages>23</Pages>
  <Words>8099</Words>
  <Characters>48599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21</cp:revision>
  <dcterms:created xsi:type="dcterms:W3CDTF">2021-03-23T14:01:00Z</dcterms:created>
  <dcterms:modified xsi:type="dcterms:W3CDTF">2024-02-28T09:43:00Z</dcterms:modified>
</cp:coreProperties>
</file>