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791870" w:rsidRPr="00791870">
        <w:rPr>
          <w:rFonts w:ascii="Arial" w:hAnsi="Arial" w:cs="Arial"/>
          <w:b/>
          <w:bCs/>
          <w:iCs/>
        </w:rPr>
        <w:t>Dostawy różnego sprzętu i artykułów biurowych, papieru, jednorazowych artykułów cateringowych, opakowań oraz materiałów eksploatacyjnych do drukarek</w:t>
      </w:r>
      <w:r w:rsidR="00FD5ED6">
        <w:rPr>
          <w:rFonts w:ascii="Arial" w:hAnsi="Arial" w:cs="Arial"/>
          <w:b/>
          <w:bCs/>
        </w:rPr>
        <w:t xml:space="preserve"> </w:t>
      </w:r>
      <w:r w:rsidR="00FD5ED6">
        <w:rPr>
          <w:rFonts w:ascii="Arial" w:hAnsi="Arial" w:cs="Arial"/>
          <w:bCs/>
        </w:rPr>
        <w:t xml:space="preserve">dla </w:t>
      </w:r>
      <w:bookmarkStart w:id="0" w:name="_GoBack"/>
      <w:bookmarkEnd w:id="0"/>
      <w:r w:rsidR="00FD5ED6">
        <w:rPr>
          <w:rFonts w:ascii="Arial" w:hAnsi="Arial" w:cs="Arial"/>
          <w:bCs/>
        </w:rPr>
        <w:t>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791870">
      <w:t>1</w:t>
    </w:r>
    <w:r w:rsidR="00FD5ED6">
      <w:t>4</w:t>
    </w:r>
    <w:r w:rsidR="00713538">
      <w:t>/</w:t>
    </w:r>
    <w:r>
      <w:t>2</w:t>
    </w:r>
    <w:r w:rsidR="00FD5ED6">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4C55E4"/>
    <w:rsid w:val="00670977"/>
    <w:rsid w:val="00692914"/>
    <w:rsid w:val="006D7135"/>
    <w:rsid w:val="00713538"/>
    <w:rsid w:val="00764C25"/>
    <w:rsid w:val="00791870"/>
    <w:rsid w:val="00817983"/>
    <w:rsid w:val="008C5CEA"/>
    <w:rsid w:val="00963177"/>
    <w:rsid w:val="00986397"/>
    <w:rsid w:val="00A35751"/>
    <w:rsid w:val="00BB740F"/>
    <w:rsid w:val="00BD2B23"/>
    <w:rsid w:val="00D6740E"/>
    <w:rsid w:val="00DE30A8"/>
    <w:rsid w:val="00EC40B5"/>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343</Words>
  <Characters>2061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19</cp:revision>
  <dcterms:created xsi:type="dcterms:W3CDTF">2021-07-28T08:45:00Z</dcterms:created>
  <dcterms:modified xsi:type="dcterms:W3CDTF">2023-06-14T07:12:00Z</dcterms:modified>
</cp:coreProperties>
</file>