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4D135E91" w:rsidR="00A23D2B" w:rsidRPr="00C869C6" w:rsidRDefault="00FC515B" w:rsidP="00B27AE4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C869C6">
        <w:rPr>
          <w:rFonts w:ascii="Open Sans" w:hAnsi="Open Sans" w:cs="Open Sans"/>
          <w:b/>
          <w:sz w:val="20"/>
          <w:szCs w:val="20"/>
        </w:rPr>
        <w:t>Umowa</w:t>
      </w:r>
      <w:r w:rsidR="00A23D2B" w:rsidRPr="00C869C6">
        <w:rPr>
          <w:rFonts w:ascii="Open Sans" w:hAnsi="Open Sans" w:cs="Open Sans"/>
          <w:b/>
          <w:sz w:val="20"/>
          <w:szCs w:val="20"/>
        </w:rPr>
        <w:t xml:space="preserve"> </w:t>
      </w:r>
      <w:r w:rsidR="00F7119C" w:rsidRPr="00C869C6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9A2F8A">
        <w:rPr>
          <w:rFonts w:ascii="Open Sans" w:hAnsi="Open Sans" w:cs="Open Sans"/>
          <w:b/>
          <w:sz w:val="20"/>
          <w:szCs w:val="20"/>
        </w:rPr>
        <w:t>2</w:t>
      </w:r>
      <w:r w:rsidR="00F7119C" w:rsidRPr="00C869C6">
        <w:rPr>
          <w:rFonts w:ascii="Open Sans" w:hAnsi="Open Sans" w:cs="Open Sans"/>
          <w:b/>
          <w:sz w:val="20"/>
          <w:szCs w:val="20"/>
        </w:rPr>
        <w:t xml:space="preserve"> – </w:t>
      </w:r>
      <w:r w:rsidR="006A31A2" w:rsidRPr="00C869C6">
        <w:rPr>
          <w:rFonts w:ascii="Open Sans" w:hAnsi="Open Sans" w:cs="Open Sans"/>
          <w:b/>
          <w:sz w:val="20"/>
          <w:szCs w:val="20"/>
        </w:rPr>
        <w:t xml:space="preserve">usługa ubezpieczenia </w:t>
      </w:r>
      <w:r w:rsidR="006F068E" w:rsidRPr="00C869C6">
        <w:rPr>
          <w:rFonts w:ascii="Open Sans" w:hAnsi="Open Sans" w:cs="Open Sans"/>
          <w:b/>
          <w:sz w:val="20"/>
          <w:szCs w:val="20"/>
        </w:rPr>
        <w:t>członków ochotniczych straży pożarnych</w:t>
      </w:r>
    </w:p>
    <w:p w14:paraId="177DD91E" w14:textId="77777777" w:rsidR="00A34DDD" w:rsidRPr="00C869C6" w:rsidRDefault="00A34DDD" w:rsidP="00B27AE4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79043C49" w14:textId="1AB1675F" w:rsidR="00A23D2B" w:rsidRPr="00C869C6" w:rsidRDefault="00A23D2B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5FD3CE6F" w14:textId="0C3C3B53" w:rsidR="00E6595E" w:rsidRDefault="00E6595E" w:rsidP="00E6595E">
      <w:pPr>
        <w:spacing w:line="268" w:lineRule="auto"/>
        <w:jc w:val="both"/>
        <w:rPr>
          <w:rFonts w:ascii="Open Sans" w:hAnsi="Open Sans" w:cs="Open Sans"/>
          <w:bCs/>
          <w:sz w:val="20"/>
          <w:szCs w:val="20"/>
          <w:lang w:val="x-none"/>
        </w:rPr>
      </w:pPr>
      <w:r>
        <w:rPr>
          <w:rFonts w:ascii="Open Sans" w:hAnsi="Open Sans" w:cs="Open Sans"/>
          <w:bCs/>
          <w:sz w:val="20"/>
          <w:szCs w:val="20"/>
        </w:rPr>
        <w:t>W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wyniku rozstrzygniętego postępowania o udzielenie zamówienia publicznego prowadzonego </w:t>
      </w:r>
      <w:r>
        <w:rPr>
          <w:rFonts w:ascii="Open Sans" w:hAnsi="Open Sans" w:cs="Open Sans"/>
          <w:sz w:val="20"/>
          <w:szCs w:val="20"/>
        </w:rPr>
        <w:t xml:space="preserve">w trybie podstawowym – nr sprawy </w:t>
      </w:r>
      <w:r w:rsidR="009A2F8A">
        <w:rPr>
          <w:rFonts w:ascii="Open Sans" w:hAnsi="Open Sans" w:cs="Open Sans"/>
          <w:sz w:val="20"/>
          <w:szCs w:val="20"/>
        </w:rPr>
        <w:t>1/12/2023/G. Alwernia</w:t>
      </w:r>
      <w:r>
        <w:rPr>
          <w:rFonts w:ascii="Open Sans" w:hAnsi="Open Sans" w:cs="Open Sans"/>
          <w:sz w:val="20"/>
          <w:szCs w:val="20"/>
        </w:rPr>
        <w:t xml:space="preserve"> na podstawie art. art. 275 pkt. 1 ustawy z dnia 11 września 2019 r. Prawo zamówień publicznych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(tj. Dz.U. z 202</w:t>
      </w:r>
      <w:r>
        <w:rPr>
          <w:rFonts w:ascii="Open Sans" w:hAnsi="Open Sans" w:cs="Open Sans"/>
          <w:bCs/>
          <w:sz w:val="20"/>
          <w:szCs w:val="20"/>
        </w:rPr>
        <w:t>3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r. poz. 1</w:t>
      </w:r>
      <w:r>
        <w:rPr>
          <w:rFonts w:ascii="Open Sans" w:hAnsi="Open Sans" w:cs="Open Sans"/>
          <w:bCs/>
          <w:sz w:val="20"/>
          <w:szCs w:val="20"/>
        </w:rPr>
        <w:t>605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ze zm.) , zwaną dalej „ustawą </w:t>
      </w:r>
      <w:r>
        <w:rPr>
          <w:rFonts w:ascii="Open Sans" w:hAnsi="Open Sans" w:cs="Open Sans"/>
          <w:bCs/>
          <w:sz w:val="20"/>
          <w:szCs w:val="20"/>
        </w:rPr>
        <w:t>PZP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”,  została zawarta </w:t>
      </w:r>
      <w:r>
        <w:rPr>
          <w:rFonts w:ascii="Open Sans" w:hAnsi="Open Sans" w:cs="Open Sans"/>
          <w:bCs/>
          <w:sz w:val="20"/>
          <w:szCs w:val="20"/>
        </w:rPr>
        <w:t>U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mowa </w:t>
      </w:r>
      <w:r w:rsidRPr="00D306BC">
        <w:rPr>
          <w:rFonts w:ascii="Open Sans" w:hAnsi="Open Sans" w:cs="Open Sans"/>
          <w:bCs/>
          <w:sz w:val="20"/>
          <w:szCs w:val="20"/>
        </w:rPr>
        <w:t>nr…………………………….</w:t>
      </w:r>
      <w:r>
        <w:rPr>
          <w:rFonts w:ascii="Open Sans" w:hAnsi="Open Sans" w:cs="Open Sans"/>
          <w:bCs/>
          <w:sz w:val="20"/>
          <w:szCs w:val="20"/>
        </w:rPr>
        <w:t xml:space="preserve"> pomiędzy:</w:t>
      </w:r>
    </w:p>
    <w:p w14:paraId="6E104761" w14:textId="77777777" w:rsidR="00C76A7A" w:rsidRPr="00C869C6" w:rsidRDefault="00C76A7A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5948CF6F" w14:textId="77777777" w:rsidR="009A2F8A" w:rsidRPr="001E38A3" w:rsidRDefault="009A2F8A" w:rsidP="009A2F8A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1E38A3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594ACBEF" w14:textId="77777777" w:rsidR="009A2F8A" w:rsidRPr="001E38A3" w:rsidRDefault="009A2F8A" w:rsidP="009A2F8A">
      <w:pPr>
        <w:spacing w:line="271" w:lineRule="auto"/>
        <w:rPr>
          <w:rFonts w:ascii="Open Sans" w:hAnsi="Open Sans" w:cs="Open Sans"/>
          <w:sz w:val="20"/>
          <w:szCs w:val="20"/>
        </w:rPr>
      </w:pPr>
      <w:r w:rsidRPr="001E38A3">
        <w:rPr>
          <w:rFonts w:ascii="Open Sans" w:hAnsi="Open Sans" w:cs="Open Sans"/>
          <w:b/>
          <w:sz w:val="20"/>
          <w:szCs w:val="20"/>
        </w:rPr>
        <w:t xml:space="preserve">Gminą </w:t>
      </w:r>
      <w:r>
        <w:rPr>
          <w:rFonts w:ascii="Open Sans" w:hAnsi="Open Sans" w:cs="Open Sans"/>
          <w:b/>
          <w:sz w:val="20"/>
          <w:szCs w:val="20"/>
        </w:rPr>
        <w:t>Alwernia</w:t>
      </w:r>
      <w:r w:rsidRPr="001E38A3">
        <w:rPr>
          <w:rFonts w:ascii="Open Sans" w:hAnsi="Open Sans" w:cs="Open Sans"/>
          <w:bCs/>
          <w:sz w:val="20"/>
          <w:szCs w:val="20"/>
        </w:rPr>
        <w:t xml:space="preserve"> z siedzibą przy ul. </w:t>
      </w:r>
      <w:r>
        <w:rPr>
          <w:rFonts w:ascii="Open Sans" w:hAnsi="Open Sans" w:cs="Open Sans"/>
          <w:bCs/>
          <w:sz w:val="20"/>
          <w:szCs w:val="20"/>
        </w:rPr>
        <w:t xml:space="preserve">Zbigniewa </w:t>
      </w:r>
      <w:proofErr w:type="spellStart"/>
      <w:r>
        <w:rPr>
          <w:rFonts w:ascii="Open Sans" w:hAnsi="Open Sans" w:cs="Open Sans"/>
          <w:bCs/>
          <w:sz w:val="20"/>
          <w:szCs w:val="20"/>
        </w:rPr>
        <w:t>Gęsikowskiego</w:t>
      </w:r>
      <w:proofErr w:type="spellEnd"/>
      <w:r>
        <w:rPr>
          <w:rFonts w:ascii="Open Sans" w:hAnsi="Open Sans" w:cs="Open Sans"/>
          <w:bCs/>
          <w:sz w:val="20"/>
          <w:szCs w:val="20"/>
        </w:rPr>
        <w:t xml:space="preserve"> 7</w:t>
      </w:r>
      <w:r w:rsidRPr="001E38A3">
        <w:rPr>
          <w:rFonts w:ascii="Open Sans" w:hAnsi="Open Sans" w:cs="Open Sans"/>
          <w:bCs/>
          <w:sz w:val="20"/>
          <w:szCs w:val="20"/>
        </w:rPr>
        <w:t xml:space="preserve">, </w:t>
      </w:r>
      <w:r>
        <w:rPr>
          <w:rFonts w:ascii="Open Sans" w:hAnsi="Open Sans" w:cs="Open Sans"/>
          <w:bCs/>
          <w:sz w:val="20"/>
          <w:szCs w:val="20"/>
        </w:rPr>
        <w:t>32-566 Alwernia</w:t>
      </w:r>
      <w:r w:rsidRPr="001E38A3">
        <w:rPr>
          <w:rFonts w:ascii="Open Sans" w:hAnsi="Open Sans" w:cs="Open Sans"/>
          <w:bCs/>
          <w:sz w:val="20"/>
          <w:szCs w:val="20"/>
        </w:rPr>
        <w:t xml:space="preserve">, 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>posiadając</w:t>
      </w:r>
      <w:r w:rsidRPr="001E38A3">
        <w:rPr>
          <w:rFonts w:ascii="Open Sans" w:hAnsi="Open Sans" w:cs="Open Sans"/>
          <w:bCs/>
          <w:sz w:val="20"/>
          <w:szCs w:val="20"/>
        </w:rPr>
        <w:t>ą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Pr="001E38A3">
        <w:rPr>
          <w:rFonts w:ascii="Open Sans" w:hAnsi="Open Sans" w:cs="Open Sans"/>
          <w:bCs/>
          <w:sz w:val="20"/>
          <w:szCs w:val="20"/>
        </w:rPr>
        <w:t xml:space="preserve">REGON: </w:t>
      </w:r>
      <w:r>
        <w:rPr>
          <w:rFonts w:ascii="Open Sans" w:hAnsi="Open Sans" w:cs="Open Sans"/>
          <w:bCs/>
          <w:sz w:val="20"/>
          <w:szCs w:val="20"/>
        </w:rPr>
        <w:t>351555967</w:t>
      </w:r>
      <w:r w:rsidRPr="001E38A3">
        <w:rPr>
          <w:rFonts w:ascii="Open Sans" w:hAnsi="Open Sans" w:cs="Open Sans"/>
          <w:bCs/>
          <w:sz w:val="20"/>
          <w:szCs w:val="20"/>
        </w:rPr>
        <w:t>, NIP:</w:t>
      </w:r>
      <w:r w:rsidRPr="001E38A3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6282074477</w:t>
      </w:r>
      <w:r w:rsidRPr="001E38A3">
        <w:rPr>
          <w:rFonts w:ascii="Open Sans" w:hAnsi="Open Sans" w:cs="Open Sans"/>
          <w:bCs/>
          <w:sz w:val="20"/>
          <w:szCs w:val="20"/>
        </w:rPr>
        <w:t>,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ab/>
      </w:r>
    </w:p>
    <w:p w14:paraId="257E7E45" w14:textId="77777777" w:rsidR="009A2F8A" w:rsidRPr="001E38A3" w:rsidRDefault="009A2F8A" w:rsidP="009A2F8A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1E38A3">
        <w:rPr>
          <w:rFonts w:ascii="Open Sans" w:hAnsi="Open Sans" w:cs="Open Sans"/>
          <w:bCs/>
          <w:sz w:val="20"/>
          <w:szCs w:val="20"/>
          <w:lang w:val="x-none"/>
        </w:rPr>
        <w:t>reprezentowan</w:t>
      </w:r>
      <w:r w:rsidRPr="001E38A3">
        <w:rPr>
          <w:rFonts w:ascii="Open Sans" w:hAnsi="Open Sans" w:cs="Open Sans"/>
          <w:bCs/>
          <w:sz w:val="20"/>
          <w:szCs w:val="20"/>
        </w:rPr>
        <w:t>ą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przez:</w:t>
      </w:r>
    </w:p>
    <w:p w14:paraId="00BEECDF" w14:textId="77777777" w:rsidR="009A2F8A" w:rsidRPr="001E38A3" w:rsidRDefault="009A2F8A" w:rsidP="009A2F8A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1E38A3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………………………………………………………………….</w:t>
      </w:r>
    </w:p>
    <w:p w14:paraId="3791C549" w14:textId="77777777" w:rsidR="009A2F8A" w:rsidRPr="00A46478" w:rsidRDefault="009A2F8A" w:rsidP="009A2F8A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1E38A3">
        <w:rPr>
          <w:rFonts w:ascii="Open Sans" w:hAnsi="Open Sans" w:cs="Open Sans"/>
          <w:bCs/>
          <w:sz w:val="20"/>
          <w:szCs w:val="20"/>
        </w:rPr>
        <w:t xml:space="preserve">Przy kontrasygnacie Skarbnika Gminy </w:t>
      </w:r>
      <w:r>
        <w:rPr>
          <w:rFonts w:ascii="Open Sans" w:hAnsi="Open Sans" w:cs="Open Sans"/>
          <w:bCs/>
          <w:sz w:val="20"/>
          <w:szCs w:val="20"/>
        </w:rPr>
        <w:t>Alwernia</w:t>
      </w:r>
    </w:p>
    <w:p w14:paraId="6E4A43AE" w14:textId="77777777" w:rsidR="009A2F8A" w:rsidRPr="00A46478" w:rsidRDefault="009A2F8A" w:rsidP="009A2F8A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zwanym w treści umowy “</w:t>
      </w:r>
      <w:r w:rsidRPr="00A46478">
        <w:rPr>
          <w:rFonts w:ascii="Open Sans" w:hAnsi="Open Sans" w:cs="Open Sans"/>
          <w:b/>
          <w:sz w:val="20"/>
          <w:szCs w:val="20"/>
        </w:rPr>
        <w:t>Zamawiającym</w:t>
      </w:r>
      <w:r w:rsidRPr="00A46478">
        <w:rPr>
          <w:rFonts w:ascii="Open Sans" w:hAnsi="Open Sans" w:cs="Open Sans"/>
          <w:bCs/>
          <w:sz w:val="20"/>
          <w:szCs w:val="20"/>
          <w:lang w:val="x-none"/>
        </w:rPr>
        <w:t>”</w:t>
      </w:r>
    </w:p>
    <w:p w14:paraId="2754C3C9" w14:textId="77777777" w:rsidR="006A31A2" w:rsidRPr="00C869C6" w:rsidRDefault="006A31A2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0BC8692C" w14:textId="319F2697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22778511" w14:textId="77777777" w:rsidR="00FC515B" w:rsidRPr="00C869C6" w:rsidRDefault="00FC515B" w:rsidP="00B27AE4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C869C6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5E38ACF9" w14:textId="77777777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F50B774" w14:textId="77777777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69AC5AB" w14:textId="77777777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6562BEF2" w14:textId="77777777" w:rsidR="00B27AE4" w:rsidRPr="00C869C6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3627C95B" w14:textId="0E3A15CB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02A721FE" w14:textId="77777777" w:rsidR="00B27AE4" w:rsidRPr="00C869C6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2D75B24" w14:textId="6C864E25" w:rsidR="00FC515B" w:rsidRPr="00C869C6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C869C6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7770D667" w14:textId="3EDE1C16" w:rsidR="00B27AE4" w:rsidRPr="00C869C6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15D3CAC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10ED5061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2F1512D4" w14:textId="167F1572" w:rsidR="001A4D7A" w:rsidRPr="00C869C6" w:rsidRDefault="00B27AE4" w:rsidP="001A4D7A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Przedmiotem umowy jest świadczenie przez Ubezpieczyciela na rzecz </w:t>
      </w:r>
      <w:r w:rsidR="00045F5C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1A4D7A" w:rsidRPr="00C869C6">
        <w:rPr>
          <w:rFonts w:ascii="Open Sans" w:hAnsi="Open Sans" w:cs="Open Sans"/>
          <w:sz w:val="20"/>
          <w:szCs w:val="20"/>
          <w:lang w:eastAsia="pl-PL"/>
        </w:rPr>
        <w:t>usługi ubezpieczenia obejmującej:</w:t>
      </w:r>
    </w:p>
    <w:p w14:paraId="4D127D1C" w14:textId="579CF5B5" w:rsidR="006A31A2" w:rsidRPr="00C869C6" w:rsidRDefault="001A4D7A" w:rsidP="006F068E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- ubezpieczenie </w:t>
      </w:r>
      <w:r w:rsidR="006F068E" w:rsidRPr="00C869C6">
        <w:rPr>
          <w:rFonts w:ascii="Open Sans" w:hAnsi="Open Sans" w:cs="Open Sans"/>
          <w:sz w:val="20"/>
          <w:szCs w:val="20"/>
          <w:lang w:eastAsia="pl-PL"/>
        </w:rPr>
        <w:t>członków ochotniczych straży pożarnych,</w:t>
      </w:r>
    </w:p>
    <w:p w14:paraId="2D8C97D3" w14:textId="2BDD10B9" w:rsidR="00B27AE4" w:rsidRPr="00C869C6" w:rsidRDefault="00B27AE4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zakresie określonym w opisie przedmiotu zamówienia zawartym w niniejszej Specyfikacji Warunków Zamówienia (zwanej dalej „SWZ”) oraz załącznikach do niej, zgodnie z</w:t>
      </w:r>
      <w:r w:rsidR="001A4D7A" w:rsidRPr="00C869C6">
        <w:rPr>
          <w:rFonts w:ascii="Open Sans" w:hAnsi="Open Sans" w:cs="Open Sans"/>
          <w:sz w:val="20"/>
          <w:szCs w:val="20"/>
          <w:lang w:eastAsia="pl-PL"/>
        </w:rPr>
        <w:t xml:space="preserve">e złożoną na Formularzu ofertowym przez Wykonawcę </w:t>
      </w:r>
      <w:r w:rsidRPr="00C869C6">
        <w:rPr>
          <w:rFonts w:ascii="Open Sans" w:hAnsi="Open Sans" w:cs="Open Sans"/>
          <w:sz w:val="20"/>
          <w:szCs w:val="20"/>
          <w:lang w:eastAsia="pl-PL"/>
        </w:rPr>
        <w:t>ofertą.</w:t>
      </w:r>
    </w:p>
    <w:p w14:paraId="0C227A73" w14:textId="77777777" w:rsidR="001A4D7A" w:rsidRPr="00C869C6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1D4FDFEA" w14:textId="30C159B5" w:rsidR="001A4D7A" w:rsidRPr="00C869C6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1C4DE04A" w14:textId="40A8D639" w:rsidR="001A4D7A" w:rsidRPr="00C869C6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0529A970" w14:textId="77D92320" w:rsidR="0014750F" w:rsidRPr="00C869C6" w:rsidRDefault="0014750F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7DF019D4" w14:textId="793674C6" w:rsidR="001A4D7A" w:rsidRPr="00C869C6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748DB998" w14:textId="77777777" w:rsidR="007650B6" w:rsidRPr="00C869C6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o.o., ul. 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5DA975DB" w14:textId="4804A07D" w:rsidR="007650B6" w:rsidRPr="00C869C6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491B407A" w14:textId="77777777" w:rsidR="007650B6" w:rsidRPr="00C869C6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Licencja Brokera Ubezpieczeniowego nr 1215/03</w:t>
      </w:r>
    </w:p>
    <w:p w14:paraId="2DC7A5FB" w14:textId="77777777" w:rsidR="007650B6" w:rsidRPr="00C869C6" w:rsidRDefault="007650B6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1B20B5BF" w14:textId="62A9F923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50E912BD" w14:textId="77777777" w:rsidR="00B27AE4" w:rsidRPr="005A40F7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TERMIN RE</w:t>
      </w:r>
      <w:r w:rsidRPr="005A40F7">
        <w:rPr>
          <w:rFonts w:ascii="Open Sans" w:hAnsi="Open Sans" w:cs="Open Sans"/>
          <w:color w:val="auto"/>
          <w:sz w:val="20"/>
          <w:szCs w:val="20"/>
          <w:lang w:eastAsia="pl-PL"/>
        </w:rPr>
        <w:t>ALIZACJI UMOWY</w:t>
      </w:r>
    </w:p>
    <w:p w14:paraId="1A5FE290" w14:textId="77777777" w:rsidR="007650B6" w:rsidRPr="005A40F7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5A40F7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1880B8E6" w14:textId="5A196D2B" w:rsidR="00B27AE4" w:rsidRPr="005A40F7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5A40F7">
        <w:rPr>
          <w:rFonts w:ascii="Open Sans" w:hAnsi="Open Sans" w:cs="Open Sans"/>
          <w:sz w:val="20"/>
          <w:szCs w:val="20"/>
          <w:lang w:eastAsia="pl-PL"/>
        </w:rPr>
        <w:t xml:space="preserve">Termin wykonania umowy ustalany jest na okres </w:t>
      </w:r>
      <w:r w:rsidR="00B27AE4" w:rsidRPr="005A40F7">
        <w:rPr>
          <w:rFonts w:ascii="Open Sans" w:hAnsi="Open Sans" w:cs="Open Sans"/>
          <w:sz w:val="20"/>
          <w:szCs w:val="20"/>
          <w:lang w:eastAsia="pl-PL"/>
        </w:rPr>
        <w:t xml:space="preserve">: od dnia </w:t>
      </w:r>
      <w:r w:rsidR="009A2F8A">
        <w:rPr>
          <w:rFonts w:ascii="Open Sans" w:hAnsi="Open Sans" w:cs="Open Sans"/>
          <w:sz w:val="20"/>
          <w:szCs w:val="20"/>
          <w:lang w:eastAsia="pl-PL"/>
        </w:rPr>
        <w:t>20 stycznia 2024 r. do dnia 19 stycznia 2027 r.</w:t>
      </w:r>
    </w:p>
    <w:p w14:paraId="68658136" w14:textId="77777777" w:rsidR="007650B6" w:rsidRPr="00C869C6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5A40F7">
        <w:rPr>
          <w:rFonts w:ascii="Open Sans" w:hAnsi="Open Sans" w:cs="Open Sans"/>
          <w:sz w:val="20"/>
          <w:szCs w:val="20"/>
          <w:lang w:eastAsia="pl-PL"/>
        </w:rPr>
        <w:t>Termin realizacji zobowiązań Wykonawcy wobec Zamawiającego może wykraczać poza termin realizacji Umowy, zgodnie z obowiązującymi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przepisami prawa. </w:t>
      </w:r>
    </w:p>
    <w:p w14:paraId="36BC2DE4" w14:textId="6454395F" w:rsidR="007650B6" w:rsidRPr="00C869C6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1D421A09" w14:textId="77777777" w:rsidR="00B27AE4" w:rsidRPr="00C869C6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BED93E1" w14:textId="77777777" w:rsidR="00B27AE4" w:rsidRPr="00C869C6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84C8B7C" w14:textId="3E52105C" w:rsidR="00162380" w:rsidRPr="00C869C6" w:rsidRDefault="00162380" w:rsidP="00162380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344ED297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6CFDB40B" w14:textId="77777777" w:rsidR="007650B6" w:rsidRPr="00C869C6" w:rsidRDefault="007650B6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4EF1B901" w14:textId="737C9C04" w:rsidR="00B27AE4" w:rsidRPr="00C869C6" w:rsidRDefault="00B27AE4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Składka </w:t>
      </w:r>
      <w:r w:rsidR="007650B6" w:rsidRPr="00C869C6">
        <w:rPr>
          <w:rFonts w:ascii="Open Sans" w:hAnsi="Open Sans" w:cs="Open Sans"/>
          <w:sz w:val="20"/>
          <w:szCs w:val="20"/>
          <w:lang w:eastAsia="pl-PL"/>
        </w:rPr>
        <w:t xml:space="preserve">łączna </w:t>
      </w:r>
      <w:r w:rsidRPr="00C869C6">
        <w:rPr>
          <w:rFonts w:ascii="Open Sans" w:hAnsi="Open Sans" w:cs="Open Sans"/>
          <w:sz w:val="20"/>
          <w:szCs w:val="20"/>
          <w:lang w:eastAsia="pl-PL"/>
        </w:rPr>
        <w:t>za wykonanie przedmiotu umowy</w:t>
      </w:r>
      <w:r w:rsidR="00D3192E" w:rsidRPr="00C869C6">
        <w:rPr>
          <w:rFonts w:ascii="Open Sans" w:hAnsi="Open Sans" w:cs="Open Sans"/>
          <w:sz w:val="20"/>
          <w:szCs w:val="20"/>
          <w:lang w:eastAsia="pl-PL"/>
        </w:rPr>
        <w:t xml:space="preserve"> za cały okres realizacji umowy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wynosi:</w:t>
      </w:r>
      <w:r w:rsidR="00D3192E" w:rsidRPr="00C869C6">
        <w:rPr>
          <w:rFonts w:ascii="Open Sans" w:hAnsi="Open Sans" w:cs="Open Sans"/>
          <w:sz w:val="20"/>
          <w:szCs w:val="20"/>
          <w:lang w:eastAsia="pl-PL"/>
        </w:rPr>
        <w:t xml:space="preserve"> brutto ……………………………………………… zł, w tym VAT zwolniony.</w:t>
      </w:r>
    </w:p>
    <w:p w14:paraId="42456EE0" w14:textId="4565F3A8" w:rsidR="00D3192E" w:rsidRPr="00C869C6" w:rsidRDefault="00D3192E" w:rsidP="00D3192E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Ostateczna składka może różnić się od składki zadeklarowanej w Ofercie Wykonawcy z uwagi na zwiększenie lub zmniejszenie </w:t>
      </w:r>
      <w:r w:rsidR="00DD6420" w:rsidRPr="00C869C6">
        <w:rPr>
          <w:rFonts w:ascii="Open Sans" w:hAnsi="Open Sans" w:cs="Open Sans"/>
          <w:sz w:val="20"/>
          <w:szCs w:val="20"/>
          <w:lang w:eastAsia="pl-PL"/>
        </w:rPr>
        <w:t>ilości osób lub jednostek, drużyn zgłoszonych do ubezpieczenia.</w:t>
      </w:r>
    </w:p>
    <w:p w14:paraId="1D2DC32B" w14:textId="68FED28B" w:rsidR="00303898" w:rsidRPr="00C869C6" w:rsidRDefault="00303898" w:rsidP="00303898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Przed wystawieniem polis na kolejne roczne okresy ubezpieczenia Zamawiający może zaktualizować </w:t>
      </w:r>
      <w:r w:rsidR="00DD6420" w:rsidRPr="00C869C6">
        <w:rPr>
          <w:rFonts w:ascii="Open Sans" w:hAnsi="Open Sans" w:cs="Open Sans"/>
          <w:sz w:val="20"/>
          <w:szCs w:val="20"/>
          <w:lang w:eastAsia="pl-PL"/>
        </w:rPr>
        <w:t>liczbę osób lub jednostek czy drużyn</w:t>
      </w:r>
      <w:r w:rsidRPr="00C869C6">
        <w:rPr>
          <w:rFonts w:ascii="Open Sans" w:hAnsi="Open Sans" w:cs="Open Sans"/>
          <w:sz w:val="20"/>
          <w:szCs w:val="20"/>
          <w:lang w:eastAsia="pl-PL"/>
        </w:rPr>
        <w:t>. Składka zostanie wyliczona z zastosowaniem stawek wynikających z Oferty Wykonawcy.</w:t>
      </w:r>
    </w:p>
    <w:p w14:paraId="2A534683" w14:textId="77777777" w:rsidR="00B27AE4" w:rsidRPr="00C869C6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6C64372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6F164474" w14:textId="77777777" w:rsidR="00B27AE4" w:rsidRPr="00C869C6" w:rsidRDefault="00B27AE4" w:rsidP="00B27AE4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590F02EA" w14:textId="77777777" w:rsidR="00BB7EF1" w:rsidRPr="00C869C6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10% w okresie kolejnych 12 miesięcy od pierwszego dnia obowiązywania umowy (w stosunku do roku poprzedniego). </w:t>
      </w:r>
    </w:p>
    <w:p w14:paraId="19237888" w14:textId="77777777" w:rsidR="00BB7EF1" w:rsidRPr="00C869C6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5EFF5DD7" w14:textId="43C00CAC" w:rsidR="00BB7EF1" w:rsidRPr="00C869C6" w:rsidRDefault="00BB7EF1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Wysokość dodatkowego wynagrodzenia dla </w:t>
      </w:r>
      <w:r w:rsidRPr="005718AA">
        <w:rPr>
          <w:rFonts w:ascii="Open Sans" w:hAnsi="Open Sans" w:cs="Open Sans"/>
          <w:sz w:val="20"/>
          <w:szCs w:val="20"/>
          <w:lang w:eastAsia="pl-PL"/>
        </w:rPr>
        <w:t xml:space="preserve">Wykonawcy zostanie ustalona najpóźniej w ciągu 30 dni od zakończenia pierwszego roku trwania umowy tj. do </w:t>
      </w:r>
      <w:r w:rsidR="00750662" w:rsidRPr="005718AA">
        <w:rPr>
          <w:rFonts w:ascii="Open Sans" w:hAnsi="Open Sans" w:cs="Open Sans"/>
          <w:sz w:val="20"/>
          <w:szCs w:val="20"/>
          <w:lang w:eastAsia="pl-PL"/>
        </w:rPr>
        <w:t>09</w:t>
      </w:r>
      <w:r w:rsidR="00732C5C" w:rsidRPr="005718AA">
        <w:rPr>
          <w:rFonts w:ascii="Open Sans" w:hAnsi="Open Sans" w:cs="Open Sans"/>
          <w:sz w:val="20"/>
          <w:szCs w:val="20"/>
          <w:lang w:eastAsia="pl-PL"/>
        </w:rPr>
        <w:t>.</w:t>
      </w:r>
      <w:r w:rsidR="00A45AFD" w:rsidRPr="005718AA">
        <w:rPr>
          <w:rFonts w:ascii="Open Sans" w:hAnsi="Open Sans" w:cs="Open Sans"/>
          <w:sz w:val="20"/>
          <w:szCs w:val="20"/>
          <w:lang w:eastAsia="pl-PL"/>
        </w:rPr>
        <w:t>1</w:t>
      </w:r>
      <w:r w:rsidR="00750662" w:rsidRPr="005718AA">
        <w:rPr>
          <w:rFonts w:ascii="Open Sans" w:hAnsi="Open Sans" w:cs="Open Sans"/>
          <w:sz w:val="20"/>
          <w:szCs w:val="20"/>
          <w:lang w:eastAsia="pl-PL"/>
        </w:rPr>
        <w:t>2</w:t>
      </w:r>
      <w:r w:rsidR="00732C5C" w:rsidRPr="005718AA">
        <w:rPr>
          <w:rFonts w:ascii="Open Sans" w:hAnsi="Open Sans" w:cs="Open Sans"/>
          <w:sz w:val="20"/>
          <w:szCs w:val="20"/>
          <w:lang w:eastAsia="pl-PL"/>
        </w:rPr>
        <w:t>.2024 r.</w:t>
      </w:r>
    </w:p>
    <w:p w14:paraId="53EF8806" w14:textId="1669416B" w:rsidR="00BB7EF1" w:rsidRPr="00C869C6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150AFEE9" w14:textId="2C3A01B7" w:rsidR="00BB7EF1" w:rsidRPr="00C869C6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Łączna wartość korekt dla oddania wzrostu cen, począwszy od 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listopada</w:t>
      </w:r>
      <w:r w:rsidR="00A45AFD" w:rsidRPr="00C869C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C869C6">
        <w:rPr>
          <w:rFonts w:ascii="Open Sans" w:hAnsi="Open Sans" w:cs="Open Sans"/>
          <w:sz w:val="20"/>
          <w:szCs w:val="20"/>
          <w:lang w:eastAsia="pl-PL"/>
        </w:rPr>
        <w:t>202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4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r. do czasu zakończenia realizacji umowy, wynikających z niniejszego wskaźnika, nie może przekroczyć limitu +2% całkowitego wynagrodzenia Wykonawcy – powyżej tego limitu waloryzacja nie będzie miała zastosowania.</w:t>
      </w:r>
    </w:p>
    <w:p w14:paraId="0EC315D6" w14:textId="77777777" w:rsidR="00B27AE4" w:rsidRPr="00C869C6" w:rsidRDefault="00B27AE4" w:rsidP="00B27AE4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6D295F9F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67464F65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EE4E0AC" w14:textId="4A8ECC56" w:rsidR="00B6786C" w:rsidRPr="00B6786C" w:rsidRDefault="00B6786C" w:rsidP="00B6786C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6786C">
        <w:rPr>
          <w:rFonts w:ascii="Open Sans" w:hAnsi="Open Sans" w:cs="Open Sans"/>
          <w:sz w:val="20"/>
          <w:szCs w:val="20"/>
          <w:lang w:eastAsia="pl-PL"/>
        </w:rPr>
        <w:t>Płatność składki dokonywana będzie przelewem, jednorazowo w odniesieniu do rocznego okresu ubezpieczenia, przy czym termin płatności winien przypadać nie wcześniej niż 14 dni po dniu wystawienia polisy.</w:t>
      </w:r>
    </w:p>
    <w:p w14:paraId="0DCA2898" w14:textId="5915D753" w:rsidR="00B27AE4" w:rsidRPr="00C869C6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Składka za ubezpieczenie płatna będzie przez </w:t>
      </w:r>
      <w:r w:rsidR="00045F5C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przelewem na rachunek bankowy Wykonawcy wskazany</w:t>
      </w:r>
      <w:r w:rsidR="00732C5C" w:rsidRPr="00C869C6">
        <w:rPr>
          <w:rFonts w:ascii="Open Sans" w:hAnsi="Open Sans" w:cs="Open Sans"/>
          <w:sz w:val="20"/>
          <w:szCs w:val="20"/>
          <w:lang w:eastAsia="pl-PL"/>
        </w:rPr>
        <w:t xml:space="preserve"> w polisach ubezpieczeniowych.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0E20CBE1" w14:textId="1E96B2EF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</w:t>
      </w:r>
      <w:r w:rsidR="00045F5C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znajdowała się wystarczająca ilość środków płatniczych.</w:t>
      </w:r>
    </w:p>
    <w:p w14:paraId="1B3A3AB3" w14:textId="77777777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23EAB534" w14:textId="1F9F0559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7E364D00" w14:textId="6B4F71CF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W przypadku rozłożenia płatności składki na raty, z chwilą uznania przez Ubezpieczyciela roszczenia z tytułu szkody objętej ubezpieczeniem, </w:t>
      </w:r>
      <w:r w:rsidR="00045F5C" w:rsidRPr="00C869C6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0434F349" w14:textId="77777777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zmniejszenia (w okresie ubezpieczenia) limitu sumy ubezpieczenia wynikającego z jej redukcji o wypłacone odszkodowanie, na wniosek Zamawiającego (za zgodą Wykonawcy) oraz za dodatkową składką Wykonawca przywróci pierwotną wysokość sumy ubezpieczenia.</w:t>
      </w:r>
    </w:p>
    <w:p w14:paraId="7E65FBC7" w14:textId="329CDE55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2978ED57" w14:textId="77777777" w:rsidR="00162380" w:rsidRPr="00C869C6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2942577D" w14:textId="5CF145F3" w:rsidR="00B27AE4" w:rsidRPr="00C869C6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Bez pisemnej zgody </w:t>
      </w:r>
      <w:r w:rsidR="00045F5C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>, Wykonawcy nie wolno dokonywać cesji wierzytelności wynikających z umowy na rzecz osób trzecich.</w:t>
      </w:r>
    </w:p>
    <w:p w14:paraId="712324DB" w14:textId="77777777" w:rsidR="00B27AE4" w:rsidRPr="00C869C6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C49EC94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§6</w:t>
      </w:r>
    </w:p>
    <w:p w14:paraId="6B05CFE4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04A5B2BE" w14:textId="77777777" w:rsidR="00162380" w:rsidRPr="00C869C6" w:rsidRDefault="00B27AE4" w:rsidP="00162380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</w:t>
      </w:r>
      <w:r w:rsidR="00162380" w:rsidRPr="00C869C6">
        <w:rPr>
          <w:rFonts w:ascii="Open Sans" w:hAnsi="Open Sans" w:cs="Open Sans"/>
          <w:sz w:val="20"/>
          <w:szCs w:val="20"/>
          <w:lang w:eastAsia="pl-PL"/>
        </w:rPr>
        <w:t>:</w:t>
      </w:r>
    </w:p>
    <w:p w14:paraId="7A22B26A" w14:textId="77777777" w:rsidR="00162380" w:rsidRPr="00C869C6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wykonanie przedmiotu umowy - ubezpieczenie wskazanych ryzyk,</w:t>
      </w:r>
    </w:p>
    <w:p w14:paraId="0CCE896B" w14:textId="7198DC16" w:rsidR="00162380" w:rsidRPr="00C869C6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zapłata </w:t>
      </w:r>
      <w:r w:rsidR="00305B3A" w:rsidRPr="00C869C6">
        <w:rPr>
          <w:rFonts w:ascii="Open Sans" w:hAnsi="Open Sans" w:cs="Open Sans"/>
          <w:sz w:val="20"/>
          <w:szCs w:val="20"/>
          <w:lang w:eastAsia="pl-PL"/>
        </w:rPr>
        <w:t>odszkodowania/</w:t>
      </w:r>
      <w:r w:rsidRPr="00C869C6">
        <w:rPr>
          <w:rFonts w:ascii="Open Sans" w:hAnsi="Open Sans" w:cs="Open Sans"/>
          <w:sz w:val="20"/>
          <w:szCs w:val="20"/>
          <w:lang w:eastAsia="pl-PL"/>
        </w:rPr>
        <w:t>świadczenia zgodnie z obowiązującymi warunkami ubezpieczeń,</w:t>
      </w:r>
    </w:p>
    <w:p w14:paraId="0A0C79EA" w14:textId="77777777" w:rsidR="00162380" w:rsidRPr="00C869C6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4B2EDBA7" w14:textId="1DCC9DCF" w:rsidR="00162380" w:rsidRPr="00C869C6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dostarczenie do </w:t>
      </w:r>
      <w:r w:rsidR="00A607C0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przed rozpoczęciem okresu ubezpieczenia dokumentów stwierdzających zawarcie ubezpieczenia, zgodnie z § 1 Umowy,</w:t>
      </w:r>
    </w:p>
    <w:p w14:paraId="1A2D25DD" w14:textId="5FAD781F" w:rsidR="00B27AE4" w:rsidRPr="00C869C6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43C80A1B" w14:textId="77777777" w:rsidR="002F23C5" w:rsidRPr="00C869C6" w:rsidRDefault="002F23C5" w:rsidP="002F23C5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77E82C" w14:textId="75F3368F" w:rsidR="00122A44" w:rsidRPr="00C869C6" w:rsidRDefault="00122A44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 xml:space="preserve">§ </w:t>
      </w:r>
      <w:r w:rsidR="0095544E"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7</w:t>
      </w:r>
    </w:p>
    <w:p w14:paraId="448C8507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1E035527" w14:textId="77777777" w:rsidR="00282F47" w:rsidRPr="00C869C6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1DEF6130" w14:textId="77777777" w:rsidR="009A2F8A" w:rsidRPr="00A46478" w:rsidRDefault="009A2F8A" w:rsidP="009A2F8A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Zamawiający wyznacza do kontaktów z Wykonawcą na etapie realizacji umowy: </w:t>
      </w:r>
    </w:p>
    <w:p w14:paraId="2482EE49" w14:textId="77777777" w:rsidR="009A2F8A" w:rsidRDefault="009A2F8A" w:rsidP="009A2F8A">
      <w:pPr>
        <w:spacing w:line="271" w:lineRule="auto"/>
        <w:ind w:left="709"/>
        <w:jc w:val="both"/>
        <w:rPr>
          <w:rFonts w:ascii="Open Sans" w:hAnsi="Open Sans" w:cs="Open Sans"/>
          <w:sz w:val="20"/>
          <w:szCs w:val="20"/>
          <w:lang w:eastAsia="pl-PL"/>
        </w:rPr>
      </w:pPr>
      <w:bookmarkStart w:id="0" w:name="_Hlk146626387"/>
      <w:r w:rsidRPr="009A2F8A">
        <w:rPr>
          <w:rFonts w:ascii="Open Sans" w:hAnsi="Open Sans" w:cs="Open Sans"/>
          <w:sz w:val="20"/>
          <w:szCs w:val="20"/>
          <w:lang w:eastAsia="pl-PL"/>
        </w:rPr>
        <w:t xml:space="preserve">Pana Pawła Łukasika, tel. 501 943 181, email: </w:t>
      </w:r>
      <w:hyperlink r:id="rId8" w:history="1">
        <w:r w:rsidRPr="009A2F8A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p.lukasik@attis.pl</w:t>
        </w:r>
      </w:hyperlink>
      <w:r w:rsidRPr="009A2F8A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</w:t>
      </w:r>
      <w:bookmarkEnd w:id="0"/>
      <w:r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9A2F8A">
        <w:rPr>
          <w:rFonts w:ascii="Open Sans" w:hAnsi="Open Sans" w:cs="Open Sans"/>
          <w:sz w:val="20"/>
          <w:szCs w:val="20"/>
          <w:lang w:eastAsia="pl-PL"/>
        </w:rPr>
        <w:t>działające na podstawie umowy o świadczenie usług brokerskich na rzecz Zamawiającego</w:t>
      </w:r>
      <w:r w:rsidR="00B27AE4" w:rsidRPr="009A2F8A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163BEBE9" w14:textId="75E800E8" w:rsidR="00B27AE4" w:rsidRPr="009A2F8A" w:rsidRDefault="00B27AE4" w:rsidP="009A2F8A">
      <w:pPr>
        <w:pStyle w:val="Akapitzlist"/>
        <w:numPr>
          <w:ilvl w:val="1"/>
          <w:numId w:val="32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A2F8A">
        <w:rPr>
          <w:rFonts w:ascii="Open Sans" w:hAnsi="Open Sans" w:cs="Open Sans"/>
          <w:sz w:val="20"/>
          <w:szCs w:val="20"/>
          <w:lang w:eastAsia="pl-PL"/>
        </w:rPr>
        <w:t xml:space="preserve">Ubezpieczyciel wyznacza do koordynacji prac: </w:t>
      </w:r>
    </w:p>
    <w:p w14:paraId="13D5FCAC" w14:textId="77777777" w:rsidR="00B27AE4" w:rsidRPr="00C869C6" w:rsidRDefault="00B27AE4" w:rsidP="00282F47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C869C6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134B20B6" w14:textId="77777777" w:rsidR="00B27AE4" w:rsidRPr="00C869C6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O zmianie wyznaczonej osoby Strony niezwłocznie powiadomią się wzajemnie. Szkody powstałe w wyniku nie dopełnienia tego obowiązku obciążają stronę zobowiązaną.</w:t>
      </w:r>
    </w:p>
    <w:p w14:paraId="4432B1DF" w14:textId="4F4B0F3A" w:rsidR="00B27AE4" w:rsidRPr="00C869C6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0D940E79" w14:textId="40C8103E" w:rsidR="00282F47" w:rsidRPr="00C869C6" w:rsidRDefault="00282F47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Zmiana osób do kontaktu nie jest uważana za zmianę Umowy i nie jest wymagana forma pisemna.</w:t>
      </w:r>
    </w:p>
    <w:p w14:paraId="5623FE2D" w14:textId="77777777" w:rsidR="00B1429C" w:rsidRPr="00C869C6" w:rsidRDefault="00B1429C" w:rsidP="00B1429C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2717BB3" w14:textId="0E7ED37F" w:rsidR="00750662" w:rsidRPr="00C869C6" w:rsidRDefault="00750662" w:rsidP="00750662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 8.</w:t>
      </w:r>
    </w:p>
    <w:p w14:paraId="56A33367" w14:textId="77777777" w:rsidR="00750662" w:rsidRPr="00C869C6" w:rsidRDefault="00750662" w:rsidP="00750662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4DF7EB28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3B054E39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5596C1BD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1393521E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15C2164D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51DE53CD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5941B26B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48668FA2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21A10EBF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 postanowień umowy w zakresie wysokości sumy ubezpieczenia oraz wynikającej z tego wartości należnej/</w:t>
      </w:r>
      <w:proofErr w:type="spellStart"/>
      <w:r w:rsidRPr="00C869C6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3ABF8782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02EB38AE" w14:textId="4C7BB31B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, w tym umów o pracę lub innych o podobnym charakterze,</w:t>
      </w:r>
    </w:p>
    <w:p w14:paraId="14EA12DA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potrzeba wydłużenia terminu realizacji umowy na wniosek Zamawiającego maksymalnie o 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ubezpieczeniowej.</w:t>
      </w:r>
    </w:p>
    <w:p w14:paraId="72E1EC0B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60295157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2C224D73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Wszelkie zmiany i uzupełnienia umowy wymagają formy pisemnej pod rygorem nieważności za zgodą obu stron. </w:t>
      </w:r>
    </w:p>
    <w:p w14:paraId="3B01FC42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Wszelkie zmiany muszą być dokonywane z zachowaniem przepisów ustawy Prawo zamówień publicznych. </w:t>
      </w:r>
    </w:p>
    <w:p w14:paraId="563754C1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23BB55B8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64D43302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3BB5B249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44857D33" w14:textId="77777777" w:rsidR="00750662" w:rsidRPr="00C869C6" w:rsidRDefault="00750662" w:rsidP="00750662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5020EFD5" w14:textId="77777777" w:rsidR="00750662" w:rsidRPr="00C869C6" w:rsidRDefault="00750662" w:rsidP="00750662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1A9DA436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2CB15953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2ABC975A" w14:textId="77777777" w:rsidR="00750662" w:rsidRPr="00C869C6" w:rsidRDefault="00750662" w:rsidP="00750662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20071524" w14:textId="77777777" w:rsidR="00750662" w:rsidRPr="00C869C6" w:rsidRDefault="00750662" w:rsidP="00750662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4AC2B775" w14:textId="77777777" w:rsidR="00750662" w:rsidRPr="00C869C6" w:rsidRDefault="00750662" w:rsidP="00750662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C869C6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2B04D1E1" w14:textId="77777777" w:rsidR="00750662" w:rsidRPr="00C869C6" w:rsidRDefault="00750662" w:rsidP="00750662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72F47E6D" w14:textId="77777777" w:rsidR="00750662" w:rsidRPr="00C869C6" w:rsidRDefault="00750662" w:rsidP="00750662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0129F91E" w14:textId="77777777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ubezpieczenia nowych osób, jednostek lub drużyn,</w:t>
      </w:r>
    </w:p>
    <w:p w14:paraId="4246AF18" w14:textId="77777777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uzupełnienie limitów ochrony, sumy ubezpieczenia określonej po wypłacie odszkodowania, </w:t>
      </w:r>
    </w:p>
    <w:p w14:paraId="553AB416" w14:textId="77777777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podniesienie limitów ochrony lub sumy ubezpieczenia,</w:t>
      </w:r>
    </w:p>
    <w:p w14:paraId="481B82CA" w14:textId="77777777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przedłużenie terminu ochrony.</w:t>
      </w:r>
    </w:p>
    <w:p w14:paraId="62754E35" w14:textId="77777777" w:rsidR="00750662" w:rsidRPr="00C869C6" w:rsidRDefault="00750662" w:rsidP="00750662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454712F0" w14:textId="77777777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ubezpieczenie nowych osób, jednostek lub drużyn składka zostanie wyliczona proporcjonalnie do ilości dni udzielonej przez Wykonawcę ochrony, bez stosowania zasady składki minimalnej dla wystawionej polisy, z zastosowaniem stawek/ składek ustalonych dla zamówienia podstawowego,</w:t>
      </w:r>
    </w:p>
    <w:p w14:paraId="3B34893F" w14:textId="7D73245E" w:rsidR="00750662" w:rsidRPr="00C869C6" w:rsidRDefault="00750662" w:rsidP="00750662">
      <w:pPr>
        <w:pStyle w:val="Akapitzlist"/>
        <w:numPr>
          <w:ilvl w:val="1"/>
          <w:numId w:val="36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uzupełnienie lub podniesienie limitów ochrony, sumy ubezpieczenia – wysokość składki będzie przedmiotem odrębnych ustaleń pomiędzy Zamawiającym i Wykonawcą.</w:t>
      </w:r>
    </w:p>
    <w:p w14:paraId="064C69FF" w14:textId="77777777" w:rsidR="00750662" w:rsidRPr="00C869C6" w:rsidRDefault="00750662" w:rsidP="00750662">
      <w:pPr>
        <w:pStyle w:val="Akapitzlist"/>
        <w:suppressAutoHyphens w:val="0"/>
        <w:spacing w:line="271" w:lineRule="auto"/>
        <w:ind w:left="108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C8AFF87" w14:textId="77777777" w:rsidR="00750662" w:rsidRPr="00C869C6" w:rsidRDefault="00750662" w:rsidP="00750662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p w14:paraId="66345B6B" w14:textId="5CC016EF" w:rsidR="003121DA" w:rsidRPr="00C869C6" w:rsidRDefault="003121DA" w:rsidP="003121DA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701A9DC5" w:rsidR="003121DA" w:rsidRPr="00C869C6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lastRenderedPageBreak/>
        <w:t>§1</w:t>
      </w:r>
      <w:r w:rsidR="0095544E" w:rsidRPr="00C869C6">
        <w:rPr>
          <w:rFonts w:ascii="Open Sans" w:hAnsi="Open Sans" w:cs="Open Sans"/>
          <w:color w:val="auto"/>
          <w:sz w:val="20"/>
          <w:szCs w:val="20"/>
        </w:rPr>
        <w:t>0</w:t>
      </w:r>
    </w:p>
    <w:p w14:paraId="59D42C71" w14:textId="0ED7ECF9" w:rsidR="003121DA" w:rsidRPr="00C869C6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2CEEBE8B" w:rsidR="003121DA" w:rsidRPr="00C869C6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5E109550" w14:textId="77777777" w:rsidR="00233D1B" w:rsidRPr="00C869C6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13F8920B" w:rsidR="003121DA" w:rsidRPr="00C869C6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t>§1</w:t>
      </w:r>
      <w:r w:rsidR="0095544E" w:rsidRPr="00C869C6">
        <w:rPr>
          <w:rFonts w:ascii="Open Sans" w:hAnsi="Open Sans" w:cs="Open Sans"/>
          <w:color w:val="auto"/>
          <w:sz w:val="20"/>
          <w:szCs w:val="20"/>
        </w:rPr>
        <w:t>1</w:t>
      </w:r>
    </w:p>
    <w:p w14:paraId="1BAB779C" w14:textId="77777777" w:rsidR="003121DA" w:rsidRPr="00C869C6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C869C6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C869C6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C869C6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C869C6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EE8CB67" w14:textId="34655DC1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C869C6">
        <w:rPr>
          <w:rFonts w:ascii="Open Sans" w:hAnsi="Open Sans" w:cs="Open Sans"/>
          <w:color w:val="auto"/>
          <w:sz w:val="20"/>
          <w:szCs w:val="20"/>
        </w:rPr>
        <w:t>1</w:t>
      </w:r>
      <w:r w:rsidR="0095544E" w:rsidRPr="00C869C6">
        <w:rPr>
          <w:rFonts w:ascii="Open Sans" w:hAnsi="Open Sans" w:cs="Open Sans"/>
          <w:color w:val="auto"/>
          <w:sz w:val="20"/>
          <w:szCs w:val="20"/>
        </w:rPr>
        <w:t>2</w:t>
      </w:r>
    </w:p>
    <w:p w14:paraId="43D036DD" w14:textId="77777777" w:rsidR="00B27AE4" w:rsidRPr="00C869C6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C869C6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C869C6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C869C6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C869C6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C869C6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C869C6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647ABC0F" w:rsidR="00006998" w:rsidRPr="00C869C6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lastRenderedPageBreak/>
        <w:t>ustawy z dnia 11.09.2015 r. o działalności ubezpieczeniowej i reasekuracyjnej (tj. Dz.U. 202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3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656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0A3FD74B" w14:textId="1BF9502B" w:rsidR="00006998" w:rsidRPr="00C869C6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ustawy z dnia 23 kwietnia 1964r. Kodeks cywilny (tj. Dz. U. z 2020 r. poz. 1740 ze zm.),</w:t>
      </w:r>
    </w:p>
    <w:p w14:paraId="7D1BDDAA" w14:textId="52DD8CE1" w:rsidR="00006998" w:rsidRPr="00C869C6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3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750662" w:rsidRPr="00C869C6">
        <w:rPr>
          <w:rFonts w:ascii="Open Sans" w:hAnsi="Open Sans" w:cs="Open Sans"/>
          <w:sz w:val="20"/>
          <w:szCs w:val="20"/>
          <w:lang w:eastAsia="pl-PL"/>
        </w:rPr>
        <w:t>605</w:t>
      </w:r>
      <w:r w:rsidRPr="00C869C6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1016171C" w14:textId="5A56246D" w:rsidR="00B27AE4" w:rsidRPr="00C869C6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1B614EC4" w14:textId="77777777" w:rsidR="00750662" w:rsidRPr="00C869C6" w:rsidRDefault="00750662" w:rsidP="00750662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869C6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366D54F7" w14:textId="77777777" w:rsidR="00750662" w:rsidRPr="00C869C6" w:rsidRDefault="00750662" w:rsidP="00750662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5C06036" w14:textId="0AB4D9A6" w:rsidR="00A235D9" w:rsidRPr="00C869C6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0E67CE" w14:textId="5EB13402" w:rsidR="00A235D9" w:rsidRPr="00C869C6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C869C6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C869C6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C869C6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7DDFBBDA" w:rsidR="00B27AE4" w:rsidRPr="00C869C6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C869C6">
              <w:rPr>
                <w:rFonts w:ascii="Open Sans" w:hAnsi="Open Sans" w:cs="Open Sans"/>
                <w:sz w:val="20"/>
                <w:szCs w:val="20"/>
              </w:rPr>
              <w:br/>
            </w:r>
            <w:r w:rsidR="00A235D9" w:rsidRPr="00C869C6">
              <w:rPr>
                <w:rFonts w:ascii="Open Sans" w:hAnsi="Open Sans" w:cs="Open Sans"/>
                <w:sz w:val="20"/>
                <w:szCs w:val="20"/>
              </w:rPr>
              <w:t xml:space="preserve">              </w:t>
            </w:r>
            <w:r w:rsidRPr="00C869C6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C869C6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79F237F5" w14:textId="77777777" w:rsidR="00B27AE4" w:rsidRPr="00C869C6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</w:t>
            </w:r>
            <w:r w:rsidR="00B27AE4" w:rsidRPr="00C869C6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  <w:p w14:paraId="7741B691" w14:textId="77777777" w:rsidR="00A235D9" w:rsidRPr="00C869C6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F2DB89B" w14:textId="5C59ACA9" w:rsidR="00A235D9" w:rsidRPr="00C869C6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5D9" w:rsidRPr="00C869C6" w14:paraId="07E7555E" w14:textId="77777777" w:rsidTr="00D44F45">
        <w:trPr>
          <w:trHeight w:val="580"/>
        </w:trPr>
        <w:tc>
          <w:tcPr>
            <w:tcW w:w="4395" w:type="dxa"/>
          </w:tcPr>
          <w:p w14:paraId="67C87AD0" w14:textId="77777777" w:rsidR="00A235D9" w:rsidRPr="00C869C6" w:rsidRDefault="00A235D9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11C5B4D" w14:textId="77777777" w:rsidR="00A235D9" w:rsidRPr="00C869C6" w:rsidRDefault="00A235D9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497497" w14:textId="175036E7" w:rsidR="00C0053D" w:rsidRPr="00C869C6" w:rsidRDefault="00C0053D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B56EA98" w14:textId="5D4974DE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615622E" w14:textId="5D647060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13801C4" w14:textId="0CA8B5D1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3F53BEE9" w14:textId="0ACFBC07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E6D01AD" w14:textId="16E63F57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A1898E4" w14:textId="3CAE23B7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F9D08DB" w14:textId="4669B08B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FA6AF6B" w14:textId="18A47D6E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96CAB77" w14:textId="58FAF182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2E0FFD0B" w14:textId="05A3F46A" w:rsidR="00A235D9" w:rsidRPr="00C869C6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DE445F8" w14:textId="395D3587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47DB4E64" w14:textId="435B1DB5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98F7841" w14:textId="300524BD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05F394E" w14:textId="70264C96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0854FBE0" w14:textId="3F4F6AB6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4BD93A5" w14:textId="57D5FE60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478C961F" w14:textId="7767F6A7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A6E6B3D" w14:textId="2914E5B1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21BC8BAC" w14:textId="59470D31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5D1E420" w14:textId="30295281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3C4EDF27" w14:textId="38D3AF2A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2BF3A97D" w14:textId="3DB9E1F9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F1EE4D3" w14:textId="7F3D448C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C7B9D27" w14:textId="5D48C964" w:rsidR="0095544E" w:rsidRPr="00C869C6" w:rsidRDefault="0095544E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032F4C84" w14:textId="49E152FB" w:rsidR="00750662" w:rsidRPr="00C869C6" w:rsidRDefault="00750662">
      <w:pPr>
        <w:suppressAutoHyphens w:val="0"/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</w:p>
    <w:p w14:paraId="540F926A" w14:textId="52AE48E5" w:rsidR="00A235D9" w:rsidRPr="00C869C6" w:rsidRDefault="00A235D9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869C6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Załącznik nr 1 do Umowy </w:t>
      </w:r>
      <w:r w:rsidRPr="00C36414">
        <w:rPr>
          <w:rFonts w:ascii="Open Sans" w:hAnsi="Open Sans" w:cs="Open Sans"/>
          <w:b/>
          <w:bCs/>
          <w:sz w:val="20"/>
          <w:szCs w:val="20"/>
        </w:rPr>
        <w:t>nr ………………………………… -</w:t>
      </w:r>
      <w:r w:rsidRPr="00C869C6">
        <w:rPr>
          <w:rFonts w:ascii="Open Sans" w:hAnsi="Open Sans" w:cs="Open Sans"/>
          <w:b/>
          <w:bCs/>
          <w:sz w:val="20"/>
          <w:szCs w:val="20"/>
        </w:rPr>
        <w:t xml:space="preserve"> dokument kalkulacyjny określający szczegółowy sposób obliczenia składki, tzn. zastosowane niezmienne stawki i składki roczne </w:t>
      </w:r>
      <w:r w:rsidR="00C67438" w:rsidRPr="00C869C6">
        <w:rPr>
          <w:rFonts w:ascii="Open Sans" w:hAnsi="Open Sans" w:cs="Open Sans"/>
          <w:b/>
          <w:bCs/>
          <w:sz w:val="20"/>
          <w:szCs w:val="20"/>
        </w:rPr>
        <w:t>w ubezpieczeniu członków OSP</w:t>
      </w:r>
    </w:p>
    <w:p w14:paraId="65731DDE" w14:textId="77777777" w:rsidR="009475F8" w:rsidRPr="00C869C6" w:rsidRDefault="009475F8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551"/>
      </w:tblGrid>
      <w:tr w:rsidR="00C67438" w:rsidRPr="00C869C6" w14:paraId="4042A9C9" w14:textId="77777777" w:rsidTr="00977707">
        <w:tc>
          <w:tcPr>
            <w:tcW w:w="9343" w:type="dxa"/>
            <w:gridSpan w:val="4"/>
          </w:tcPr>
          <w:p w14:paraId="0CB2BE7E" w14:textId="1F074525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Ubezpieczenie następstw nieszczęśliwych wypadków członków OSP</w:t>
            </w:r>
          </w:p>
        </w:tc>
      </w:tr>
      <w:tr w:rsidR="00C67438" w:rsidRPr="00C869C6" w14:paraId="6807631A" w14:textId="77777777" w:rsidTr="00A81174">
        <w:tc>
          <w:tcPr>
            <w:tcW w:w="4390" w:type="dxa"/>
          </w:tcPr>
          <w:p w14:paraId="58785ED5" w14:textId="10BA2D9F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842" w:type="dxa"/>
          </w:tcPr>
          <w:p w14:paraId="1CDAF0EA" w14:textId="6A4394B5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1560" w:type="dxa"/>
          </w:tcPr>
          <w:p w14:paraId="16590B31" w14:textId="2AE67F8A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Składka za 12 miesięcy</w:t>
            </w:r>
          </w:p>
        </w:tc>
        <w:tc>
          <w:tcPr>
            <w:tcW w:w="1551" w:type="dxa"/>
          </w:tcPr>
          <w:p w14:paraId="710F0388" w14:textId="2E4C8B06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Składka za 36 miesięcy</w:t>
            </w:r>
          </w:p>
        </w:tc>
      </w:tr>
      <w:tr w:rsidR="00C67438" w:rsidRPr="00C869C6" w14:paraId="70CBDEED" w14:textId="77777777" w:rsidTr="00A81174">
        <w:tc>
          <w:tcPr>
            <w:tcW w:w="4390" w:type="dxa"/>
            <w:vAlign w:val="center"/>
          </w:tcPr>
          <w:p w14:paraId="7E71CF75" w14:textId="57EC7D3E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Cs/>
                <w:sz w:val="20"/>
                <w:szCs w:val="20"/>
              </w:rPr>
              <w:t xml:space="preserve">Ubezpieczenie </w:t>
            </w:r>
            <w:r w:rsidR="009A2F8A">
              <w:rPr>
                <w:rFonts w:ascii="Open Sans" w:hAnsi="Open Sans" w:cs="Open Sans"/>
                <w:bCs/>
                <w:sz w:val="20"/>
                <w:szCs w:val="20"/>
              </w:rPr>
              <w:t>imienne</w:t>
            </w:r>
            <w:r w:rsidRPr="00C869C6">
              <w:rPr>
                <w:rFonts w:ascii="Open Sans" w:hAnsi="Open Sans" w:cs="Open Sans"/>
                <w:bCs/>
                <w:sz w:val="20"/>
                <w:szCs w:val="20"/>
              </w:rPr>
              <w:t xml:space="preserve"> następstw nieszczęśliwych wypadków członków ochotniczych straży pożarnych w nawiązaniu do art. 26 ustawy z 24 sierpnia 1991 r. o ochronie przeciwpożarowej – 1</w:t>
            </w:r>
            <w:r w:rsidR="00EA5D66" w:rsidRPr="00C869C6">
              <w:rPr>
                <w:rFonts w:ascii="Open Sans" w:hAnsi="Open Sans" w:cs="Open Sans"/>
                <w:bCs/>
                <w:sz w:val="20"/>
                <w:szCs w:val="20"/>
              </w:rPr>
              <w:t>20</w:t>
            </w:r>
            <w:r w:rsidRPr="00C869C6">
              <w:rPr>
                <w:rFonts w:ascii="Open Sans" w:hAnsi="Open Sans" w:cs="Open Sans"/>
                <w:bCs/>
                <w:sz w:val="20"/>
                <w:szCs w:val="20"/>
              </w:rPr>
              <w:t xml:space="preserve"> o</w:t>
            </w:r>
            <w:r w:rsidR="00EA5D66" w:rsidRPr="00C869C6">
              <w:rPr>
                <w:rFonts w:ascii="Open Sans" w:hAnsi="Open Sans" w:cs="Open Sans"/>
                <w:bCs/>
                <w:sz w:val="20"/>
                <w:szCs w:val="20"/>
              </w:rPr>
              <w:t>sób</w:t>
            </w:r>
          </w:p>
        </w:tc>
        <w:tc>
          <w:tcPr>
            <w:tcW w:w="1842" w:type="dxa"/>
            <w:vAlign w:val="center"/>
          </w:tcPr>
          <w:p w14:paraId="6F30B4BC" w14:textId="0FEB068C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Ustawowa</w:t>
            </w:r>
          </w:p>
        </w:tc>
        <w:tc>
          <w:tcPr>
            <w:tcW w:w="1560" w:type="dxa"/>
            <w:vAlign w:val="center"/>
          </w:tcPr>
          <w:p w14:paraId="3A928C9B" w14:textId="77777777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328D6F9" w14:textId="77777777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67438" w:rsidRPr="00C869C6" w14:paraId="61BF7843" w14:textId="77777777" w:rsidTr="00A81174">
        <w:tc>
          <w:tcPr>
            <w:tcW w:w="4390" w:type="dxa"/>
            <w:vAlign w:val="center"/>
          </w:tcPr>
          <w:p w14:paraId="58342D72" w14:textId="07CC62B7" w:rsidR="00C67438" w:rsidRPr="00C869C6" w:rsidRDefault="009475F8" w:rsidP="0035120C">
            <w:pPr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Cs/>
                <w:sz w:val="20"/>
                <w:szCs w:val="20"/>
              </w:rPr>
              <w:t xml:space="preserve">Ubezpieczenie bezimienne następstw nieszczęśliwych wypadków członków ochotniczych straży pożarnych, kandydatów na strażaków ochotniczej straży pożarnej oraz członków młodzieżowych drużyn pożarniczych i dziecięcych drużyn pożarniczych w nawiązaniu do art. 10 ust. 1 pkt 2 ustawy z 17 grudnia 2021 r. o ochotniczych strażach pożarnych – </w:t>
            </w:r>
            <w:r w:rsidR="00EA5D66" w:rsidRPr="00C869C6">
              <w:rPr>
                <w:rFonts w:ascii="Open Sans" w:hAnsi="Open Sans" w:cs="Open Sans"/>
                <w:bCs/>
                <w:sz w:val="20"/>
                <w:szCs w:val="20"/>
              </w:rPr>
              <w:t>120 osób</w:t>
            </w:r>
          </w:p>
        </w:tc>
        <w:tc>
          <w:tcPr>
            <w:tcW w:w="1842" w:type="dxa"/>
            <w:vAlign w:val="center"/>
          </w:tcPr>
          <w:p w14:paraId="64C05849" w14:textId="2262695F" w:rsidR="00C67438" w:rsidRPr="00C869C6" w:rsidRDefault="009475F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EA5D66" w:rsidRPr="00C869C6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869C6">
              <w:rPr>
                <w:rFonts w:ascii="Open Sans" w:hAnsi="Open Sans" w:cs="Open Sans"/>
                <w:sz w:val="20"/>
                <w:szCs w:val="20"/>
              </w:rPr>
              <w:t>.000 PLN / osoba</w:t>
            </w:r>
          </w:p>
        </w:tc>
        <w:tc>
          <w:tcPr>
            <w:tcW w:w="1560" w:type="dxa"/>
            <w:vAlign w:val="center"/>
          </w:tcPr>
          <w:p w14:paraId="4207DB9C" w14:textId="77777777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280C983" w14:textId="77777777" w:rsidR="00C67438" w:rsidRPr="00C869C6" w:rsidRDefault="00C6743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5F8" w:rsidRPr="00C869C6" w14:paraId="633305FB" w14:textId="77777777" w:rsidTr="009475F8">
        <w:tc>
          <w:tcPr>
            <w:tcW w:w="9343" w:type="dxa"/>
            <w:gridSpan w:val="4"/>
            <w:shd w:val="clear" w:color="auto" w:fill="D9D9D9" w:themeFill="background1" w:themeFillShade="D9"/>
            <w:vAlign w:val="center"/>
          </w:tcPr>
          <w:p w14:paraId="3C9CB75C" w14:textId="77777777" w:rsidR="009475F8" w:rsidRPr="00C869C6" w:rsidRDefault="009475F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5F8" w:rsidRPr="00C869C6" w14:paraId="31057F59" w14:textId="77777777" w:rsidTr="00A81174">
        <w:tc>
          <w:tcPr>
            <w:tcW w:w="4390" w:type="dxa"/>
            <w:vAlign w:val="center"/>
          </w:tcPr>
          <w:p w14:paraId="37796BEA" w14:textId="6EEF786B" w:rsidR="009475F8" w:rsidRPr="00C869C6" w:rsidRDefault="009475F8" w:rsidP="009475F8">
            <w:pPr>
              <w:spacing w:line="271" w:lineRule="auto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Składka za 12 miesięcy w PLN</w:t>
            </w:r>
          </w:p>
        </w:tc>
        <w:tc>
          <w:tcPr>
            <w:tcW w:w="4953" w:type="dxa"/>
            <w:gridSpan w:val="3"/>
            <w:vAlign w:val="center"/>
          </w:tcPr>
          <w:p w14:paraId="7C8C64D7" w14:textId="77777777" w:rsidR="009475F8" w:rsidRPr="00C869C6" w:rsidRDefault="009475F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5F8" w:rsidRPr="00C869C6" w14:paraId="5F615610" w14:textId="77777777" w:rsidTr="00A81174">
        <w:tc>
          <w:tcPr>
            <w:tcW w:w="4390" w:type="dxa"/>
            <w:vAlign w:val="center"/>
          </w:tcPr>
          <w:p w14:paraId="3AF33AE5" w14:textId="3302E881" w:rsidR="009475F8" w:rsidRPr="00C869C6" w:rsidRDefault="009475F8" w:rsidP="009475F8">
            <w:pPr>
              <w:spacing w:line="271" w:lineRule="auto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b/>
                <w:bCs/>
                <w:sz w:val="20"/>
                <w:szCs w:val="20"/>
              </w:rPr>
              <w:t>Składka za 36 miesięcy w PLN</w:t>
            </w:r>
          </w:p>
        </w:tc>
        <w:tc>
          <w:tcPr>
            <w:tcW w:w="4953" w:type="dxa"/>
            <w:gridSpan w:val="3"/>
            <w:vAlign w:val="center"/>
          </w:tcPr>
          <w:p w14:paraId="0696B9C4" w14:textId="77777777" w:rsidR="009475F8" w:rsidRPr="00C869C6" w:rsidRDefault="009475F8" w:rsidP="0035120C">
            <w:pPr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8B5763" w14:textId="253F9110" w:rsidR="0035120C" w:rsidRPr="00C869C6" w:rsidRDefault="0035120C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12ACC64B" w14:textId="093FD68F" w:rsidR="00432818" w:rsidRPr="00C869C6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7116DEF9" w14:textId="1574EB0C" w:rsidR="00432818" w:rsidRPr="00C869C6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4169F71D" w14:textId="1939DF84" w:rsidR="00432818" w:rsidRPr="00C869C6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432818" w:rsidRPr="00C869C6" w14:paraId="1D9D4F82" w14:textId="77777777" w:rsidTr="007C6CE5">
        <w:trPr>
          <w:trHeight w:val="580"/>
        </w:trPr>
        <w:tc>
          <w:tcPr>
            <w:tcW w:w="4395" w:type="dxa"/>
          </w:tcPr>
          <w:p w14:paraId="324D477A" w14:textId="77777777" w:rsidR="00432818" w:rsidRPr="00C869C6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C869C6">
              <w:rPr>
                <w:rFonts w:ascii="Open Sans" w:hAnsi="Open Sans" w:cs="Open Sans"/>
                <w:sz w:val="20"/>
                <w:szCs w:val="20"/>
              </w:rPr>
              <w:br/>
              <w:t xml:space="preserve">              Zamawiający</w:t>
            </w:r>
          </w:p>
        </w:tc>
        <w:tc>
          <w:tcPr>
            <w:tcW w:w="4753" w:type="dxa"/>
          </w:tcPr>
          <w:p w14:paraId="59BBE8F6" w14:textId="77777777" w:rsidR="00432818" w:rsidRPr="00C869C6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18E516D0" w14:textId="77777777" w:rsidR="00432818" w:rsidRPr="00C869C6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869C6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Wykonawca</w:t>
            </w:r>
          </w:p>
          <w:p w14:paraId="27A8DD31" w14:textId="77777777" w:rsidR="00432818" w:rsidRPr="00C869C6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43A5A0D" w14:textId="77777777" w:rsidR="00432818" w:rsidRPr="00C869C6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2818" w:rsidRPr="00C869C6" w14:paraId="6E9C7513" w14:textId="77777777" w:rsidTr="007C6CE5">
        <w:trPr>
          <w:trHeight w:val="580"/>
        </w:trPr>
        <w:tc>
          <w:tcPr>
            <w:tcW w:w="4395" w:type="dxa"/>
          </w:tcPr>
          <w:p w14:paraId="36FFFD34" w14:textId="77777777" w:rsidR="00432818" w:rsidRPr="00C869C6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5A1789A" w14:textId="77777777" w:rsidR="00432818" w:rsidRPr="00C869C6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408579" w14:textId="77777777" w:rsidR="00432818" w:rsidRPr="00C869C6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sectPr w:rsidR="00432818" w:rsidRPr="00C869C6" w:rsidSect="00B6558D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5E34" w14:textId="77777777" w:rsidR="00C67233" w:rsidRDefault="00C67233" w:rsidP="00C35B3B">
      <w:r>
        <w:separator/>
      </w:r>
    </w:p>
  </w:endnote>
  <w:endnote w:type="continuationSeparator" w:id="0">
    <w:p w14:paraId="585B5FFF" w14:textId="77777777" w:rsidR="00C67233" w:rsidRDefault="00C67233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F54D3B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F54D3B" w:rsidRPr="009B5E41" w:rsidRDefault="00F54D3B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5155" w14:textId="77777777" w:rsidR="00C67233" w:rsidRDefault="00C67233" w:rsidP="00C35B3B">
      <w:r>
        <w:separator/>
      </w:r>
    </w:p>
  </w:footnote>
  <w:footnote w:type="continuationSeparator" w:id="0">
    <w:p w14:paraId="3EEBE347" w14:textId="77777777" w:rsidR="00C67233" w:rsidRDefault="00C67233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CD9" w14:textId="56079CAE" w:rsidR="00BC4951" w:rsidRPr="00185F52" w:rsidRDefault="00BC4951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Gmina </w:t>
    </w:r>
    <w:r w:rsidR="009A2F8A">
      <w:rPr>
        <w:rFonts w:ascii="Calibri" w:hAnsi="Calibri" w:cs="Calibri"/>
        <w:sz w:val="22"/>
        <w:szCs w:val="22"/>
      </w:rPr>
      <w:t xml:space="preserve">Alwernia                                                                    </w:t>
    </w:r>
    <w:r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>
      <w:rPr>
        <w:rFonts w:ascii="Calibri" w:hAnsi="Calibri" w:cs="Calibri"/>
        <w:sz w:val="22"/>
        <w:szCs w:val="22"/>
        <w:lang w:eastAsia="pl-PL"/>
      </w:rPr>
      <w:t>3</w:t>
    </w:r>
    <w:r w:rsidR="009A2F8A">
      <w:rPr>
        <w:rFonts w:ascii="Calibri" w:hAnsi="Calibri" w:cs="Calibri"/>
        <w:sz w:val="22"/>
        <w:szCs w:val="22"/>
        <w:lang w:eastAsia="pl-PL"/>
      </w:rPr>
      <w:t>b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A31A2">
      <w:rPr>
        <w:rFonts w:ascii="Calibri" w:hAnsi="Calibri" w:cs="Calibri"/>
        <w:sz w:val="22"/>
        <w:szCs w:val="22"/>
        <w:lang w:eastAsia="pl-PL"/>
      </w:rPr>
      <w:t>W</w:t>
    </w:r>
    <w:r>
      <w:rPr>
        <w:rFonts w:ascii="Calibri" w:hAnsi="Calibri" w:cs="Calibri"/>
        <w:sz w:val="22"/>
        <w:szCs w:val="22"/>
        <w:lang w:eastAsia="pl-PL"/>
      </w:rPr>
      <w:t xml:space="preserve">zór umowy dla części </w:t>
    </w:r>
    <w:r w:rsidR="009A2F8A">
      <w:rPr>
        <w:rFonts w:ascii="Calibri" w:hAnsi="Calibri" w:cs="Calibri"/>
        <w:sz w:val="22"/>
        <w:szCs w:val="22"/>
        <w:lang w:eastAsia="pl-PL"/>
      </w:rPr>
      <w:t>2</w:t>
    </w:r>
    <w:r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5A40F7">
      <w:rPr>
        <w:rFonts w:ascii="Calibri" w:hAnsi="Calibri" w:cs="Calibri"/>
        <w:sz w:val="22"/>
        <w:szCs w:val="22"/>
        <w:lang w:eastAsia="pl-PL"/>
      </w:rPr>
      <w:t>o</w:t>
    </w:r>
    <w:r w:rsidRPr="00F7119C">
      <w:rPr>
        <w:rFonts w:ascii="Calibri" w:hAnsi="Calibri" w:cs="Calibri"/>
        <w:sz w:val="22"/>
        <w:szCs w:val="22"/>
      </w:rPr>
      <w:t xml:space="preserve">znaczenie sprawy: </w:t>
    </w:r>
    <w:r w:rsidR="009A2F8A">
      <w:rPr>
        <w:rFonts w:ascii="Calibri" w:hAnsi="Calibri" w:cs="Calibri"/>
        <w:sz w:val="22"/>
        <w:szCs w:val="22"/>
      </w:rPr>
      <w:t>1/12/2023/G. Alwernia</w:t>
    </w:r>
  </w:p>
  <w:p w14:paraId="7D04D390" w14:textId="77777777" w:rsidR="00F54D3B" w:rsidRDefault="00F54D3B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6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45F5C"/>
    <w:rsid w:val="0007157C"/>
    <w:rsid w:val="000F2E1A"/>
    <w:rsid w:val="00122A44"/>
    <w:rsid w:val="0014750F"/>
    <w:rsid w:val="00162380"/>
    <w:rsid w:val="00164A8E"/>
    <w:rsid w:val="00192465"/>
    <w:rsid w:val="001A4D7A"/>
    <w:rsid w:val="001B19CA"/>
    <w:rsid w:val="001B26F8"/>
    <w:rsid w:val="001E5C60"/>
    <w:rsid w:val="002062D4"/>
    <w:rsid w:val="00233D1B"/>
    <w:rsid w:val="00282F47"/>
    <w:rsid w:val="00293D40"/>
    <w:rsid w:val="002C46D7"/>
    <w:rsid w:val="002E7344"/>
    <w:rsid w:val="002F23C5"/>
    <w:rsid w:val="00303898"/>
    <w:rsid w:val="00305B3A"/>
    <w:rsid w:val="003121DA"/>
    <w:rsid w:val="0035120C"/>
    <w:rsid w:val="00372A46"/>
    <w:rsid w:val="00387840"/>
    <w:rsid w:val="003D6DDE"/>
    <w:rsid w:val="00412624"/>
    <w:rsid w:val="0041412A"/>
    <w:rsid w:val="00421FCE"/>
    <w:rsid w:val="00432818"/>
    <w:rsid w:val="004C1836"/>
    <w:rsid w:val="004D584E"/>
    <w:rsid w:val="005151AF"/>
    <w:rsid w:val="00542CEC"/>
    <w:rsid w:val="005718AA"/>
    <w:rsid w:val="00583128"/>
    <w:rsid w:val="005902D0"/>
    <w:rsid w:val="0059795D"/>
    <w:rsid w:val="005A40F7"/>
    <w:rsid w:val="006018B8"/>
    <w:rsid w:val="0066353B"/>
    <w:rsid w:val="00681F8F"/>
    <w:rsid w:val="006A31A2"/>
    <w:rsid w:val="006A5B35"/>
    <w:rsid w:val="006F068E"/>
    <w:rsid w:val="007207DB"/>
    <w:rsid w:val="007213F1"/>
    <w:rsid w:val="00732C5C"/>
    <w:rsid w:val="0074771C"/>
    <w:rsid w:val="00750662"/>
    <w:rsid w:val="007576AD"/>
    <w:rsid w:val="007650B6"/>
    <w:rsid w:val="007A2747"/>
    <w:rsid w:val="007B125E"/>
    <w:rsid w:val="00835B43"/>
    <w:rsid w:val="00866911"/>
    <w:rsid w:val="008A35CF"/>
    <w:rsid w:val="008F0841"/>
    <w:rsid w:val="009475F8"/>
    <w:rsid w:val="0095544E"/>
    <w:rsid w:val="00995E63"/>
    <w:rsid w:val="009A2F8A"/>
    <w:rsid w:val="009B4E19"/>
    <w:rsid w:val="009F4297"/>
    <w:rsid w:val="00A2305F"/>
    <w:rsid w:val="00A235D9"/>
    <w:rsid w:val="00A23D2B"/>
    <w:rsid w:val="00A34DDD"/>
    <w:rsid w:val="00A45AFD"/>
    <w:rsid w:val="00A607C0"/>
    <w:rsid w:val="00A81174"/>
    <w:rsid w:val="00A90AE4"/>
    <w:rsid w:val="00AD679E"/>
    <w:rsid w:val="00AF47C2"/>
    <w:rsid w:val="00B1429C"/>
    <w:rsid w:val="00B27AE4"/>
    <w:rsid w:val="00B43C02"/>
    <w:rsid w:val="00B51D04"/>
    <w:rsid w:val="00B6786C"/>
    <w:rsid w:val="00B8489B"/>
    <w:rsid w:val="00BB7EF1"/>
    <w:rsid w:val="00BC4951"/>
    <w:rsid w:val="00BF639C"/>
    <w:rsid w:val="00BF6DF5"/>
    <w:rsid w:val="00C0053D"/>
    <w:rsid w:val="00C34098"/>
    <w:rsid w:val="00C35B3B"/>
    <w:rsid w:val="00C36414"/>
    <w:rsid w:val="00C67233"/>
    <w:rsid w:val="00C67438"/>
    <w:rsid w:val="00C76A7A"/>
    <w:rsid w:val="00C869C6"/>
    <w:rsid w:val="00CD3E91"/>
    <w:rsid w:val="00D16953"/>
    <w:rsid w:val="00D306BC"/>
    <w:rsid w:val="00D3192E"/>
    <w:rsid w:val="00DC47DB"/>
    <w:rsid w:val="00DC7420"/>
    <w:rsid w:val="00DD6420"/>
    <w:rsid w:val="00DF69FC"/>
    <w:rsid w:val="00E160E1"/>
    <w:rsid w:val="00E6595E"/>
    <w:rsid w:val="00EA5D66"/>
    <w:rsid w:val="00EE04BC"/>
    <w:rsid w:val="00EE4D27"/>
    <w:rsid w:val="00F24B33"/>
    <w:rsid w:val="00F36896"/>
    <w:rsid w:val="00F46FFE"/>
    <w:rsid w:val="00F54D3B"/>
    <w:rsid w:val="00F65CDA"/>
    <w:rsid w:val="00F7119C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ukasik@at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2023-12-05T12:05:00Z</dcterms:created>
  <dcterms:modified xsi:type="dcterms:W3CDTF">2023-12-05T12:05:00Z</dcterms:modified>
</cp:coreProperties>
</file>