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5504" w14:textId="450F8607" w:rsidR="0096083D" w:rsidRPr="0096083D" w:rsidRDefault="0096083D" w:rsidP="00FE11C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Pr="0096083D">
        <w:rPr>
          <w:rFonts w:ascii="Times New Roman" w:hAnsi="Times New Roman" w:cs="Times New Roman"/>
        </w:rPr>
        <w:t xml:space="preserve"> do SWZ </w:t>
      </w:r>
      <w:r w:rsidR="00A2582B">
        <w:rPr>
          <w:rFonts w:ascii="Times New Roman" w:hAnsi="Times New Roman" w:cs="Times New Roman"/>
        </w:rPr>
        <w:t>– po zmianie</w:t>
      </w:r>
    </w:p>
    <w:p w14:paraId="139E45C2" w14:textId="77777777" w:rsidR="0096083D" w:rsidRDefault="0096083D" w:rsidP="0096083D">
      <w:pPr>
        <w:pStyle w:val="Default"/>
        <w:rPr>
          <w:rFonts w:ascii="Times New Roman" w:hAnsi="Times New Roman" w:cs="Times New Roman"/>
        </w:rPr>
      </w:pPr>
    </w:p>
    <w:p w14:paraId="39E6EC02" w14:textId="77777777" w:rsidR="0096083D" w:rsidRPr="0096083D" w:rsidRDefault="0096083D" w:rsidP="0096083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6083D">
        <w:rPr>
          <w:rFonts w:ascii="Times New Roman" w:hAnsi="Times New Roman" w:cs="Times New Roman"/>
          <w:sz w:val="28"/>
          <w:szCs w:val="28"/>
        </w:rPr>
        <w:t>OPIS PRZEDMIOTU ZAMÓWIENIA</w:t>
      </w:r>
    </w:p>
    <w:p w14:paraId="6AF8DBF8" w14:textId="77777777" w:rsidR="0096083D" w:rsidRDefault="0096083D" w:rsidP="0096083D">
      <w:pPr>
        <w:pStyle w:val="Default"/>
        <w:rPr>
          <w:rFonts w:ascii="Times New Roman" w:hAnsi="Times New Roman" w:cs="Times New Roman"/>
        </w:rPr>
      </w:pPr>
    </w:p>
    <w:p w14:paraId="0EE3F943" w14:textId="5251208D" w:rsidR="005E3B56" w:rsidRPr="00EB3F1A" w:rsidRDefault="0096083D" w:rsidP="005E3B56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3F1A">
        <w:rPr>
          <w:rFonts w:ascii="Times New Roman" w:hAnsi="Times New Roman" w:cs="Times New Roman"/>
          <w:sz w:val="24"/>
          <w:szCs w:val="24"/>
        </w:rPr>
        <w:t>Dotyczy postępowania pn</w:t>
      </w:r>
      <w:bookmarkStart w:id="0" w:name="_Hlk167263865"/>
      <w:r w:rsidR="005E3B56" w:rsidRPr="00EB3F1A">
        <w:rPr>
          <w:rFonts w:ascii="Times New Roman" w:hAnsi="Times New Roman" w:cs="Times New Roman"/>
          <w:sz w:val="24"/>
          <w:szCs w:val="24"/>
        </w:rPr>
        <w:t xml:space="preserve">.: </w:t>
      </w:r>
      <w:r w:rsidR="005E3B56" w:rsidRPr="00EB3F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Dostawa i montaż lamp solarnych w ramach zadania „Rozbudowa oświetlenia drogowego na terenie Gminy Jasło”</w:t>
      </w:r>
      <w:bookmarkEnd w:id="0"/>
    </w:p>
    <w:p w14:paraId="097E177F" w14:textId="755E3BD5" w:rsidR="0096083D" w:rsidRPr="00225497" w:rsidRDefault="0096083D" w:rsidP="005E3B5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FDD476" w14:textId="69CEFB2E" w:rsidR="00003174" w:rsidRPr="00003174" w:rsidRDefault="00003174" w:rsidP="00003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9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174">
        <w:rPr>
          <w:rFonts w:ascii="Times New Roman" w:hAnsi="Times New Roman" w:cs="Times New Roman"/>
          <w:color w:val="000000"/>
          <w:sz w:val="24"/>
          <w:szCs w:val="24"/>
        </w:rPr>
        <w:t>Przedmiotem zamówienia jest dostawa</w:t>
      </w:r>
      <w:r w:rsidR="00EE2435">
        <w:rPr>
          <w:rFonts w:ascii="Times New Roman" w:hAnsi="Times New Roman" w:cs="Times New Roman"/>
          <w:color w:val="000000"/>
          <w:sz w:val="24"/>
          <w:szCs w:val="24"/>
        </w:rPr>
        <w:t xml:space="preserve"> i montaż </w:t>
      </w:r>
      <w:r w:rsidRPr="00003174">
        <w:rPr>
          <w:rFonts w:ascii="Times New Roman" w:hAnsi="Times New Roman" w:cs="Times New Roman"/>
          <w:color w:val="000000"/>
          <w:sz w:val="24"/>
          <w:szCs w:val="24"/>
        </w:rPr>
        <w:t xml:space="preserve"> 32 szt. kompletnych ulicznych lamp solarnych, autonomicznych, zasilanych przy pomocy paneli PV, na potrzeby oświetlenia dróg, w ramach zadania budżetowego pn.: „Rozbudowa oświetlenia ulicznego na terenie Gminy Jasło". </w:t>
      </w:r>
    </w:p>
    <w:p w14:paraId="69CC6D16" w14:textId="77777777" w:rsidR="00003174" w:rsidRPr="00EE2435" w:rsidRDefault="00003174" w:rsidP="00003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9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Zakres zamówienia obejmuje dostawę (zakup, załadunek, transport, rozładunek) oraz instalację wraz z uruchomieniem lamp solarnych w określonych miejscowościach na terenie Gminy Jasło. </w:t>
      </w:r>
    </w:p>
    <w:p w14:paraId="6281C400" w14:textId="77777777" w:rsidR="00003174" w:rsidRPr="00EE2435" w:rsidRDefault="00003174" w:rsidP="00003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9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Opis ulicznych lamp solarnych – minimalne wymagania techniczne: </w:t>
      </w:r>
    </w:p>
    <w:p w14:paraId="27491A21" w14:textId="77777777" w:rsidR="00003174" w:rsidRPr="00EE2435" w:rsidRDefault="00003174" w:rsidP="000031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wysokość masztu: min. 5,5 m do 7 m </w:t>
      </w:r>
      <w:r w:rsidRPr="00EE24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(dotyczy samego słupa) </w:t>
      </w: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– stalowy ocynkowany na fundamencie betonowym, montaż oprawy na wysokości min. 5,5 m; </w:t>
      </w:r>
    </w:p>
    <w:p w14:paraId="3A7C2D92" w14:textId="77777777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fundament: betonowy F-100 – F-150; </w:t>
      </w:r>
    </w:p>
    <w:p w14:paraId="48ECFBC0" w14:textId="0B7E7BEB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moc paneli: min. 2x165 W, panel fotowoltaiczny </w:t>
      </w:r>
      <w:proofErr w:type="spellStart"/>
      <w:r w:rsidRPr="00EE2435">
        <w:rPr>
          <w:rFonts w:ascii="Times New Roman" w:hAnsi="Times New Roman" w:cs="Times New Roman"/>
          <w:color w:val="000000"/>
          <w:sz w:val="24"/>
          <w:szCs w:val="24"/>
        </w:rPr>
        <w:t>bifacjalny</w:t>
      </w:r>
      <w:proofErr w:type="spellEnd"/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24F414BE" w14:textId="45354295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>typ i moc akumulatora - bateria żelowa min. 2x100 A</w:t>
      </w:r>
      <w:r w:rsidR="00EE2435" w:rsidRPr="00EE243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2CC85B4" w14:textId="692D8CC2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>czas pracy lamp: min. 14 godzin</w:t>
      </w:r>
      <w:r w:rsidR="00267B91" w:rsidRPr="00EE24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322B93" w14:textId="13C262D5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oprawa oświetleniowa (moc lampy): min. 40 W; </w:t>
      </w:r>
    </w:p>
    <w:p w14:paraId="0EBE706F" w14:textId="77777777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strumień świetlny źródeł: min. 8000 lm; </w:t>
      </w:r>
    </w:p>
    <w:p w14:paraId="3AEC177C" w14:textId="77777777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źródło światła: LED produkt polski; </w:t>
      </w:r>
    </w:p>
    <w:p w14:paraId="0E4DBCA0" w14:textId="77777777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czas autonomii (ile dni): min. 5 dni; </w:t>
      </w:r>
    </w:p>
    <w:p w14:paraId="574A1207" w14:textId="27844F9F" w:rsidR="00003174" w:rsidRPr="00A2582B" w:rsidRDefault="00A2582B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582B">
        <w:rPr>
          <w:rFonts w:ascii="Times New Roman" w:hAnsi="Times New Roman" w:cs="Times New Roman"/>
          <w:b/>
          <w:color w:val="000000"/>
          <w:sz w:val="24"/>
          <w:szCs w:val="24"/>
        </w:rPr>
        <w:t>barwa: min. 40</w:t>
      </w:r>
      <w:r w:rsidR="00003174" w:rsidRPr="00A258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00 </w:t>
      </w:r>
      <w:r w:rsidR="00EE2435" w:rsidRPr="00A2582B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003174" w:rsidRPr="00A258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5500 </w:t>
      </w:r>
      <w:r w:rsidR="00EE2435" w:rsidRPr="00A2582B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003174" w:rsidRPr="00A258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</w:p>
    <w:p w14:paraId="4FA27075" w14:textId="5E2F5DEE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sposób </w:t>
      </w:r>
      <w:r w:rsidR="00267B91" w:rsidRPr="00EE2435">
        <w:rPr>
          <w:rFonts w:ascii="Times New Roman" w:hAnsi="Times New Roman" w:cs="Times New Roman"/>
          <w:color w:val="000000"/>
          <w:sz w:val="24"/>
          <w:szCs w:val="24"/>
        </w:rPr>
        <w:t>włączania: czujnik zmierzchu;</w:t>
      </w: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4E0120" w14:textId="7DBBEE0C" w:rsidR="00EB3F1A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iCs/>
          <w:sz w:val="24"/>
          <w:szCs w:val="24"/>
        </w:rPr>
        <w:t>żywotność źródła światła min. 6</w:t>
      </w:r>
      <w:r w:rsidR="00267B91" w:rsidRPr="00EE2435">
        <w:rPr>
          <w:rFonts w:ascii="Times New Roman" w:hAnsi="Times New Roman" w:cs="Times New Roman"/>
          <w:iCs/>
          <w:sz w:val="24"/>
          <w:szCs w:val="24"/>
        </w:rPr>
        <w:t>0.000 godzin;</w:t>
      </w:r>
    </w:p>
    <w:p w14:paraId="7ABB8DB5" w14:textId="427B4D61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iCs/>
          <w:sz w:val="24"/>
          <w:szCs w:val="24"/>
        </w:rPr>
        <w:t xml:space="preserve"> żywotność baterii min. 600</w:t>
      </w:r>
      <w:r w:rsidR="00267B91" w:rsidRPr="00EE2435">
        <w:rPr>
          <w:rFonts w:ascii="Times New Roman" w:hAnsi="Times New Roman" w:cs="Times New Roman"/>
          <w:iCs/>
          <w:sz w:val="24"/>
          <w:szCs w:val="24"/>
        </w:rPr>
        <w:t xml:space="preserve"> cykli;</w:t>
      </w:r>
    </w:p>
    <w:p w14:paraId="08384DB9" w14:textId="33C76CA5" w:rsidR="00003174" w:rsidRPr="00EE2435" w:rsidRDefault="00003174" w:rsidP="00EB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iCs/>
          <w:sz w:val="24"/>
          <w:szCs w:val="24"/>
        </w:rPr>
        <w:t>sterownik pozwalający na indywidualne zaprogramowanie od 3 do 9 okresów w trakcie</w:t>
      </w:r>
      <w:r w:rsidR="00267B91" w:rsidRPr="00EE2435">
        <w:rPr>
          <w:rFonts w:ascii="Times New Roman" w:hAnsi="Times New Roman" w:cs="Times New Roman"/>
          <w:iCs/>
          <w:sz w:val="24"/>
          <w:szCs w:val="24"/>
        </w:rPr>
        <w:t xml:space="preserve"> nocy;</w:t>
      </w:r>
    </w:p>
    <w:p w14:paraId="730A5426" w14:textId="7ECE2189" w:rsidR="00003174" w:rsidRPr="00EE2435" w:rsidRDefault="00003174" w:rsidP="00267B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iCs/>
          <w:sz w:val="24"/>
          <w:szCs w:val="24"/>
        </w:rPr>
        <w:t>automatyczna redu</w:t>
      </w:r>
      <w:r w:rsidR="00267B91" w:rsidRPr="00EE2435">
        <w:rPr>
          <w:rFonts w:ascii="Times New Roman" w:hAnsi="Times New Roman" w:cs="Times New Roman"/>
          <w:iCs/>
          <w:sz w:val="24"/>
          <w:szCs w:val="24"/>
        </w:rPr>
        <w:t>kcja mocy oprawy oświetleniowej.</w:t>
      </w:r>
    </w:p>
    <w:p w14:paraId="3C8E9DBB" w14:textId="77777777" w:rsidR="00214F65" w:rsidRPr="00EE2435" w:rsidRDefault="00214F65" w:rsidP="00370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Wspólny słownik zamówień (CPV): </w:t>
      </w:r>
    </w:p>
    <w:p w14:paraId="4645E52D" w14:textId="4E00D1CE" w:rsidR="00322898" w:rsidRPr="00EE2435" w:rsidRDefault="00322898" w:rsidP="0032289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>31520000-7</w:t>
      </w:r>
      <w:r w:rsidR="00267B91"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lampy i oprawy oświetleniowe;</w:t>
      </w:r>
    </w:p>
    <w:p w14:paraId="0275CBD0" w14:textId="42436D40" w:rsidR="00322898" w:rsidRPr="00EE2435" w:rsidRDefault="00322898" w:rsidP="0032289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>45316110-9 – instalowanie</w:t>
      </w:r>
      <w:r w:rsidR="00267B91"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 oświetlenia drogowego;</w:t>
      </w:r>
    </w:p>
    <w:p w14:paraId="7C18A394" w14:textId="65A6A5B6" w:rsidR="00322898" w:rsidRPr="00EE2435" w:rsidRDefault="00322898" w:rsidP="0032289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>34928500-3</w:t>
      </w:r>
      <w:r w:rsidR="00267B91"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oświetleniowy sprzęt uliczny;</w:t>
      </w:r>
    </w:p>
    <w:p w14:paraId="58486DBC" w14:textId="77777777" w:rsidR="00322898" w:rsidRPr="00EE2435" w:rsidRDefault="00322898" w:rsidP="0032289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435">
        <w:rPr>
          <w:rFonts w:ascii="Times New Roman" w:eastAsia="Times New Roman" w:hAnsi="Times New Roman" w:cs="Times New Roman"/>
          <w:sz w:val="24"/>
          <w:szCs w:val="24"/>
          <w:lang w:eastAsia="pl-PL"/>
        </w:rPr>
        <w:t>34928510-6 – uliczne słupy oświetleniowe.</w:t>
      </w:r>
    </w:p>
    <w:p w14:paraId="6DA6B7B6" w14:textId="77777777" w:rsidR="00214F65" w:rsidRPr="00EE2435" w:rsidRDefault="00214F65" w:rsidP="00214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Miejscowości posadowienia i ilości lamp solarnych: </w:t>
      </w:r>
    </w:p>
    <w:p w14:paraId="2FE2A8F8" w14:textId="61CAA45F" w:rsidR="00214F65" w:rsidRPr="00EE2435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>Chrząstówka</w:t>
      </w:r>
      <w:r w:rsidR="00267B91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– 2 szt.;</w:t>
      </w:r>
      <w:r w:rsidR="00214F65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7902A5" w14:textId="39192838" w:rsidR="00214F65" w:rsidRPr="00EE2435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>Niepla – 4</w:t>
      </w:r>
      <w:r w:rsidR="00267B91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szt.;</w:t>
      </w:r>
    </w:p>
    <w:p w14:paraId="2E673189" w14:textId="598C9C22" w:rsidR="00214F65" w:rsidRPr="00EE2435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>Szebnie – 3</w:t>
      </w:r>
      <w:r w:rsidR="00267B91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szt.;</w:t>
      </w:r>
      <w:r w:rsidR="00214F65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E41415" w14:textId="1C3A396F" w:rsidR="00214F65" w:rsidRPr="00EE2435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435">
        <w:rPr>
          <w:rFonts w:ascii="Times New Roman" w:hAnsi="Times New Roman" w:cs="Times New Roman"/>
          <w:color w:val="000000"/>
          <w:sz w:val="24"/>
          <w:szCs w:val="24"/>
        </w:rPr>
        <w:t>Bierówka – 1</w:t>
      </w:r>
      <w:r w:rsidR="00267B91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szt.;</w:t>
      </w:r>
      <w:r w:rsidR="00214F65" w:rsidRPr="00EE2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E35621" w14:textId="7DBB91F2" w:rsidR="00214F65" w:rsidRPr="00EB3F1A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3F1A">
        <w:rPr>
          <w:rFonts w:ascii="Times New Roman" w:hAnsi="Times New Roman" w:cs="Times New Roman"/>
          <w:color w:val="000000"/>
          <w:sz w:val="24"/>
          <w:szCs w:val="24"/>
        </w:rPr>
        <w:t>Warzyce – 1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 xml:space="preserve"> szt.;</w:t>
      </w:r>
      <w:r w:rsidR="00214F65" w:rsidRPr="00EB3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6BE411" w14:textId="2A4D4C9F" w:rsidR="00214F65" w:rsidRPr="00EB3F1A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3F1A">
        <w:rPr>
          <w:rFonts w:ascii="Times New Roman" w:hAnsi="Times New Roman" w:cs="Times New Roman"/>
          <w:color w:val="000000"/>
          <w:sz w:val="24"/>
          <w:szCs w:val="24"/>
        </w:rPr>
        <w:t>Jareniówka – 2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 xml:space="preserve"> szt.;</w:t>
      </w:r>
      <w:r w:rsidR="00214F65" w:rsidRPr="00EB3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191CDF" w14:textId="6281A6AE" w:rsidR="00214F65" w:rsidRPr="00EB3F1A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3F1A">
        <w:rPr>
          <w:rFonts w:ascii="Times New Roman" w:hAnsi="Times New Roman" w:cs="Times New Roman"/>
          <w:color w:val="000000"/>
          <w:sz w:val="24"/>
          <w:szCs w:val="24"/>
        </w:rPr>
        <w:t>Łaski – 3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 xml:space="preserve"> szt.;</w:t>
      </w:r>
      <w:r w:rsidR="00214F65" w:rsidRPr="00EB3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754F6F" w14:textId="2A74DF7B" w:rsidR="00214F65" w:rsidRPr="00EB3F1A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3F1A">
        <w:rPr>
          <w:rFonts w:ascii="Times New Roman" w:hAnsi="Times New Roman" w:cs="Times New Roman"/>
          <w:color w:val="000000"/>
          <w:sz w:val="24"/>
          <w:szCs w:val="24"/>
        </w:rPr>
        <w:t>Brzyście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 xml:space="preserve"> – 1 szt.;</w:t>
      </w:r>
    </w:p>
    <w:p w14:paraId="2A75268C" w14:textId="1663CA15" w:rsidR="00214F65" w:rsidRPr="00EB3F1A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3F1A">
        <w:rPr>
          <w:rFonts w:ascii="Times New Roman" w:hAnsi="Times New Roman" w:cs="Times New Roman"/>
          <w:color w:val="000000"/>
          <w:sz w:val="24"/>
          <w:szCs w:val="24"/>
        </w:rPr>
        <w:t>Opacie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 xml:space="preserve"> – 4 szt.;</w:t>
      </w:r>
      <w:r w:rsidR="00214F65" w:rsidRPr="00EB3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549ECD" w14:textId="435E6BA2" w:rsidR="00214F65" w:rsidRPr="00EB3F1A" w:rsidRDefault="00EB3F1A" w:rsidP="002254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3F1A">
        <w:rPr>
          <w:rFonts w:ascii="Times New Roman" w:hAnsi="Times New Roman" w:cs="Times New Roman"/>
          <w:color w:val="000000"/>
          <w:sz w:val="24"/>
          <w:szCs w:val="24"/>
        </w:rPr>
        <w:t>Osobnica – 11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 xml:space="preserve"> szt.</w:t>
      </w:r>
      <w:r w:rsidR="00214F65" w:rsidRPr="00EB3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FEB64B" w14:textId="5129D0E9" w:rsidR="0096083D" w:rsidRPr="00225497" w:rsidRDefault="00370E69" w:rsidP="00225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54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 </w:t>
      </w:r>
      <w:r w:rsidR="0096083D" w:rsidRPr="00225497">
        <w:rPr>
          <w:rFonts w:ascii="Times New Roman" w:hAnsi="Times New Roman" w:cs="Times New Roman"/>
          <w:iCs/>
          <w:sz w:val="24"/>
          <w:szCs w:val="24"/>
        </w:rPr>
        <w:t>Informacje dodatkowe:</w:t>
      </w:r>
      <w:r w:rsidR="0096083D" w:rsidRPr="002254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9A43C6E" w14:textId="67D00EA1" w:rsidR="0096083D" w:rsidRPr="00225497" w:rsidRDefault="0096083D" w:rsidP="00225497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225497">
        <w:rPr>
          <w:rFonts w:ascii="Times New Roman" w:hAnsi="Times New Roman" w:cs="Times New Roman"/>
          <w:iCs/>
        </w:rPr>
        <w:t>Zamawiający nie dopuszcza użycie lamp solarnych zintegrowanych tzw. „</w:t>
      </w:r>
      <w:proofErr w:type="spellStart"/>
      <w:r w:rsidRPr="00225497">
        <w:rPr>
          <w:rFonts w:ascii="Times New Roman" w:hAnsi="Times New Roman" w:cs="Times New Roman"/>
          <w:iCs/>
        </w:rPr>
        <w:t>all</w:t>
      </w:r>
      <w:proofErr w:type="spellEnd"/>
      <w:r w:rsidRPr="00225497">
        <w:rPr>
          <w:rFonts w:ascii="Times New Roman" w:hAnsi="Times New Roman" w:cs="Times New Roman"/>
          <w:iCs/>
        </w:rPr>
        <w:t xml:space="preserve"> in one”- wszystkie podzespoły / elementy (tj. oprawa LED, bateria oraz panel solarny), scalona </w:t>
      </w:r>
      <w:r w:rsidR="00267B91">
        <w:rPr>
          <w:rFonts w:ascii="Times New Roman" w:hAnsi="Times New Roman" w:cs="Times New Roman"/>
          <w:iCs/>
        </w:rPr>
        <w:t>i umieszczone na jednej listwie;</w:t>
      </w:r>
      <w:r w:rsidRPr="00225497">
        <w:rPr>
          <w:rFonts w:ascii="Times New Roman" w:hAnsi="Times New Roman" w:cs="Times New Roman"/>
          <w:iCs/>
        </w:rPr>
        <w:t xml:space="preserve"> </w:t>
      </w:r>
    </w:p>
    <w:p w14:paraId="1C3428E7" w14:textId="0526E33E" w:rsidR="0096083D" w:rsidRPr="00225497" w:rsidRDefault="0096083D" w:rsidP="006728D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225497">
        <w:rPr>
          <w:rFonts w:ascii="Times New Roman" w:hAnsi="Times New Roman" w:cs="Times New Roman"/>
          <w:iCs/>
          <w:color w:val="auto"/>
        </w:rPr>
        <w:lastRenderedPageBreak/>
        <w:t>Zamawiający nie dopuszcza, aby czas autonomii i czas świecenia oprawy w nocy był liczony z uwzględnieniem redukcji mocy oprawy do poziomu mniejszego niż 20% czyli strumienia świetlnego d</w:t>
      </w:r>
      <w:r w:rsidR="00267B91">
        <w:rPr>
          <w:rFonts w:ascii="Times New Roman" w:hAnsi="Times New Roman" w:cs="Times New Roman"/>
          <w:iCs/>
          <w:color w:val="auto"/>
        </w:rPr>
        <w:t>o poziomu mniejszego niż 900 lm;</w:t>
      </w:r>
      <w:r w:rsidRPr="00225497">
        <w:rPr>
          <w:rFonts w:ascii="Times New Roman" w:hAnsi="Times New Roman" w:cs="Times New Roman"/>
          <w:iCs/>
          <w:color w:val="auto"/>
        </w:rPr>
        <w:t xml:space="preserve"> </w:t>
      </w:r>
    </w:p>
    <w:p w14:paraId="1811F1D3" w14:textId="517BEE17" w:rsidR="0096083D" w:rsidRPr="00225497" w:rsidRDefault="0096083D" w:rsidP="006728D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225497">
        <w:rPr>
          <w:rFonts w:ascii="Times New Roman" w:hAnsi="Times New Roman" w:cs="Times New Roman"/>
          <w:iCs/>
          <w:color w:val="auto"/>
        </w:rPr>
        <w:t xml:space="preserve">Zamawiający </w:t>
      </w:r>
      <w:r w:rsidR="00370E69" w:rsidRPr="00225497">
        <w:rPr>
          <w:rFonts w:ascii="Times New Roman" w:hAnsi="Times New Roman" w:cs="Times New Roman"/>
          <w:iCs/>
          <w:color w:val="auto"/>
        </w:rPr>
        <w:t xml:space="preserve">nie </w:t>
      </w:r>
      <w:r w:rsidRPr="00225497">
        <w:rPr>
          <w:rFonts w:ascii="Times New Roman" w:hAnsi="Times New Roman" w:cs="Times New Roman"/>
          <w:iCs/>
          <w:color w:val="auto"/>
        </w:rPr>
        <w:t>dopuszc</w:t>
      </w:r>
      <w:r w:rsidR="00267B91">
        <w:rPr>
          <w:rFonts w:ascii="Times New Roman" w:hAnsi="Times New Roman" w:cs="Times New Roman"/>
          <w:iCs/>
          <w:color w:val="auto"/>
        </w:rPr>
        <w:t>za zastosowanie czujnika ruchu;</w:t>
      </w:r>
    </w:p>
    <w:p w14:paraId="7F3A6291" w14:textId="64ED199D" w:rsidR="00370E69" w:rsidRPr="00800162" w:rsidRDefault="0096083D" w:rsidP="006728D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225497">
        <w:rPr>
          <w:rFonts w:ascii="Times New Roman" w:hAnsi="Times New Roman" w:cs="Times New Roman"/>
          <w:iCs/>
          <w:color w:val="auto"/>
        </w:rPr>
        <w:t>Zamawiający informuje, że wszystkie lokalizacje lamp pozbawione są jakichkolwiek utrudnień, barier</w:t>
      </w:r>
      <w:r w:rsidR="00225497" w:rsidRPr="00225497">
        <w:rPr>
          <w:rFonts w:ascii="Times New Roman" w:hAnsi="Times New Roman" w:cs="Times New Roman"/>
          <w:iCs/>
          <w:color w:val="auto"/>
        </w:rPr>
        <w:t xml:space="preserve"> i</w:t>
      </w:r>
      <w:r w:rsidRPr="00225497">
        <w:rPr>
          <w:rFonts w:ascii="Times New Roman" w:hAnsi="Times New Roman" w:cs="Times New Roman"/>
          <w:iCs/>
          <w:color w:val="auto"/>
        </w:rPr>
        <w:t xml:space="preserve"> przeszkód. Wyznaczone miejsca są na płaskim, łatwo dostępnym terenie, z możliwością łatwego i bezproblemowego wykorzystania sprzętu, najczęściej w poboczu drogi</w:t>
      </w:r>
      <w:r w:rsidRPr="00EB3F1A">
        <w:rPr>
          <w:rFonts w:ascii="Times New Roman" w:hAnsi="Times New Roman" w:cs="Times New Roman"/>
          <w:iCs/>
          <w:color w:val="auto"/>
        </w:rPr>
        <w:t xml:space="preserve">. </w:t>
      </w:r>
      <w:r w:rsidR="00EB3F1A" w:rsidRPr="00EB3F1A">
        <w:rPr>
          <w:rFonts w:ascii="Times New Roman" w:hAnsi="Times New Roman" w:cs="Times New Roman"/>
          <w:iCs/>
          <w:color w:val="auto"/>
        </w:rPr>
        <w:t xml:space="preserve">Lampy będą montowane na terenie gminy, </w:t>
      </w:r>
      <w:r w:rsidRPr="00EB3F1A">
        <w:rPr>
          <w:rFonts w:ascii="Times New Roman" w:hAnsi="Times New Roman" w:cs="Times New Roman"/>
          <w:iCs/>
          <w:color w:val="auto"/>
        </w:rPr>
        <w:t>wszelkie uzgodnienia w zakresie montażu lamp z zarządcami dróg i właścicielami działek leżą po stronie zamawiającego. Przed wykonaniem zadania zamawiający wskaże dokładne miejsca na których będą montowana</w:t>
      </w:r>
      <w:r w:rsidR="00267B91">
        <w:rPr>
          <w:rFonts w:ascii="Times New Roman" w:hAnsi="Times New Roman" w:cs="Times New Roman"/>
          <w:iCs/>
          <w:color w:val="auto"/>
        </w:rPr>
        <w:t xml:space="preserve"> lampy;</w:t>
      </w:r>
      <w:r w:rsidRPr="00225497">
        <w:rPr>
          <w:rFonts w:ascii="Times New Roman" w:hAnsi="Times New Roman" w:cs="Times New Roman"/>
          <w:iCs/>
          <w:color w:val="auto"/>
        </w:rPr>
        <w:t xml:space="preserve"> </w:t>
      </w:r>
    </w:p>
    <w:p w14:paraId="7B158D3A" w14:textId="4ECCDDD7" w:rsidR="00800162" w:rsidRDefault="00800162" w:rsidP="006728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62">
        <w:rPr>
          <w:rFonts w:ascii="Times New Roman" w:hAnsi="Times New Roman" w:cs="Times New Roman"/>
          <w:sz w:val="24"/>
          <w:szCs w:val="24"/>
        </w:rPr>
        <w:t>Wykonawca będzie zobowiązany w czasie realizacji zadania zapewnić na terenie prac montażowych należyty ład, porządek, przestrzeganie przepisów BHP, ochronę znajdujących się na terenie obiektów i sieci oraz urządzeń uzbrojenia terenu i utrzymywać je w należytym stanie technicznym, a po zakoń</w:t>
      </w:r>
      <w:r w:rsidR="00267B91">
        <w:rPr>
          <w:rFonts w:ascii="Times New Roman" w:hAnsi="Times New Roman" w:cs="Times New Roman"/>
          <w:sz w:val="24"/>
          <w:szCs w:val="24"/>
        </w:rPr>
        <w:t>czeniu prac uporządkować teren;</w:t>
      </w:r>
    </w:p>
    <w:p w14:paraId="19EF50B8" w14:textId="67B51F8E" w:rsidR="00A2582B" w:rsidRPr="00A2582B" w:rsidRDefault="00A2582B" w:rsidP="006728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A2582B">
        <w:rPr>
          <w:rFonts w:ascii="Times New Roman" w:hAnsi="Times New Roman" w:cs="Times New Roman"/>
          <w:b/>
          <w:sz w:val="24"/>
          <w:szCs w:val="24"/>
        </w:rPr>
        <w:t xml:space="preserve">Wykonawca będzie zobowiązany po </w:t>
      </w:r>
      <w:r w:rsidRPr="00A2582B">
        <w:rPr>
          <w:rFonts w:ascii="Times New Roman" w:hAnsi="Times New Roman" w:cs="Times New Roman"/>
          <w:b/>
          <w:sz w:val="24"/>
          <w:szCs w:val="24"/>
        </w:rPr>
        <w:t>realizacji zadania</w:t>
      </w:r>
      <w:r w:rsidRPr="00A2582B">
        <w:rPr>
          <w:rFonts w:ascii="Times New Roman" w:hAnsi="Times New Roman" w:cs="Times New Roman"/>
          <w:b/>
          <w:sz w:val="24"/>
          <w:szCs w:val="24"/>
        </w:rPr>
        <w:t xml:space="preserve"> do przeprowadzenia obsługi geodezyjnej inwestycji.</w:t>
      </w:r>
    </w:p>
    <w:bookmarkEnd w:id="1"/>
    <w:p w14:paraId="0A410271" w14:textId="3C2E10AA" w:rsidR="00800162" w:rsidRPr="00800162" w:rsidRDefault="00800162" w:rsidP="006728D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800162">
        <w:rPr>
          <w:rFonts w:ascii="Times New Roman" w:hAnsi="Times New Roman" w:cs="Times New Roman"/>
        </w:rPr>
        <w:t xml:space="preserve">Odbiór przedmiotu zamówienia nastąpi protokółem zdawczo-odbiorczym dostarczonych </w:t>
      </w:r>
      <w:r w:rsidR="004E2BF0">
        <w:rPr>
          <w:rFonts w:ascii="Times New Roman" w:hAnsi="Times New Roman" w:cs="Times New Roman"/>
        </w:rPr>
        <w:br/>
      </w:r>
      <w:r w:rsidRPr="00800162">
        <w:rPr>
          <w:rFonts w:ascii="Times New Roman" w:hAnsi="Times New Roman" w:cs="Times New Roman"/>
        </w:rPr>
        <w:t>i zamontowanych lamp solarnych wraz z kompletem dokumentów gwarancyjnych, wymaganej dokumentacji techniczne</w:t>
      </w:r>
      <w:r w:rsidR="00267B91">
        <w:rPr>
          <w:rFonts w:ascii="Times New Roman" w:hAnsi="Times New Roman" w:cs="Times New Roman"/>
        </w:rPr>
        <w:t>j i deklaracji zgodności;</w:t>
      </w:r>
    </w:p>
    <w:p w14:paraId="4AECC2BE" w14:textId="03AAC14C" w:rsidR="00800162" w:rsidRPr="00800162" w:rsidRDefault="00800162" w:rsidP="006728D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800162">
        <w:rPr>
          <w:rFonts w:ascii="Times New Roman" w:hAnsi="Times New Roman" w:cs="Times New Roman"/>
        </w:rPr>
        <w:t>Zamawiający wymaga, aby w przypadku powierzenia części zakresu zamówienia podwykonawcom, Wykonawca wskazał w ofercie części zamówienia, których wykonanie zamierza powierzyć podwykonawcom oraz podał (o ile są mu wiadome na tym etapie) n</w:t>
      </w:r>
      <w:r w:rsidR="00267B91">
        <w:rPr>
          <w:rFonts w:ascii="Times New Roman" w:hAnsi="Times New Roman" w:cs="Times New Roman"/>
        </w:rPr>
        <w:t>azwy (firmy) tych podwykonawców;</w:t>
      </w:r>
    </w:p>
    <w:p w14:paraId="50FF1A73" w14:textId="188E4871" w:rsidR="00800162" w:rsidRDefault="00800162" w:rsidP="006728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162">
        <w:rPr>
          <w:rFonts w:ascii="Times New Roman" w:hAnsi="Times New Roman" w:cs="Times New Roman"/>
          <w:sz w:val="24"/>
          <w:szCs w:val="24"/>
        </w:rPr>
        <w:t>Zamawiający wymaga udzielenia minimum 36 miesięcznego okresu gwarancji na dostarczone i zainstalowane uliczne lampy solarne, liczonego od dnia protokolarnego odbioru. W okresie gwarancji Wykonawca samodzielnie lub za pomocą podwykonawców będzie świadczył bezpłatny serwis gwarancyjny wymagany zgodnie z zaleceniami producenta i przepisami obowiązującego prawa wymagającymi dokonywania czynności w zakresie obsługi serwisowej. Okres gwarancji stanowi jedno z kryteriów oceny ofert. Zamawiający określa maksymalny punktowa</w:t>
      </w:r>
      <w:r w:rsidR="00DC4B87">
        <w:rPr>
          <w:rFonts w:ascii="Times New Roman" w:hAnsi="Times New Roman" w:cs="Times New Roman"/>
          <w:sz w:val="24"/>
          <w:szCs w:val="24"/>
        </w:rPr>
        <w:t>ny okres gwarancji wynoszący 72</w:t>
      </w:r>
      <w:r w:rsidRPr="00800162">
        <w:rPr>
          <w:rFonts w:ascii="Times New Roman" w:hAnsi="Times New Roman" w:cs="Times New Roman"/>
          <w:sz w:val="24"/>
          <w:szCs w:val="24"/>
        </w:rPr>
        <w:t xml:space="preserve"> miesięcy. Wykonawca winien zaoferować okres gwarancji obejmujący pełne miesiące. Zaoferowan</w:t>
      </w:r>
      <w:r w:rsidR="00DC4B87">
        <w:rPr>
          <w:rFonts w:ascii="Times New Roman" w:hAnsi="Times New Roman" w:cs="Times New Roman"/>
          <w:sz w:val="24"/>
          <w:szCs w:val="24"/>
        </w:rPr>
        <w:t>y dłuższy okres gwarancji niż 72</w:t>
      </w:r>
      <w:r w:rsidRPr="00800162">
        <w:rPr>
          <w:rFonts w:ascii="Times New Roman" w:hAnsi="Times New Roman" w:cs="Times New Roman"/>
          <w:sz w:val="24"/>
          <w:szCs w:val="24"/>
        </w:rPr>
        <w:t xml:space="preserve"> miesięcy będzie</w:t>
      </w:r>
      <w:r w:rsidR="00DC4B87">
        <w:rPr>
          <w:rFonts w:ascii="Times New Roman" w:hAnsi="Times New Roman" w:cs="Times New Roman"/>
          <w:sz w:val="24"/>
          <w:szCs w:val="24"/>
        </w:rPr>
        <w:t xml:space="preserve"> punktowany tylko do wartości 72</w:t>
      </w:r>
      <w:r w:rsidRPr="00800162">
        <w:rPr>
          <w:rFonts w:ascii="Times New Roman" w:hAnsi="Times New Roman" w:cs="Times New Roman"/>
          <w:sz w:val="24"/>
          <w:szCs w:val="24"/>
        </w:rPr>
        <w:t xml:space="preserve"> miesięcy. Błędne zaoferowanie gwarancji (np. poniżej 36 m-</w:t>
      </w:r>
      <w:proofErr w:type="spellStart"/>
      <w:r w:rsidRPr="00800162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800162">
        <w:rPr>
          <w:rFonts w:ascii="Times New Roman" w:hAnsi="Times New Roman" w:cs="Times New Roman"/>
          <w:sz w:val="24"/>
          <w:szCs w:val="24"/>
        </w:rPr>
        <w:t xml:space="preserve"> lub podanie okresu w niepełnych miesiącach) będzie skutkowało odrzuceniem oferty z powodu niezgodności treści oferty </w:t>
      </w:r>
      <w:r w:rsidR="004E2BF0">
        <w:rPr>
          <w:rFonts w:ascii="Times New Roman" w:hAnsi="Times New Roman" w:cs="Times New Roman"/>
          <w:sz w:val="24"/>
          <w:szCs w:val="24"/>
        </w:rPr>
        <w:br/>
      </w:r>
      <w:r w:rsidRPr="00800162">
        <w:rPr>
          <w:rFonts w:ascii="Times New Roman" w:hAnsi="Times New Roman" w:cs="Times New Roman"/>
          <w:sz w:val="24"/>
          <w:szCs w:val="24"/>
        </w:rPr>
        <w:t>z warunkami zamówienia określonymi w SWZ, na podstawie art. 226 ust. 1 pkt. 5 ustawy</w:t>
      </w:r>
      <w:r w:rsidR="00267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B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67B91">
        <w:rPr>
          <w:rFonts w:ascii="Times New Roman" w:hAnsi="Times New Roman" w:cs="Times New Roman"/>
          <w:sz w:val="24"/>
          <w:szCs w:val="24"/>
        </w:rPr>
        <w:t>;</w:t>
      </w:r>
      <w:r w:rsidRPr="008001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E0EB8" w14:textId="5A53D6A4" w:rsidR="00777BA3" w:rsidRDefault="00FE11C0" w:rsidP="006728D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E11C0">
        <w:rPr>
          <w:rFonts w:ascii="Times New Roman" w:hAnsi="Times New Roman" w:cs="Times New Roman"/>
          <w:sz w:val="24"/>
          <w:szCs w:val="24"/>
        </w:rPr>
        <w:t xml:space="preserve">szystkie karty i warunki gwarancyjne będą przekazane Zamawiającemu wraz </w:t>
      </w:r>
      <w:r w:rsidR="004E2BF0">
        <w:rPr>
          <w:rFonts w:ascii="Times New Roman" w:hAnsi="Times New Roman" w:cs="Times New Roman"/>
          <w:sz w:val="24"/>
          <w:szCs w:val="24"/>
        </w:rPr>
        <w:br/>
      </w:r>
      <w:r w:rsidRPr="00FE11C0">
        <w:rPr>
          <w:rFonts w:ascii="Times New Roman" w:hAnsi="Times New Roman" w:cs="Times New Roman"/>
          <w:sz w:val="24"/>
          <w:szCs w:val="24"/>
        </w:rPr>
        <w:t>z dokumentami składanymi przy odbiorze przedmiotu zamówienia. Treść wymaganego dokumentu gwarancyjnego zgodnie z załączonym</w:t>
      </w:r>
      <w:r w:rsidR="00ED4FFD">
        <w:rPr>
          <w:rFonts w:ascii="Times New Roman" w:hAnsi="Times New Roman" w:cs="Times New Roman"/>
          <w:sz w:val="24"/>
          <w:szCs w:val="24"/>
        </w:rPr>
        <w:t xml:space="preserve"> wzorem - Załącznik Nr 9</w:t>
      </w:r>
      <w:r w:rsidR="00267B91">
        <w:rPr>
          <w:rFonts w:ascii="Times New Roman" w:hAnsi="Times New Roman" w:cs="Times New Roman"/>
          <w:sz w:val="24"/>
          <w:szCs w:val="24"/>
        </w:rPr>
        <w:t xml:space="preserve"> do SWZ;</w:t>
      </w:r>
      <w:r w:rsidRPr="00FE11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9BF5F" w14:textId="7CA2BECB" w:rsidR="00FE11C0" w:rsidRPr="00FE11C0" w:rsidRDefault="00FE11C0" w:rsidP="006728D2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1C0">
        <w:rPr>
          <w:rFonts w:ascii="Times New Roman" w:hAnsi="Times New Roman" w:cs="Times New Roman"/>
          <w:color w:val="000000"/>
          <w:sz w:val="24"/>
          <w:szCs w:val="24"/>
        </w:rPr>
        <w:t>Okres rękojmi będzie odpowiadał zaoferowanemu przez Wykonawcę okresowi gwarancji na wykonany przedmiot zamówienia</w:t>
      </w:r>
      <w:r w:rsidR="00267B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E266D5" w14:textId="73E41AB7" w:rsidR="0096083D" w:rsidRPr="00777BA3" w:rsidRDefault="0096083D" w:rsidP="006728D2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77BA3">
        <w:rPr>
          <w:rFonts w:ascii="Times New Roman" w:hAnsi="Times New Roman" w:cs="Times New Roman"/>
          <w:color w:val="auto"/>
        </w:rPr>
        <w:t>Zamawiający nie przewiduje wypłaty odszkodowań właścicielom posesji za szkody zawinione przez Wykonawcę, powstałe podczas robót</w:t>
      </w:r>
      <w:r w:rsidRPr="00777BA3">
        <w:rPr>
          <w:rFonts w:ascii="Times New Roman" w:hAnsi="Times New Roman" w:cs="Times New Roman"/>
          <w:b/>
          <w:bCs/>
          <w:color w:val="auto"/>
        </w:rPr>
        <w:t xml:space="preserve">. Na Wykonawcy ciąży obowiązek minimalizacji szkód oraz ponoszenia kosztów z tym związanych. </w:t>
      </w:r>
    </w:p>
    <w:p w14:paraId="7B8FC13B" w14:textId="77777777" w:rsidR="0096083D" w:rsidRPr="00225497" w:rsidRDefault="0096083D" w:rsidP="006728D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7DFD2F0" w14:textId="77777777" w:rsidR="00800162" w:rsidRDefault="00800162" w:rsidP="0096083D">
      <w:pPr>
        <w:autoSpaceDE w:val="0"/>
        <w:autoSpaceDN w:val="0"/>
        <w:adjustRightInd w:val="0"/>
        <w:spacing w:after="140" w:line="240" w:lineRule="auto"/>
        <w:rPr>
          <w:rFonts w:ascii="Arial" w:hAnsi="Arial" w:cs="Arial"/>
          <w:sz w:val="23"/>
          <w:szCs w:val="23"/>
        </w:rPr>
      </w:pPr>
    </w:p>
    <w:p w14:paraId="42C62EFF" w14:textId="77777777" w:rsidR="0096083D" w:rsidRPr="0096083D" w:rsidRDefault="0096083D" w:rsidP="0096083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805C9A9" w14:textId="77777777" w:rsidR="0096083D" w:rsidRPr="0096083D" w:rsidRDefault="0096083D" w:rsidP="00960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9A9914" w14:textId="77777777" w:rsidR="0096083D" w:rsidRPr="0096083D" w:rsidRDefault="0096083D" w:rsidP="0096083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4EF87A8" w14:textId="77777777" w:rsidR="0096083D" w:rsidRPr="0096083D" w:rsidRDefault="0096083D" w:rsidP="00960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B94EFB9" w14:textId="77777777" w:rsidR="0096083D" w:rsidRPr="0096083D" w:rsidRDefault="0096083D">
      <w:pPr>
        <w:rPr>
          <w:rFonts w:ascii="Times New Roman" w:hAnsi="Times New Roman" w:cs="Times New Roman"/>
          <w:sz w:val="24"/>
          <w:szCs w:val="24"/>
        </w:rPr>
      </w:pPr>
    </w:p>
    <w:sectPr w:rsidR="0096083D" w:rsidRPr="0096083D" w:rsidSect="005B5AD3">
      <w:pgSz w:w="11906" w:h="17338"/>
      <w:pgMar w:top="1418" w:right="1072" w:bottom="1134" w:left="1242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E67369D"/>
    <w:multiLevelType w:val="hybridMultilevel"/>
    <w:tmpl w:val="F3D60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1205D"/>
    <w:multiLevelType w:val="hybridMultilevel"/>
    <w:tmpl w:val="1ADE3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09F6"/>
    <w:multiLevelType w:val="hybridMultilevel"/>
    <w:tmpl w:val="C6986B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8B25FD5"/>
    <w:multiLevelType w:val="hybridMultilevel"/>
    <w:tmpl w:val="8DDCD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75E7"/>
    <w:multiLevelType w:val="hybridMultilevel"/>
    <w:tmpl w:val="E7F67E22"/>
    <w:lvl w:ilvl="0" w:tplc="560446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7A0E5A"/>
    <w:multiLevelType w:val="hybridMultilevel"/>
    <w:tmpl w:val="8CF88F1A"/>
    <w:lvl w:ilvl="0" w:tplc="5A887AB2">
      <w:start w:val="1"/>
      <w:numFmt w:val="decimal"/>
      <w:lvlText w:val="%1)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9E7FA1"/>
    <w:multiLevelType w:val="hybridMultilevel"/>
    <w:tmpl w:val="0B04D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171C"/>
    <w:multiLevelType w:val="hybridMultilevel"/>
    <w:tmpl w:val="6630B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06EF6"/>
    <w:multiLevelType w:val="hybridMultilevel"/>
    <w:tmpl w:val="E2B851D4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85E1527"/>
    <w:multiLevelType w:val="hybridMultilevel"/>
    <w:tmpl w:val="7CE82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239DF"/>
    <w:multiLevelType w:val="hybridMultilevel"/>
    <w:tmpl w:val="AA528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D26EB"/>
    <w:multiLevelType w:val="hybridMultilevel"/>
    <w:tmpl w:val="53FEA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B10CE"/>
    <w:multiLevelType w:val="hybridMultilevel"/>
    <w:tmpl w:val="E3921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6064A"/>
    <w:multiLevelType w:val="hybridMultilevel"/>
    <w:tmpl w:val="1826E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BA8C9"/>
    <w:multiLevelType w:val="hybridMultilevel"/>
    <w:tmpl w:val="12E54B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1B"/>
    <w:rsid w:val="00003174"/>
    <w:rsid w:val="001C5289"/>
    <w:rsid w:val="00214F65"/>
    <w:rsid w:val="00225497"/>
    <w:rsid w:val="00267B91"/>
    <w:rsid w:val="00322898"/>
    <w:rsid w:val="00370E69"/>
    <w:rsid w:val="00393C3F"/>
    <w:rsid w:val="004E2BF0"/>
    <w:rsid w:val="005B5AD3"/>
    <w:rsid w:val="005E3B56"/>
    <w:rsid w:val="006728D2"/>
    <w:rsid w:val="006C5267"/>
    <w:rsid w:val="00777BA3"/>
    <w:rsid w:val="00800162"/>
    <w:rsid w:val="009270D3"/>
    <w:rsid w:val="0096083D"/>
    <w:rsid w:val="0096657E"/>
    <w:rsid w:val="009765A9"/>
    <w:rsid w:val="00A2582B"/>
    <w:rsid w:val="00A463D6"/>
    <w:rsid w:val="00AB16C9"/>
    <w:rsid w:val="00C3071B"/>
    <w:rsid w:val="00DC4B87"/>
    <w:rsid w:val="00E72D0B"/>
    <w:rsid w:val="00EB319B"/>
    <w:rsid w:val="00EB3F1A"/>
    <w:rsid w:val="00ED21ED"/>
    <w:rsid w:val="00ED4FFD"/>
    <w:rsid w:val="00EE2435"/>
    <w:rsid w:val="00F25700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CF63"/>
  <w15:chartTrackingRefBased/>
  <w15:docId w15:val="{318EDEF3-B7ED-43EA-93AE-9BCE5EED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0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0E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3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Kozłecka</dc:creator>
  <cp:keywords/>
  <dc:description/>
  <cp:lastModifiedBy>Joanna Kozłecka</cp:lastModifiedBy>
  <cp:revision>19</cp:revision>
  <cp:lastPrinted>2024-06-20T10:47:00Z</cp:lastPrinted>
  <dcterms:created xsi:type="dcterms:W3CDTF">2024-06-11T12:33:00Z</dcterms:created>
  <dcterms:modified xsi:type="dcterms:W3CDTF">2024-06-28T13:58:00Z</dcterms:modified>
</cp:coreProperties>
</file>