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B2BD8" w14:textId="77777777" w:rsidR="00F21AD7" w:rsidRPr="00BC10E6" w:rsidRDefault="00F21AD7" w:rsidP="001E67A8">
      <w:pPr>
        <w:tabs>
          <w:tab w:val="right" w:pos="9072"/>
        </w:tabs>
        <w:spacing w:after="0" w:line="240" w:lineRule="auto"/>
        <w:jc w:val="right"/>
        <w:rPr>
          <w:rFonts w:ascii="Arial" w:hAnsi="Arial" w:cs="Arial"/>
        </w:rPr>
      </w:pPr>
      <w:r w:rsidRPr="00BC10E6">
        <w:rPr>
          <w:rFonts w:ascii="Arial" w:hAnsi="Arial" w:cs="Arial"/>
        </w:rPr>
        <w:t>Świnoujście, dnia 28.03.2023 r.</w:t>
      </w:r>
    </w:p>
    <w:p w14:paraId="281DDD9B" w14:textId="77777777" w:rsidR="00F21AD7" w:rsidRPr="00BC10E6" w:rsidRDefault="00F21AD7" w:rsidP="00F21AD7">
      <w:pPr>
        <w:tabs>
          <w:tab w:val="center" w:pos="4535"/>
        </w:tabs>
        <w:spacing w:after="0" w:line="240" w:lineRule="auto"/>
        <w:jc w:val="both"/>
        <w:rPr>
          <w:rFonts w:ascii="Arial" w:hAnsi="Arial" w:cs="Arial"/>
        </w:rPr>
      </w:pPr>
      <w:r w:rsidRPr="00BC10E6">
        <w:rPr>
          <w:rFonts w:ascii="Arial" w:hAnsi="Arial" w:cs="Arial"/>
        </w:rPr>
        <w:t>Nr postępowania BZP.271.1.4.2023</w:t>
      </w:r>
    </w:p>
    <w:p w14:paraId="1CCB3883" w14:textId="77777777" w:rsidR="00F21AD7" w:rsidRPr="00BC10E6" w:rsidRDefault="00F21AD7" w:rsidP="00F21AD7">
      <w:pPr>
        <w:spacing w:after="0" w:line="240" w:lineRule="auto"/>
        <w:ind w:left="3969"/>
        <w:jc w:val="both"/>
        <w:rPr>
          <w:rFonts w:ascii="Arial" w:hAnsi="Arial" w:cs="Arial"/>
          <w:b/>
        </w:rPr>
      </w:pPr>
    </w:p>
    <w:p w14:paraId="3B43ABB8" w14:textId="77777777" w:rsidR="00F21AD7" w:rsidRPr="00BC10E6" w:rsidRDefault="00F21AD7" w:rsidP="00F21AD7">
      <w:pPr>
        <w:spacing w:after="0" w:line="240" w:lineRule="auto"/>
        <w:ind w:left="3969"/>
        <w:jc w:val="both"/>
        <w:rPr>
          <w:rFonts w:ascii="Arial" w:hAnsi="Arial" w:cs="Arial"/>
          <w:b/>
        </w:rPr>
      </w:pPr>
      <w:r w:rsidRPr="00BC10E6">
        <w:rPr>
          <w:rFonts w:ascii="Arial" w:hAnsi="Arial" w:cs="Arial"/>
          <w:b/>
        </w:rPr>
        <w:t>Strona internetowa Zamawiającego, na której umieszczono ogłoszenie o zamówieniu i udostępniono SWZ</w:t>
      </w:r>
    </w:p>
    <w:p w14:paraId="2E1F792D" w14:textId="77777777" w:rsidR="00F21AD7" w:rsidRPr="00BC10E6" w:rsidRDefault="00F21AD7" w:rsidP="00F21AD7">
      <w:pPr>
        <w:spacing w:after="0" w:line="240" w:lineRule="auto"/>
        <w:jc w:val="both"/>
        <w:rPr>
          <w:rFonts w:ascii="Arial" w:hAnsi="Arial" w:cs="Arial"/>
        </w:rPr>
      </w:pPr>
    </w:p>
    <w:p w14:paraId="08788A31" w14:textId="77777777" w:rsidR="00F21AD7" w:rsidRPr="00BC10E6" w:rsidRDefault="00F21AD7" w:rsidP="00F21AD7">
      <w:pPr>
        <w:spacing w:after="0" w:line="240" w:lineRule="auto"/>
        <w:jc w:val="both"/>
        <w:rPr>
          <w:rFonts w:ascii="Arial" w:hAnsi="Arial" w:cs="Arial"/>
        </w:rPr>
      </w:pPr>
    </w:p>
    <w:p w14:paraId="135A4149" w14:textId="77777777" w:rsidR="00F21AD7" w:rsidRPr="00BC10E6" w:rsidRDefault="00F21AD7" w:rsidP="00F21AD7">
      <w:pPr>
        <w:spacing w:after="0" w:line="240" w:lineRule="auto"/>
        <w:jc w:val="both"/>
        <w:rPr>
          <w:rFonts w:ascii="Arial" w:hAnsi="Arial" w:cs="Arial"/>
          <w:b/>
        </w:rPr>
      </w:pPr>
      <w:r w:rsidRPr="00BC10E6">
        <w:rPr>
          <w:rFonts w:ascii="Arial" w:hAnsi="Arial" w:cs="Arial"/>
          <w:b/>
        </w:rPr>
        <w:t xml:space="preserve">Dotyczy: postępowania nr BZP.271.1.4.2023 pn.: „Budowa stacji uzdatniania wody powierzchniowej słonawej w Świnoujściu wraz z infrastrukturą” </w:t>
      </w:r>
    </w:p>
    <w:p w14:paraId="08874BF0" w14:textId="77777777" w:rsidR="00F21AD7" w:rsidRPr="00BC10E6" w:rsidRDefault="00F21AD7" w:rsidP="00F21AD7">
      <w:pPr>
        <w:spacing w:after="0" w:line="240" w:lineRule="auto"/>
        <w:jc w:val="both"/>
        <w:rPr>
          <w:rFonts w:ascii="Arial" w:hAnsi="Arial" w:cs="Arial"/>
        </w:rPr>
      </w:pPr>
    </w:p>
    <w:p w14:paraId="4978F56D" w14:textId="77777777" w:rsidR="00F21AD7" w:rsidRPr="00BC10E6" w:rsidRDefault="00F21AD7" w:rsidP="00F21AD7">
      <w:pPr>
        <w:spacing w:after="0" w:line="240" w:lineRule="auto"/>
        <w:jc w:val="both"/>
        <w:rPr>
          <w:rFonts w:ascii="Arial" w:hAnsi="Arial" w:cs="Arial"/>
        </w:rPr>
      </w:pPr>
    </w:p>
    <w:p w14:paraId="406C3C20" w14:textId="00793A03" w:rsidR="00F21AD7" w:rsidRPr="00BC10E6" w:rsidRDefault="00F21AD7" w:rsidP="001E67A8">
      <w:pPr>
        <w:spacing w:after="0" w:line="240" w:lineRule="auto"/>
        <w:jc w:val="center"/>
        <w:rPr>
          <w:rFonts w:ascii="Arial" w:hAnsi="Arial" w:cs="Arial"/>
          <w:b/>
          <w:bCs/>
        </w:rPr>
      </w:pPr>
      <w:r w:rsidRPr="00BC10E6">
        <w:rPr>
          <w:rFonts w:ascii="Arial" w:hAnsi="Arial" w:cs="Arial"/>
          <w:b/>
          <w:bCs/>
        </w:rPr>
        <w:t>ODPOWIEDZI NA PYTANIA WYKONAWC</w:t>
      </w:r>
      <w:r w:rsidR="00065C49">
        <w:rPr>
          <w:rFonts w:ascii="Arial" w:hAnsi="Arial" w:cs="Arial"/>
          <w:b/>
          <w:bCs/>
        </w:rPr>
        <w:t>ÓW</w:t>
      </w:r>
    </w:p>
    <w:p w14:paraId="134B7630" w14:textId="12BB6DC5" w:rsidR="00F21AD7" w:rsidRPr="00BC10E6" w:rsidRDefault="00F21AD7" w:rsidP="001E67A8">
      <w:pPr>
        <w:spacing w:after="0" w:line="240" w:lineRule="auto"/>
        <w:jc w:val="center"/>
        <w:rPr>
          <w:rFonts w:ascii="Arial" w:hAnsi="Arial" w:cs="Arial"/>
          <w:b/>
          <w:bCs/>
        </w:rPr>
      </w:pPr>
      <w:r w:rsidRPr="00BC10E6">
        <w:rPr>
          <w:rFonts w:ascii="Arial" w:hAnsi="Arial" w:cs="Arial"/>
          <w:b/>
          <w:bCs/>
        </w:rPr>
        <w:t>z dnia 23 marca 2023</w:t>
      </w:r>
      <w:r w:rsidR="00065C49">
        <w:rPr>
          <w:rFonts w:ascii="Arial" w:hAnsi="Arial" w:cs="Arial"/>
          <w:b/>
          <w:bCs/>
        </w:rPr>
        <w:t xml:space="preserve"> </w:t>
      </w:r>
      <w:r w:rsidRPr="00BC10E6">
        <w:rPr>
          <w:rFonts w:ascii="Arial" w:hAnsi="Arial" w:cs="Arial"/>
          <w:b/>
          <w:bCs/>
        </w:rPr>
        <w:t>r.</w:t>
      </w:r>
      <w:r w:rsidR="00065C49">
        <w:rPr>
          <w:rFonts w:ascii="Arial" w:hAnsi="Arial" w:cs="Arial"/>
          <w:b/>
          <w:bCs/>
        </w:rPr>
        <w:t xml:space="preserve"> oraz 31 marca 2023 r.</w:t>
      </w:r>
    </w:p>
    <w:p w14:paraId="5101CBC1" w14:textId="77777777" w:rsidR="00F21AD7" w:rsidRPr="00BC10E6" w:rsidRDefault="00F21AD7" w:rsidP="00F21AD7">
      <w:pPr>
        <w:spacing w:after="0" w:line="240" w:lineRule="auto"/>
        <w:jc w:val="both"/>
        <w:rPr>
          <w:rFonts w:ascii="Arial" w:hAnsi="Arial" w:cs="Arial"/>
          <w:b/>
          <w:bCs/>
        </w:rPr>
      </w:pPr>
    </w:p>
    <w:p w14:paraId="4CF28D6B" w14:textId="77777777" w:rsidR="00F21AD7" w:rsidRPr="00BC10E6" w:rsidRDefault="00F21AD7" w:rsidP="00F21AD7">
      <w:pPr>
        <w:spacing w:after="0" w:line="240" w:lineRule="auto"/>
        <w:jc w:val="both"/>
        <w:rPr>
          <w:rFonts w:ascii="Arial" w:hAnsi="Arial" w:cs="Arial"/>
          <w:b/>
          <w:bCs/>
        </w:rPr>
      </w:pPr>
    </w:p>
    <w:p w14:paraId="102827B4" w14:textId="19F81516" w:rsidR="00F21AD7" w:rsidRPr="00BC10E6" w:rsidRDefault="00F21AD7" w:rsidP="00F21AD7">
      <w:pPr>
        <w:spacing w:after="0" w:line="240" w:lineRule="auto"/>
        <w:jc w:val="both"/>
        <w:rPr>
          <w:rFonts w:ascii="Arial" w:eastAsia="Calibri" w:hAnsi="Arial" w:cs="Arial"/>
        </w:rPr>
      </w:pPr>
      <w:r w:rsidRPr="00BC10E6">
        <w:rPr>
          <w:rFonts w:ascii="Arial" w:eastAsia="Calibri" w:hAnsi="Arial" w:cs="Arial"/>
        </w:rPr>
        <w:t>Zamawiający na mocy przysługujących mu uprawnień, w świetle przepis</w:t>
      </w:r>
      <w:r w:rsidR="00F72092">
        <w:rPr>
          <w:rFonts w:ascii="Arial" w:eastAsia="Calibri" w:hAnsi="Arial" w:cs="Arial"/>
        </w:rPr>
        <w:t>ów</w:t>
      </w:r>
      <w:r w:rsidRPr="00BC10E6">
        <w:rPr>
          <w:rFonts w:ascii="Arial" w:eastAsia="Calibri" w:hAnsi="Arial" w:cs="Arial"/>
        </w:rPr>
        <w:t xml:space="preserve"> art. 135 ust. 1 i 2 </w:t>
      </w:r>
      <w:r w:rsidR="00F72092">
        <w:rPr>
          <w:rFonts w:ascii="Arial" w:eastAsia="Calibri" w:hAnsi="Arial" w:cs="Arial"/>
        </w:rPr>
        <w:t xml:space="preserve">oraz art. 137 </w:t>
      </w:r>
      <w:r w:rsidR="00E74196">
        <w:rPr>
          <w:rFonts w:ascii="Arial" w:eastAsia="Calibri" w:hAnsi="Arial" w:cs="Arial"/>
        </w:rPr>
        <w:t xml:space="preserve">ust. 1 i 4 </w:t>
      </w:r>
      <w:r w:rsidRPr="00BC10E6">
        <w:rPr>
          <w:rFonts w:ascii="Arial" w:eastAsia="Calibri" w:hAnsi="Arial" w:cs="Arial"/>
        </w:rPr>
        <w:t>ustawy z dnia 11 września 2019 r. Prawo zamówień publicznych (Dz.</w:t>
      </w:r>
      <w:r w:rsidR="00A56832">
        <w:rPr>
          <w:rFonts w:ascii="Arial" w:eastAsia="Calibri" w:hAnsi="Arial" w:cs="Arial"/>
        </w:rPr>
        <w:t> </w:t>
      </w:r>
      <w:r w:rsidRPr="00BC10E6">
        <w:rPr>
          <w:rFonts w:ascii="Arial" w:eastAsia="Calibri" w:hAnsi="Arial" w:cs="Arial"/>
        </w:rPr>
        <w:t xml:space="preserve">U. z 2022 r., poz. 1710, z </w:t>
      </w:r>
      <w:proofErr w:type="spellStart"/>
      <w:r w:rsidRPr="00BC10E6">
        <w:rPr>
          <w:rFonts w:ascii="Arial" w:eastAsia="Calibri" w:hAnsi="Arial" w:cs="Arial"/>
        </w:rPr>
        <w:t>późn</w:t>
      </w:r>
      <w:proofErr w:type="spellEnd"/>
      <w:r w:rsidRPr="00BC10E6">
        <w:rPr>
          <w:rFonts w:ascii="Arial" w:eastAsia="Calibri" w:hAnsi="Arial" w:cs="Arial"/>
        </w:rPr>
        <w:t xml:space="preserve">. zm.), </w:t>
      </w:r>
      <w:r w:rsidR="009063E6">
        <w:rPr>
          <w:rFonts w:ascii="Arial" w:eastAsia="Calibri" w:hAnsi="Arial" w:cs="Arial"/>
        </w:rPr>
        <w:t>zmienia treść SWZ oraz ogłoszenia i</w:t>
      </w:r>
      <w:r w:rsidRPr="00BC10E6">
        <w:rPr>
          <w:rFonts w:ascii="Arial" w:eastAsia="Calibri" w:hAnsi="Arial" w:cs="Arial"/>
        </w:rPr>
        <w:t xml:space="preserve"> przekazując </w:t>
      </w:r>
      <w:r w:rsidR="009063E6">
        <w:rPr>
          <w:rFonts w:ascii="Arial" w:eastAsia="Calibri" w:hAnsi="Arial" w:cs="Arial"/>
        </w:rPr>
        <w:t>je</w:t>
      </w:r>
      <w:r w:rsidRPr="00BC10E6">
        <w:rPr>
          <w:rFonts w:ascii="Arial" w:eastAsia="Calibri" w:hAnsi="Arial" w:cs="Arial"/>
        </w:rPr>
        <w:t xml:space="preserve"> wszystkim wykonawcom, biorącym udział w postępowaniu i publikując je na stronie internetowej.</w:t>
      </w:r>
    </w:p>
    <w:p w14:paraId="6F87D218" w14:textId="77777777" w:rsidR="00F21AD7" w:rsidRPr="00BC10E6" w:rsidRDefault="00F21AD7" w:rsidP="00F21AD7">
      <w:pPr>
        <w:spacing w:after="0" w:line="240" w:lineRule="auto"/>
        <w:jc w:val="both"/>
        <w:rPr>
          <w:rFonts w:ascii="Arial" w:hAnsi="Arial" w:cs="Arial"/>
          <w:b/>
          <w:bCs/>
        </w:rPr>
      </w:pPr>
    </w:p>
    <w:p w14:paraId="4893DB47" w14:textId="77777777" w:rsidR="00F21AD7" w:rsidRPr="00BC10E6" w:rsidRDefault="00F21AD7" w:rsidP="00F21AD7">
      <w:pPr>
        <w:spacing w:after="0" w:line="240" w:lineRule="auto"/>
        <w:jc w:val="both"/>
        <w:rPr>
          <w:rFonts w:ascii="Arial" w:hAnsi="Arial" w:cs="Arial"/>
        </w:rPr>
      </w:pP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p>
    <w:p w14:paraId="57DB8265" w14:textId="77777777" w:rsidR="00F21AD7" w:rsidRPr="00BC10E6" w:rsidRDefault="00F21AD7" w:rsidP="00F21AD7">
      <w:pPr>
        <w:spacing w:after="0" w:line="240" w:lineRule="auto"/>
        <w:jc w:val="both"/>
        <w:rPr>
          <w:rFonts w:ascii="Arial" w:hAnsi="Arial" w:cs="Arial"/>
          <w:color w:val="2E74B5" w:themeColor="accent5" w:themeShade="BF"/>
        </w:rPr>
      </w:pPr>
    </w:p>
    <w:p w14:paraId="5609EC22" w14:textId="36D69E5E" w:rsidR="001E67A8" w:rsidRPr="001E67A8" w:rsidRDefault="00E74D21" w:rsidP="00F21AD7">
      <w:pPr>
        <w:spacing w:after="0" w:line="240" w:lineRule="auto"/>
        <w:jc w:val="both"/>
        <w:rPr>
          <w:rFonts w:ascii="Arial" w:hAnsi="Arial" w:cs="Arial"/>
          <w:b/>
          <w:bCs/>
          <w:u w:val="single"/>
        </w:rPr>
      </w:pPr>
      <w:r>
        <w:rPr>
          <w:rFonts w:ascii="Arial" w:hAnsi="Arial" w:cs="Arial"/>
          <w:b/>
          <w:bCs/>
          <w:u w:val="single"/>
        </w:rPr>
        <w:t xml:space="preserve">Pytania </w:t>
      </w:r>
    </w:p>
    <w:p w14:paraId="1B265268" w14:textId="667F4576" w:rsidR="00F21AD7" w:rsidRDefault="00F21AD7" w:rsidP="00E74D21">
      <w:pPr>
        <w:pStyle w:val="Akapitzlist"/>
        <w:numPr>
          <w:ilvl w:val="0"/>
          <w:numId w:val="2"/>
        </w:numPr>
        <w:jc w:val="both"/>
        <w:rPr>
          <w:rFonts w:ascii="Arial" w:hAnsi="Arial" w:cs="Arial"/>
        </w:rPr>
      </w:pPr>
      <w:r w:rsidRPr="00E74D21">
        <w:rPr>
          <w:rFonts w:ascii="Arial" w:hAnsi="Arial" w:cs="Arial"/>
        </w:rPr>
        <w:t>W związku z bardzo istotnymi zmianami zapisów SWZ z dnia 13.03.2023 m.in. w</w:t>
      </w:r>
      <w:r w:rsidR="003C5F8F">
        <w:rPr>
          <w:rFonts w:ascii="Arial" w:hAnsi="Arial" w:cs="Arial"/>
        </w:rPr>
        <w:t> </w:t>
      </w:r>
      <w:r w:rsidRPr="00E74D21">
        <w:rPr>
          <w:rFonts w:ascii="Arial" w:hAnsi="Arial" w:cs="Arial"/>
        </w:rPr>
        <w:t>kwestii płatności wynagrodzenia zwracamy się z prośbą o wydłużenie terminu na składanie ofert do dnia 21.04.2023r. Wprowadzone zmiany w sposobie płatności wynagrodzenia dla Wykonawcy wymuszają konieczność przygotowania od początku szczegółowych analiz finansowych. Wykonawcy przy tak niekorzystnym sposobie finansowania zmuszeni są rozważyć kredytowanie inwestycji. Instytucje finansowe wymagają przygotowania dosyć szczegółowych materiałów oraz potrzebują czasu na analizę i udzielenie odpowiedzi co do możliwości i kosztu zapewnienia finansowania. Pod względem finansowym przetarg jest bardzo trudny i niekorzystny dla potencjalnych Wykonawców i wymaga odpowiedzialnych kroków w celu podjęcia ostatecznej decyzji. W związku z powyższym wydłużenie czasu na przygotowanie oferty jest dla Wykonawcy sprawą kluczową dla przygotowania oferty.</w:t>
      </w:r>
    </w:p>
    <w:p w14:paraId="1AFB0792" w14:textId="6DFAD5B6" w:rsidR="00E74D21" w:rsidRPr="00E74D21" w:rsidRDefault="00E74D21" w:rsidP="00E74D21">
      <w:pPr>
        <w:pStyle w:val="Akapitzlist"/>
        <w:numPr>
          <w:ilvl w:val="0"/>
          <w:numId w:val="2"/>
        </w:numPr>
        <w:jc w:val="both"/>
        <w:rPr>
          <w:rFonts w:ascii="Arial" w:hAnsi="Arial" w:cs="Arial"/>
        </w:rPr>
      </w:pPr>
      <w:r>
        <w:rPr>
          <w:rFonts w:ascii="Arial" w:hAnsi="Arial" w:cs="Arial"/>
        </w:rPr>
        <w:t>W</w:t>
      </w:r>
      <w:r w:rsidRPr="00E74D21">
        <w:rPr>
          <w:rFonts w:ascii="Arial" w:hAnsi="Arial" w:cs="Arial"/>
        </w:rPr>
        <w:t xml:space="preserve"> związku z zamieram udziału w postępowaniu zwracamy się z prośbą o przesunięcie terminu na złożenie ofert do dnia 31 kwietnia 2023 r.</w:t>
      </w:r>
    </w:p>
    <w:p w14:paraId="2B5E3612" w14:textId="49C8D64B" w:rsidR="00E74D21" w:rsidRPr="00E74D21" w:rsidRDefault="00E74D21" w:rsidP="00E74D21">
      <w:pPr>
        <w:pStyle w:val="Akapitzlist"/>
        <w:jc w:val="both"/>
        <w:rPr>
          <w:rFonts w:ascii="Arial" w:hAnsi="Arial" w:cs="Arial"/>
        </w:rPr>
      </w:pPr>
      <w:r w:rsidRPr="00E74D21">
        <w:rPr>
          <w:rFonts w:ascii="Arial" w:hAnsi="Arial" w:cs="Arial"/>
        </w:rPr>
        <w:t>Prośbę swą uzasadniamy tym, iż do oferty należy złączyć między innymi wstępną koncepcję która wymaga, pozyskania ofert, schematów, obliczeń, od dostawców i</w:t>
      </w:r>
      <w:r w:rsidR="003C5F8F">
        <w:rPr>
          <w:rFonts w:ascii="Arial" w:hAnsi="Arial" w:cs="Arial"/>
        </w:rPr>
        <w:t> </w:t>
      </w:r>
      <w:r w:rsidRPr="00E74D21">
        <w:rPr>
          <w:rFonts w:ascii="Arial" w:hAnsi="Arial" w:cs="Arial"/>
        </w:rPr>
        <w:t>podwykonawców, szczegółowej analizy parametrów technologicznych.</w:t>
      </w:r>
    </w:p>
    <w:p w14:paraId="662800B9" w14:textId="584D15B2" w:rsidR="00E74D21" w:rsidRPr="00E74D21" w:rsidRDefault="00E74D21" w:rsidP="00E74D21">
      <w:pPr>
        <w:pStyle w:val="Akapitzlist"/>
        <w:jc w:val="both"/>
        <w:rPr>
          <w:rFonts w:ascii="Arial" w:hAnsi="Arial" w:cs="Arial"/>
        </w:rPr>
      </w:pPr>
      <w:r w:rsidRPr="00E74D21">
        <w:rPr>
          <w:rFonts w:ascii="Arial" w:hAnsi="Arial" w:cs="Arial"/>
        </w:rPr>
        <w:t>Ze względu na złożoność tematu prosimy o przychylność z Państwa strony.</w:t>
      </w:r>
    </w:p>
    <w:p w14:paraId="37DA6935" w14:textId="77777777" w:rsidR="001E67A8" w:rsidRDefault="001E67A8" w:rsidP="00F21AD7">
      <w:pPr>
        <w:spacing w:after="0" w:line="240" w:lineRule="auto"/>
        <w:jc w:val="both"/>
        <w:rPr>
          <w:rFonts w:ascii="Arial" w:hAnsi="Arial" w:cs="Arial"/>
          <w:color w:val="FF0000"/>
        </w:rPr>
      </w:pPr>
    </w:p>
    <w:p w14:paraId="283420F8" w14:textId="73C72FEA" w:rsidR="00F21AD7" w:rsidRPr="001E67A8" w:rsidRDefault="00F21AD7" w:rsidP="00F21AD7">
      <w:pPr>
        <w:spacing w:after="0" w:line="240" w:lineRule="auto"/>
        <w:jc w:val="both"/>
        <w:rPr>
          <w:rFonts w:ascii="Arial" w:hAnsi="Arial" w:cs="Arial"/>
          <w:b/>
          <w:bCs/>
          <w:color w:val="2E74B5" w:themeColor="accent5" w:themeShade="BF"/>
          <w:u w:val="single"/>
        </w:rPr>
      </w:pPr>
      <w:r w:rsidRPr="001E67A8">
        <w:rPr>
          <w:rFonts w:ascii="Arial" w:hAnsi="Arial" w:cs="Arial"/>
          <w:b/>
          <w:bCs/>
          <w:color w:val="2E74B5" w:themeColor="accent5" w:themeShade="BF"/>
          <w:u w:val="single"/>
        </w:rPr>
        <w:t>Odp</w:t>
      </w:r>
      <w:r w:rsidR="001E67A8" w:rsidRPr="001E67A8">
        <w:rPr>
          <w:rFonts w:ascii="Arial" w:hAnsi="Arial" w:cs="Arial"/>
          <w:b/>
          <w:bCs/>
          <w:color w:val="2E74B5" w:themeColor="accent5" w:themeShade="BF"/>
          <w:u w:val="single"/>
        </w:rPr>
        <w:t>owiedź</w:t>
      </w:r>
      <w:r w:rsidRPr="001E67A8">
        <w:rPr>
          <w:rFonts w:ascii="Arial" w:hAnsi="Arial" w:cs="Arial"/>
          <w:b/>
          <w:bCs/>
          <w:color w:val="2E74B5" w:themeColor="accent5" w:themeShade="BF"/>
          <w:u w:val="single"/>
        </w:rPr>
        <w:t>.:</w:t>
      </w:r>
      <w:r w:rsidRPr="001E67A8">
        <w:rPr>
          <w:rFonts w:ascii="Arial" w:hAnsi="Arial" w:cs="Arial"/>
          <w:b/>
          <w:bCs/>
          <w:color w:val="FF0000"/>
          <w:u w:val="single"/>
        </w:rPr>
        <w:t xml:space="preserve">  </w:t>
      </w:r>
    </w:p>
    <w:p w14:paraId="7DADE5F4" w14:textId="43152D0C" w:rsidR="00F21AD7" w:rsidRDefault="001E67A8" w:rsidP="00F21AD7">
      <w:pPr>
        <w:pStyle w:val="Tekstpodstawowy31"/>
        <w:spacing w:after="0"/>
        <w:jc w:val="both"/>
        <w:rPr>
          <w:rFonts w:ascii="Arial" w:hAnsi="Arial" w:cs="Arial"/>
          <w:color w:val="2E74B5" w:themeColor="accent5" w:themeShade="BF"/>
          <w:sz w:val="22"/>
          <w:szCs w:val="22"/>
          <w:lang w:val="pl-PL"/>
        </w:rPr>
      </w:pPr>
      <w:r w:rsidRPr="001E67A8">
        <w:rPr>
          <w:rFonts w:ascii="Arial" w:hAnsi="Arial" w:cs="Arial"/>
          <w:color w:val="2E74B5" w:themeColor="accent5" w:themeShade="BF"/>
          <w:sz w:val="22"/>
          <w:szCs w:val="22"/>
          <w:lang w:val="pl-PL"/>
        </w:rPr>
        <w:t>Zamawiający przedłuż</w:t>
      </w:r>
      <w:r w:rsidR="00E74D21">
        <w:rPr>
          <w:rFonts w:ascii="Arial" w:hAnsi="Arial" w:cs="Arial"/>
          <w:color w:val="2E74B5" w:themeColor="accent5" w:themeShade="BF"/>
          <w:sz w:val="22"/>
          <w:szCs w:val="22"/>
          <w:lang w:val="pl-PL"/>
        </w:rPr>
        <w:t>a</w:t>
      </w:r>
      <w:r w:rsidRPr="001E67A8">
        <w:rPr>
          <w:rFonts w:ascii="Arial" w:hAnsi="Arial" w:cs="Arial"/>
          <w:color w:val="2E74B5" w:themeColor="accent5" w:themeShade="BF"/>
          <w:sz w:val="22"/>
          <w:szCs w:val="22"/>
          <w:lang w:val="pl-PL"/>
        </w:rPr>
        <w:t xml:space="preserve"> termin składania </w:t>
      </w:r>
      <w:r w:rsidR="00E74D21">
        <w:rPr>
          <w:rFonts w:ascii="Arial" w:hAnsi="Arial" w:cs="Arial"/>
          <w:color w:val="2E74B5" w:themeColor="accent5" w:themeShade="BF"/>
          <w:sz w:val="22"/>
          <w:szCs w:val="22"/>
          <w:lang w:val="pl-PL"/>
        </w:rPr>
        <w:t xml:space="preserve">i otwarcia </w:t>
      </w:r>
      <w:r w:rsidRPr="001E67A8">
        <w:rPr>
          <w:rFonts w:ascii="Arial" w:hAnsi="Arial" w:cs="Arial"/>
          <w:color w:val="2E74B5" w:themeColor="accent5" w:themeShade="BF"/>
          <w:sz w:val="22"/>
          <w:szCs w:val="22"/>
          <w:lang w:val="pl-PL"/>
        </w:rPr>
        <w:t>ofert do dnia 24.04.2023</w:t>
      </w:r>
      <w:r w:rsidR="00E74D21">
        <w:rPr>
          <w:rFonts w:ascii="Arial" w:hAnsi="Arial" w:cs="Arial"/>
          <w:color w:val="2E74B5" w:themeColor="accent5" w:themeShade="BF"/>
          <w:sz w:val="22"/>
          <w:szCs w:val="22"/>
          <w:lang w:val="pl-PL"/>
        </w:rPr>
        <w:t xml:space="preserve"> r. – godziny pozostają bez zmian. </w:t>
      </w:r>
    </w:p>
    <w:p w14:paraId="1E6E0E69" w14:textId="786FCC41" w:rsidR="00E74D21" w:rsidRPr="001E67A8" w:rsidRDefault="00E74D21" w:rsidP="00F21AD7">
      <w:pPr>
        <w:pStyle w:val="Tekstpodstawowy31"/>
        <w:spacing w:after="0"/>
        <w:jc w:val="both"/>
        <w:rPr>
          <w:rFonts w:ascii="Arial" w:hAnsi="Arial" w:cs="Arial"/>
          <w:color w:val="2E74B5" w:themeColor="accent5" w:themeShade="BF"/>
          <w:sz w:val="22"/>
          <w:szCs w:val="22"/>
          <w:lang w:val="pl-PL"/>
        </w:rPr>
      </w:pPr>
      <w:r>
        <w:rPr>
          <w:rFonts w:ascii="Arial" w:hAnsi="Arial" w:cs="Arial"/>
          <w:color w:val="2E74B5" w:themeColor="accent5" w:themeShade="BF"/>
          <w:sz w:val="22"/>
          <w:szCs w:val="22"/>
          <w:lang w:val="pl-PL"/>
        </w:rPr>
        <w:t xml:space="preserve">Jednocześnie Zamawiający wydłuża termin związania ofertą do 22.07.2023 r. </w:t>
      </w:r>
    </w:p>
    <w:p w14:paraId="135BBCC0" w14:textId="77777777" w:rsidR="00F21AD7" w:rsidRPr="00BC10E6" w:rsidRDefault="00F21AD7" w:rsidP="00F21AD7">
      <w:pPr>
        <w:spacing w:after="0" w:line="240" w:lineRule="auto"/>
        <w:jc w:val="both"/>
        <w:rPr>
          <w:rFonts w:ascii="Arial" w:hAnsi="Arial" w:cs="Arial"/>
        </w:rPr>
      </w:pPr>
    </w:p>
    <w:p w14:paraId="4164D603" w14:textId="77777777" w:rsidR="00F21AD7" w:rsidRPr="00BC10E6" w:rsidRDefault="00F21AD7" w:rsidP="00F21AD7">
      <w:pPr>
        <w:spacing w:after="0" w:line="240" w:lineRule="auto"/>
        <w:jc w:val="both"/>
        <w:rPr>
          <w:rFonts w:ascii="Arial" w:hAnsi="Arial" w:cs="Arial"/>
        </w:rPr>
      </w:pPr>
    </w:p>
    <w:p w14:paraId="5472F6C6" w14:textId="77777777" w:rsidR="00F21AD7" w:rsidRPr="00BC10E6" w:rsidRDefault="00F21AD7" w:rsidP="00F21AD7">
      <w:pPr>
        <w:pStyle w:val="Akapitzlist"/>
        <w:ind w:left="284"/>
        <w:jc w:val="both"/>
        <w:rPr>
          <w:rFonts w:ascii="Arial" w:hAnsi="Arial" w:cs="Arial"/>
        </w:rPr>
      </w:pPr>
    </w:p>
    <w:p w14:paraId="5971E0EC" w14:textId="77777777" w:rsidR="00F21AD7" w:rsidRPr="00BC10E6" w:rsidRDefault="00F21AD7" w:rsidP="00F21AD7">
      <w:pPr>
        <w:pStyle w:val="Akapitzlist"/>
        <w:ind w:left="284"/>
        <w:jc w:val="both"/>
        <w:rPr>
          <w:rFonts w:ascii="Arial" w:hAnsi="Arial" w:cs="Arial"/>
        </w:rPr>
      </w:pPr>
    </w:p>
    <w:p w14:paraId="00CE9328" w14:textId="77777777" w:rsidR="00F21AD7" w:rsidRPr="00BC10E6" w:rsidRDefault="00F21AD7" w:rsidP="00F21AD7">
      <w:pPr>
        <w:pStyle w:val="Akapitzlist"/>
        <w:ind w:left="284"/>
        <w:jc w:val="both"/>
        <w:rPr>
          <w:rFonts w:ascii="Arial" w:hAnsi="Arial" w:cs="Arial"/>
        </w:rPr>
      </w:pPr>
      <w:r w:rsidRPr="00BC10E6">
        <w:rPr>
          <w:rFonts w:ascii="Arial" w:hAnsi="Arial" w:cs="Arial"/>
        </w:rPr>
        <w:t xml:space="preserve"> </w:t>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t xml:space="preserve"> </w:t>
      </w:r>
    </w:p>
    <w:p w14:paraId="0FF01BB5" w14:textId="77777777" w:rsidR="00F21AD7" w:rsidRPr="00BC10E6" w:rsidRDefault="00F21AD7" w:rsidP="00F21AD7">
      <w:pPr>
        <w:pStyle w:val="Akapitzlist"/>
        <w:ind w:left="284"/>
        <w:jc w:val="both"/>
        <w:rPr>
          <w:rFonts w:ascii="Arial" w:hAnsi="Arial" w:cs="Arial"/>
          <w:lang w:val="en-US"/>
        </w:rPr>
      </w:pPr>
      <w:r w:rsidRPr="00BC10E6">
        <w:rPr>
          <w:rFonts w:ascii="Arial" w:hAnsi="Arial" w:cs="Arial"/>
        </w:rPr>
        <w:t xml:space="preserve">                                                                           </w:t>
      </w:r>
    </w:p>
    <w:p w14:paraId="0963AEBF" w14:textId="77777777" w:rsidR="00F21AD7" w:rsidRPr="00BC10E6" w:rsidRDefault="00F21AD7" w:rsidP="00F21AD7">
      <w:pPr>
        <w:spacing w:after="0" w:line="240" w:lineRule="auto"/>
        <w:contextualSpacing/>
        <w:jc w:val="both"/>
        <w:rPr>
          <w:rFonts w:ascii="Arial" w:hAnsi="Arial" w:cs="Arial"/>
          <w:color w:val="2E74B5" w:themeColor="accent5" w:themeShade="BF"/>
        </w:rPr>
      </w:pPr>
    </w:p>
    <w:p w14:paraId="50339902" w14:textId="77777777" w:rsidR="00F21AD7" w:rsidRPr="00BC10E6" w:rsidRDefault="00F21AD7" w:rsidP="00F21AD7">
      <w:pPr>
        <w:pStyle w:val="Tekstpodstawowy"/>
        <w:tabs>
          <w:tab w:val="left" w:pos="993"/>
        </w:tabs>
        <w:spacing w:after="0" w:line="240" w:lineRule="auto"/>
        <w:jc w:val="both"/>
        <w:rPr>
          <w:rFonts w:ascii="Arial" w:hAnsi="Arial" w:cs="Arial"/>
          <w:b/>
          <w:bCs/>
        </w:rPr>
      </w:pPr>
      <w:r w:rsidRPr="00BC10E6">
        <w:rPr>
          <w:rFonts w:ascii="Arial" w:hAnsi="Arial" w:cs="Arial"/>
          <w:color w:val="2E74B5" w:themeColor="accent5" w:themeShade="BF"/>
        </w:rPr>
        <w:br/>
      </w:r>
    </w:p>
    <w:p w14:paraId="23BB32D7" w14:textId="48B6A2F0" w:rsidR="00F72092" w:rsidRDefault="00F72092" w:rsidP="00F72092">
      <w:pPr>
        <w:jc w:val="center"/>
        <w:rPr>
          <w:rFonts w:ascii="Arial" w:hAnsi="Arial" w:cs="Arial"/>
          <w:b/>
        </w:rPr>
      </w:pPr>
      <w:r w:rsidRPr="00F72092">
        <w:rPr>
          <w:rFonts w:ascii="Arial" w:hAnsi="Arial" w:cs="Arial"/>
          <w:b/>
        </w:rPr>
        <w:t>ZMIANA</w:t>
      </w:r>
    </w:p>
    <w:p w14:paraId="21959AEB" w14:textId="5864DDB6" w:rsidR="003C5F8F" w:rsidRDefault="007C6B3C" w:rsidP="007C6B3C">
      <w:pPr>
        <w:jc w:val="both"/>
        <w:rPr>
          <w:rFonts w:ascii="Arial" w:hAnsi="Arial" w:cs="Arial"/>
        </w:rPr>
      </w:pPr>
      <w:r>
        <w:rPr>
          <w:rFonts w:ascii="Arial" w:hAnsi="Arial" w:cs="Arial"/>
        </w:rPr>
        <w:t xml:space="preserve">Zamawiający </w:t>
      </w:r>
      <w:r w:rsidR="00157654">
        <w:rPr>
          <w:rFonts w:ascii="Arial" w:hAnsi="Arial" w:cs="Arial"/>
        </w:rPr>
        <w:t>zmienia sekcję VI.3. ogłoszenia i nadaje im brzmienie:</w:t>
      </w:r>
    </w:p>
    <w:p w14:paraId="6156807D" w14:textId="77777777" w:rsidR="00157654" w:rsidRPr="00157654" w:rsidRDefault="00157654" w:rsidP="00157654">
      <w:pPr>
        <w:jc w:val="both"/>
        <w:rPr>
          <w:rFonts w:ascii="Arial" w:hAnsi="Arial" w:cs="Arial"/>
        </w:rPr>
      </w:pPr>
      <w:r>
        <w:rPr>
          <w:rFonts w:ascii="Arial" w:hAnsi="Arial" w:cs="Arial"/>
        </w:rPr>
        <w:t>„</w:t>
      </w:r>
      <w:r w:rsidRPr="00157654">
        <w:rPr>
          <w:rFonts w:ascii="Arial" w:hAnsi="Arial" w:cs="Arial"/>
        </w:rPr>
        <w:t xml:space="preserve">1. Na podstawie art. 139 ust. 1 ustawy </w:t>
      </w:r>
      <w:proofErr w:type="spellStart"/>
      <w:r w:rsidRPr="00157654">
        <w:rPr>
          <w:rFonts w:ascii="Arial" w:hAnsi="Arial" w:cs="Arial"/>
        </w:rPr>
        <w:t>Pzp</w:t>
      </w:r>
      <w:proofErr w:type="spellEnd"/>
      <w:r w:rsidRPr="00157654">
        <w:rPr>
          <w:rFonts w:ascii="Arial" w:hAnsi="Arial" w:cs="Arial"/>
        </w:rPr>
        <w:t xml:space="preserve"> Zamawiający najpierw dokona badania i oceny ofert, a następnie dokona kwalifikacji podmiotowej wykonawcy.</w:t>
      </w:r>
    </w:p>
    <w:p w14:paraId="4E8C27AE" w14:textId="77777777" w:rsidR="00157654" w:rsidRPr="00157654" w:rsidRDefault="00157654" w:rsidP="00157654">
      <w:pPr>
        <w:jc w:val="both"/>
        <w:rPr>
          <w:rFonts w:ascii="Arial" w:hAnsi="Arial" w:cs="Arial"/>
        </w:rPr>
      </w:pPr>
      <w:r w:rsidRPr="00157654">
        <w:rPr>
          <w:rFonts w:ascii="Arial" w:hAnsi="Arial" w:cs="Arial"/>
        </w:rPr>
        <w:t>2. Wraz z ofertą wykonawca zobowiązany jest złożyć, w formie JEDZ, aktualne na dzień składania ofert oświadczenie o niepodleganiu wykluczeniu oraz spełnianiu warunków udziału w postępowaniu, w zakresie wskazanym w SWZ.</w:t>
      </w:r>
    </w:p>
    <w:p w14:paraId="71DB2A1B" w14:textId="77777777" w:rsidR="00157654" w:rsidRPr="00157654" w:rsidRDefault="00157654" w:rsidP="00157654">
      <w:pPr>
        <w:jc w:val="both"/>
        <w:rPr>
          <w:rFonts w:ascii="Arial" w:hAnsi="Arial" w:cs="Arial"/>
        </w:rPr>
      </w:pPr>
      <w:r w:rsidRPr="00157654">
        <w:rPr>
          <w:rFonts w:ascii="Arial" w:hAnsi="Arial" w:cs="Arial"/>
        </w:rPr>
        <w:t>3. Jeżeli wykonawca ma siedzibę lub miejsce zamieszkania poza terytorium Rzeczypospolitej Polskiej podmiotowe środki dowodowe składa w sposób wskazany w pkt IX pkt 3 SWZ.</w:t>
      </w:r>
    </w:p>
    <w:p w14:paraId="6FC27F8D" w14:textId="2EDB86FF" w:rsidR="00157654" w:rsidRPr="00157654" w:rsidRDefault="00157654" w:rsidP="00157654">
      <w:pPr>
        <w:jc w:val="both"/>
        <w:rPr>
          <w:rFonts w:ascii="Arial" w:hAnsi="Arial" w:cs="Arial"/>
        </w:rPr>
      </w:pPr>
      <w:r w:rsidRPr="00157654">
        <w:rPr>
          <w:rFonts w:ascii="Arial" w:hAnsi="Arial" w:cs="Arial"/>
        </w:rPr>
        <w:t>5. Informacje wymagane na podstawie art. 13 ust. 1 i 3 oraz informacje o ograniczeniach wynikające z ogólnego rozporządzenia o ochronie danych Parlamentu Europejskiego i Rady (UE) nr 2016/679 z dnia 27 kwietnia 2016 r. w sprawie ochrony osób fizycznych w związku z</w:t>
      </w:r>
      <w:r>
        <w:rPr>
          <w:rFonts w:ascii="Arial" w:hAnsi="Arial" w:cs="Arial"/>
        </w:rPr>
        <w:t> </w:t>
      </w:r>
      <w:r w:rsidRPr="00157654">
        <w:rPr>
          <w:rFonts w:ascii="Arial" w:hAnsi="Arial" w:cs="Arial"/>
        </w:rPr>
        <w:t>przetwarzaniem danych osobowych i w sprawie swobodnego</w:t>
      </w:r>
      <w:r>
        <w:rPr>
          <w:rFonts w:ascii="Arial" w:hAnsi="Arial" w:cs="Arial"/>
        </w:rPr>
        <w:t xml:space="preserve"> </w:t>
      </w:r>
      <w:r w:rsidRPr="00157654">
        <w:rPr>
          <w:rFonts w:ascii="Arial" w:hAnsi="Arial" w:cs="Arial"/>
        </w:rPr>
        <w:t>przepływu takich danych oraz uchylenia dyrektywy 95/46/WE (ogólne rozporządzenie o ochronie danych) zawarto w pkt. XXII SWZ.</w:t>
      </w:r>
    </w:p>
    <w:p w14:paraId="13A443FB" w14:textId="77777777" w:rsidR="00157654" w:rsidRPr="00157654" w:rsidRDefault="00157654" w:rsidP="00157654">
      <w:pPr>
        <w:jc w:val="both"/>
        <w:rPr>
          <w:rFonts w:ascii="Arial" w:hAnsi="Arial" w:cs="Arial"/>
        </w:rPr>
      </w:pPr>
      <w:r w:rsidRPr="00157654">
        <w:rPr>
          <w:rFonts w:ascii="Arial" w:hAnsi="Arial" w:cs="Arial"/>
        </w:rPr>
        <w:t>6. Oferta powinna zawierać:</w:t>
      </w:r>
    </w:p>
    <w:p w14:paraId="1FD0B30D" w14:textId="77777777" w:rsidR="00157654" w:rsidRPr="00157654" w:rsidRDefault="00157654" w:rsidP="00157654">
      <w:pPr>
        <w:jc w:val="both"/>
        <w:rPr>
          <w:rFonts w:ascii="Arial" w:hAnsi="Arial" w:cs="Arial"/>
        </w:rPr>
      </w:pPr>
      <w:r w:rsidRPr="00157654">
        <w:rPr>
          <w:rFonts w:ascii="Arial" w:hAnsi="Arial" w:cs="Arial"/>
        </w:rPr>
        <w:t xml:space="preserve">a) wstępną koncepcję technologiczną Stacji Uzdatniania Wody </w:t>
      </w:r>
      <w:proofErr w:type="spellStart"/>
      <w:r w:rsidRPr="00157654">
        <w:rPr>
          <w:rFonts w:ascii="Arial" w:hAnsi="Arial" w:cs="Arial"/>
        </w:rPr>
        <w:t>Wydrzany</w:t>
      </w:r>
      <w:proofErr w:type="spellEnd"/>
      <w:r w:rsidRPr="00157654">
        <w:rPr>
          <w:rFonts w:ascii="Arial" w:hAnsi="Arial" w:cs="Arial"/>
        </w:rPr>
        <w:t xml:space="preserve"> II, spełniającą kryteria określone w PFU i obejmującą co najmniej zakres zgodny z zał. nr 1 do SWZ,</w:t>
      </w:r>
    </w:p>
    <w:p w14:paraId="2471BC69" w14:textId="77777777" w:rsidR="00157654" w:rsidRPr="00157654" w:rsidRDefault="00157654" w:rsidP="00157654">
      <w:pPr>
        <w:jc w:val="both"/>
        <w:rPr>
          <w:rFonts w:ascii="Arial" w:hAnsi="Arial" w:cs="Arial"/>
        </w:rPr>
      </w:pPr>
      <w:r w:rsidRPr="00157654">
        <w:rPr>
          <w:rFonts w:ascii="Arial" w:hAnsi="Arial" w:cs="Arial"/>
        </w:rPr>
        <w:t>b) wypełniony w całości zał. nr 3 do SWZ - Sposób obliczenia Kosztu Cyklu Życia Stacji Uzdatniania Wody,</w:t>
      </w:r>
    </w:p>
    <w:p w14:paraId="3A55D4F2" w14:textId="77777777" w:rsidR="00157654" w:rsidRPr="00157654" w:rsidRDefault="00157654" w:rsidP="00157654">
      <w:pPr>
        <w:jc w:val="both"/>
        <w:rPr>
          <w:rFonts w:ascii="Arial" w:hAnsi="Arial" w:cs="Arial"/>
        </w:rPr>
      </w:pPr>
      <w:r w:rsidRPr="00157654">
        <w:rPr>
          <w:rFonts w:ascii="Arial" w:hAnsi="Arial" w:cs="Arial"/>
        </w:rPr>
        <w:t>c) wypełniony formularz ofertowy Wykonawcy - zał. nr 4 do SWZ;</w:t>
      </w:r>
    </w:p>
    <w:p w14:paraId="09D728BA" w14:textId="77777777" w:rsidR="00157654" w:rsidRPr="00157654" w:rsidRDefault="00157654" w:rsidP="00157654">
      <w:pPr>
        <w:jc w:val="both"/>
        <w:rPr>
          <w:rFonts w:ascii="Arial" w:hAnsi="Arial" w:cs="Arial"/>
        </w:rPr>
      </w:pPr>
      <w:r w:rsidRPr="00157654">
        <w:rPr>
          <w:rFonts w:ascii="Arial" w:hAnsi="Arial" w:cs="Arial"/>
        </w:rPr>
        <w:t>d) wypełniony w całości zał. nr 4.1 do SWZ - zestawienie kosztów budowy stacji uzdatniania wody w Świnoujściu z infrastrukturą towarzyszącą ( w kwocie łącznej odpowiadającej wartości oferty ),</w:t>
      </w:r>
    </w:p>
    <w:p w14:paraId="1E420EC3" w14:textId="0F5B2B72" w:rsidR="00157654" w:rsidRPr="00157654" w:rsidRDefault="00157654" w:rsidP="00157654">
      <w:pPr>
        <w:jc w:val="both"/>
        <w:rPr>
          <w:rFonts w:ascii="Arial" w:hAnsi="Arial" w:cs="Arial"/>
        </w:rPr>
      </w:pPr>
      <w:r w:rsidRPr="00157654">
        <w:rPr>
          <w:rFonts w:ascii="Arial" w:hAnsi="Arial" w:cs="Arial"/>
        </w:rPr>
        <w:t>e) oświadczenia o niepodleganiu wykluczeniu z postępowania oraz spełnianiu warunków udziału w postępowaniu (JEDZ); w przypadku Wykonawców wspólnie ubiegających się o</w:t>
      </w:r>
      <w:r w:rsidR="00063146">
        <w:rPr>
          <w:rFonts w:ascii="Arial" w:hAnsi="Arial" w:cs="Arial"/>
        </w:rPr>
        <w:t> </w:t>
      </w:r>
      <w:r w:rsidRPr="00157654">
        <w:rPr>
          <w:rFonts w:ascii="Arial" w:hAnsi="Arial" w:cs="Arial"/>
        </w:rPr>
        <w:t>zamówienie ww. oświadczenie składa każdy z nich;</w:t>
      </w:r>
    </w:p>
    <w:p w14:paraId="673D023D" w14:textId="21A44C11" w:rsidR="00157654" w:rsidRPr="00157654" w:rsidRDefault="00157654" w:rsidP="00157654">
      <w:pPr>
        <w:jc w:val="both"/>
        <w:rPr>
          <w:rFonts w:ascii="Arial" w:hAnsi="Arial" w:cs="Arial"/>
        </w:rPr>
      </w:pPr>
      <w:r w:rsidRPr="00157654">
        <w:rPr>
          <w:rFonts w:ascii="Arial" w:hAnsi="Arial" w:cs="Arial"/>
        </w:rPr>
        <w:t>f) zobowiązanie podmiotów trzecich, na których zasoby powołuje się Wykonawca (zał.nr 10 do SWZ) wraz z oświadczeniem podmiotu udostępniającego o niepodleganiu wykluczeniu z</w:t>
      </w:r>
      <w:r w:rsidR="00063146">
        <w:rPr>
          <w:rFonts w:ascii="Arial" w:hAnsi="Arial" w:cs="Arial"/>
        </w:rPr>
        <w:t> </w:t>
      </w:r>
      <w:r w:rsidRPr="00157654">
        <w:rPr>
          <w:rFonts w:ascii="Arial" w:hAnsi="Arial" w:cs="Arial"/>
        </w:rPr>
        <w:t>postępowania oraz spełnianiu warunków udziału w postępowaniu (JEDZ);</w:t>
      </w:r>
    </w:p>
    <w:p w14:paraId="2A8BCF3B" w14:textId="19DEAD84" w:rsidR="00157654" w:rsidRPr="00157654" w:rsidRDefault="00157654" w:rsidP="00157654">
      <w:pPr>
        <w:jc w:val="both"/>
        <w:rPr>
          <w:rFonts w:ascii="Arial" w:hAnsi="Arial" w:cs="Arial"/>
        </w:rPr>
      </w:pPr>
      <w:r w:rsidRPr="00157654">
        <w:rPr>
          <w:rFonts w:ascii="Arial" w:hAnsi="Arial" w:cs="Arial"/>
        </w:rPr>
        <w:t>g) Wykonawca dołącza do oferty oświadczenie o niepodleganiu wykluczeniu na podstawie art. 7 ust. 1 Ustawy o szczególnych rozwiązaniach w zakresie przeciwdziałania wspieraniu agresji na Ukrainę oraz służących ochronie bezpieczeństwa narodowego i art. 5k Rozporządzenia Rady (UE) nr 833/2014 z dnia 31 lipca 2014 r. dotyczącego środków ograniczających w</w:t>
      </w:r>
      <w:r w:rsidR="00063146">
        <w:rPr>
          <w:rFonts w:ascii="Arial" w:hAnsi="Arial" w:cs="Arial"/>
        </w:rPr>
        <w:t> </w:t>
      </w:r>
      <w:r w:rsidRPr="00157654">
        <w:rPr>
          <w:rFonts w:ascii="Arial" w:hAnsi="Arial" w:cs="Arial"/>
        </w:rPr>
        <w:t>związku z działaniami Rosji destabilizującymi sytuację na Ukrainie (Dz. Urz. UE nr L 229 z</w:t>
      </w:r>
      <w:r w:rsidR="00063146">
        <w:rPr>
          <w:rFonts w:ascii="Arial" w:hAnsi="Arial" w:cs="Arial"/>
        </w:rPr>
        <w:t> </w:t>
      </w:r>
      <w:r w:rsidRPr="00157654">
        <w:rPr>
          <w:rFonts w:ascii="Arial" w:hAnsi="Arial" w:cs="Arial"/>
        </w:rPr>
        <w:t xml:space="preserve"> 31.7.2014, str. 1).</w:t>
      </w:r>
    </w:p>
    <w:p w14:paraId="5099C195" w14:textId="77777777" w:rsidR="00157654" w:rsidRPr="00157654" w:rsidRDefault="00157654" w:rsidP="00157654">
      <w:pPr>
        <w:jc w:val="both"/>
        <w:rPr>
          <w:rFonts w:ascii="Arial" w:hAnsi="Arial" w:cs="Arial"/>
        </w:rPr>
      </w:pPr>
      <w:r w:rsidRPr="00157654">
        <w:rPr>
          <w:rFonts w:ascii="Arial" w:hAnsi="Arial" w:cs="Arial"/>
        </w:rPr>
        <w:t>Oświadczenia składane są pod rygorem nieważności w formie elektronicznej. Oświadczenia składają odrębnie:</w:t>
      </w:r>
    </w:p>
    <w:p w14:paraId="35A43EFB" w14:textId="24D4C091" w:rsidR="00157654" w:rsidRPr="00157654" w:rsidRDefault="00157654" w:rsidP="00157654">
      <w:pPr>
        <w:jc w:val="both"/>
        <w:rPr>
          <w:rFonts w:ascii="Arial" w:hAnsi="Arial" w:cs="Arial"/>
        </w:rPr>
      </w:pPr>
      <w:r w:rsidRPr="00157654">
        <w:rPr>
          <w:rFonts w:ascii="Arial" w:hAnsi="Arial" w:cs="Arial"/>
        </w:rPr>
        <w:t>- Wykonawca/każdy spośród Wykonawców wspólnie ubiegających się o udzielenie zamówienia. W takim przypadku oświadczenie potwierdza brak podstaw wykluczenia Wykonawcy oraz spełnianie warunków udziału w postępowaniu w zakresie, w jakim każdy z</w:t>
      </w:r>
      <w:r>
        <w:rPr>
          <w:rFonts w:ascii="Arial" w:hAnsi="Arial" w:cs="Arial"/>
        </w:rPr>
        <w:t> </w:t>
      </w:r>
      <w:r w:rsidRPr="00157654">
        <w:rPr>
          <w:rFonts w:ascii="Arial" w:hAnsi="Arial" w:cs="Arial"/>
        </w:rPr>
        <w:t>Wykonawców wykazuje spełnianie warunków udziału w postępowaniu;</w:t>
      </w:r>
    </w:p>
    <w:p w14:paraId="7910F274" w14:textId="06300CC3" w:rsidR="00157654" w:rsidRPr="00157654" w:rsidRDefault="00157654" w:rsidP="00157654">
      <w:pPr>
        <w:jc w:val="both"/>
        <w:rPr>
          <w:rFonts w:ascii="Arial" w:hAnsi="Arial" w:cs="Arial"/>
        </w:rPr>
      </w:pPr>
      <w:r w:rsidRPr="00157654">
        <w:rPr>
          <w:rFonts w:ascii="Arial" w:hAnsi="Arial" w:cs="Arial"/>
        </w:rPr>
        <w:t>- podmiot trzeci, na którego potencjał powołuje się Wykonawca celem potwierdzenia spełnienia warunków udziału w postępowaniu. W takim przypadku oświadczenie potwierdza brak podstaw wykluczenia podmiotu oraz spełnianie warunków udziału w postępowaniu w</w:t>
      </w:r>
      <w:r>
        <w:rPr>
          <w:rFonts w:ascii="Arial" w:hAnsi="Arial" w:cs="Arial"/>
        </w:rPr>
        <w:t> </w:t>
      </w:r>
      <w:r w:rsidRPr="00157654">
        <w:rPr>
          <w:rFonts w:ascii="Arial" w:hAnsi="Arial" w:cs="Arial"/>
        </w:rPr>
        <w:t>zakresie, w jakim podmiot udostępnia swoje zasoby Wykonawcy;</w:t>
      </w:r>
    </w:p>
    <w:p w14:paraId="1A325317" w14:textId="77777777" w:rsidR="00157654" w:rsidRPr="00157654" w:rsidRDefault="00157654" w:rsidP="00157654">
      <w:pPr>
        <w:jc w:val="both"/>
        <w:rPr>
          <w:rFonts w:ascii="Arial" w:hAnsi="Arial" w:cs="Arial"/>
        </w:rPr>
      </w:pPr>
      <w:r w:rsidRPr="00157654">
        <w:rPr>
          <w:rFonts w:ascii="Arial" w:hAnsi="Arial" w:cs="Arial"/>
        </w:rPr>
        <w:t xml:space="preserve">- Podwykonawcy, w przypadkach wskazanych w art. 462 ust. 2 i ust. 3 oraz 4 pkt 1 </w:t>
      </w:r>
      <w:proofErr w:type="spellStart"/>
      <w:r w:rsidRPr="00157654">
        <w:rPr>
          <w:rFonts w:ascii="Arial" w:hAnsi="Arial" w:cs="Arial"/>
        </w:rPr>
        <w:t>Pzp</w:t>
      </w:r>
      <w:proofErr w:type="spellEnd"/>
      <w:r w:rsidRPr="00157654">
        <w:rPr>
          <w:rFonts w:ascii="Arial" w:hAnsi="Arial" w:cs="Arial"/>
        </w:rPr>
        <w:t>, jeżeli są znani Wykonawcy.</w:t>
      </w:r>
    </w:p>
    <w:p w14:paraId="17AA5214" w14:textId="77777777" w:rsidR="00157654" w:rsidRPr="00157654" w:rsidRDefault="00157654" w:rsidP="00157654">
      <w:pPr>
        <w:jc w:val="both"/>
        <w:rPr>
          <w:rFonts w:ascii="Arial" w:hAnsi="Arial" w:cs="Arial"/>
        </w:rPr>
      </w:pPr>
      <w:r w:rsidRPr="00157654">
        <w:rPr>
          <w:rFonts w:ascii="Arial" w:hAnsi="Arial" w:cs="Arial"/>
        </w:rPr>
        <w:t>h) dokumenty potwierdzające umocowanie do reprezentacji Wykonawcy, w tym pełnomocnictwo ustanowione do reprezentowania Wykonawcy, także Wykonawców wspólnie ubiegających się o udzielenie zamówienia publicznego.</w:t>
      </w:r>
    </w:p>
    <w:p w14:paraId="309A71CD" w14:textId="57AFF3F9" w:rsidR="00157654" w:rsidRPr="007C6B3C" w:rsidRDefault="00157654" w:rsidP="00157654">
      <w:pPr>
        <w:jc w:val="both"/>
        <w:rPr>
          <w:rFonts w:ascii="Arial" w:hAnsi="Arial" w:cs="Arial"/>
        </w:rPr>
      </w:pPr>
      <w:r w:rsidRPr="00157654">
        <w:rPr>
          <w:rFonts w:ascii="Arial" w:hAnsi="Arial" w:cs="Arial"/>
        </w:rPr>
        <w:t xml:space="preserve">i) dokument potwierdzający wniesienie wadium - w przypadku, gdy wadium wnoszone jest w </w:t>
      </w:r>
      <w:r w:rsidR="00063146">
        <w:rPr>
          <w:rFonts w:ascii="Arial" w:hAnsi="Arial" w:cs="Arial"/>
        </w:rPr>
        <w:t> i</w:t>
      </w:r>
      <w:r w:rsidRPr="00157654">
        <w:rPr>
          <w:rFonts w:ascii="Arial" w:hAnsi="Arial" w:cs="Arial"/>
        </w:rPr>
        <w:t>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r>
        <w:rPr>
          <w:rFonts w:ascii="Arial" w:hAnsi="Arial" w:cs="Arial"/>
        </w:rPr>
        <w:t>”.</w:t>
      </w:r>
    </w:p>
    <w:p w14:paraId="6D940FF4" w14:textId="48680189" w:rsidR="003C5F8F" w:rsidRDefault="003C5F8F" w:rsidP="00063146">
      <w:pPr>
        <w:rPr>
          <w:rFonts w:ascii="Arial" w:hAnsi="Arial" w:cs="Arial"/>
          <w:b/>
        </w:rPr>
      </w:pPr>
      <w:bookmarkStart w:id="0" w:name="_GoBack"/>
      <w:bookmarkEnd w:id="0"/>
    </w:p>
    <w:p w14:paraId="694559CA" w14:textId="77777777" w:rsidR="003C5F8F" w:rsidRPr="00BC10E6" w:rsidRDefault="003C5F8F" w:rsidP="003C5F8F">
      <w:pPr>
        <w:pStyle w:val="Tekstpodstawowy"/>
        <w:tabs>
          <w:tab w:val="left" w:pos="993"/>
        </w:tabs>
        <w:spacing w:after="0" w:line="240" w:lineRule="auto"/>
        <w:jc w:val="both"/>
        <w:rPr>
          <w:rFonts w:ascii="Arial" w:hAnsi="Arial" w:cs="Arial"/>
          <w:b/>
          <w:bCs/>
        </w:rPr>
      </w:pPr>
      <w:r w:rsidRPr="00BC10E6">
        <w:rPr>
          <w:rFonts w:ascii="Arial" w:hAnsi="Arial" w:cs="Arial"/>
          <w:b/>
          <w:bCs/>
        </w:rPr>
        <w:t>Pozostałe zapisy SWZ pozostają bez zmian.</w:t>
      </w:r>
    </w:p>
    <w:p w14:paraId="24928156" w14:textId="77777777" w:rsidR="003C5F8F" w:rsidRPr="00BC10E6" w:rsidRDefault="003C5F8F" w:rsidP="003C5F8F">
      <w:pPr>
        <w:pStyle w:val="Tekstpodstawowy"/>
        <w:tabs>
          <w:tab w:val="left" w:pos="993"/>
        </w:tabs>
        <w:spacing w:after="0" w:line="240" w:lineRule="auto"/>
        <w:jc w:val="both"/>
        <w:rPr>
          <w:rFonts w:ascii="Arial" w:eastAsiaTheme="minorHAnsi" w:hAnsi="Arial" w:cs="Arial"/>
          <w:b/>
          <w:bCs/>
        </w:rPr>
      </w:pPr>
      <w:r w:rsidRPr="00BC10E6">
        <w:rPr>
          <w:rFonts w:ascii="Arial" w:hAnsi="Arial" w:cs="Arial"/>
          <w:b/>
          <w:bCs/>
        </w:rPr>
        <w:t>Przedmiotowe wyjaśnienia i zmiany:</w:t>
      </w:r>
    </w:p>
    <w:p w14:paraId="237889C0" w14:textId="77777777" w:rsidR="003C5F8F" w:rsidRPr="00BC10E6" w:rsidRDefault="003C5F8F" w:rsidP="003C5F8F">
      <w:pPr>
        <w:pStyle w:val="Default"/>
        <w:numPr>
          <w:ilvl w:val="0"/>
          <w:numId w:val="1"/>
        </w:numPr>
        <w:ind w:firstLine="284"/>
        <w:jc w:val="both"/>
        <w:rPr>
          <w:rFonts w:ascii="Arial" w:hAnsi="Arial" w:cs="Arial"/>
          <w:b/>
          <w:bCs/>
          <w:sz w:val="22"/>
          <w:szCs w:val="22"/>
        </w:rPr>
      </w:pPr>
      <w:r w:rsidRPr="00BC10E6">
        <w:rPr>
          <w:rFonts w:ascii="Arial" w:hAnsi="Arial" w:cs="Arial"/>
          <w:b/>
          <w:bCs/>
          <w:sz w:val="22"/>
          <w:szCs w:val="22"/>
        </w:rPr>
        <w:t>należy uwzględnić przy sporządzaniu oferty i załączników,</w:t>
      </w:r>
    </w:p>
    <w:p w14:paraId="6249457E" w14:textId="77777777" w:rsidR="003C5F8F" w:rsidRPr="00BC10E6" w:rsidRDefault="003C5F8F" w:rsidP="003C5F8F">
      <w:pPr>
        <w:pStyle w:val="Default"/>
        <w:numPr>
          <w:ilvl w:val="0"/>
          <w:numId w:val="1"/>
        </w:numPr>
        <w:ind w:firstLine="284"/>
        <w:jc w:val="both"/>
        <w:rPr>
          <w:rFonts w:ascii="Arial" w:hAnsi="Arial" w:cs="Arial"/>
          <w:sz w:val="22"/>
          <w:szCs w:val="22"/>
        </w:rPr>
      </w:pPr>
      <w:r w:rsidRPr="00BC10E6">
        <w:rPr>
          <w:rFonts w:ascii="Arial" w:hAnsi="Arial" w:cs="Arial"/>
          <w:b/>
          <w:bCs/>
          <w:sz w:val="22"/>
          <w:szCs w:val="22"/>
        </w:rPr>
        <w:t>prowadzą do zmiany ogłoszenia.</w:t>
      </w:r>
    </w:p>
    <w:p w14:paraId="2DE33D4B" w14:textId="77777777" w:rsidR="003C5F8F" w:rsidRPr="00F72092" w:rsidRDefault="003C5F8F" w:rsidP="00F72092">
      <w:pPr>
        <w:jc w:val="center"/>
        <w:rPr>
          <w:rFonts w:ascii="Arial" w:hAnsi="Arial" w:cs="Arial"/>
          <w:b/>
        </w:rPr>
      </w:pPr>
    </w:p>
    <w:sectPr w:rsidR="003C5F8F" w:rsidRPr="00F720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3F65" w14:textId="77777777" w:rsidR="00000000" w:rsidRDefault="00063146">
      <w:pPr>
        <w:spacing w:after="0" w:line="240" w:lineRule="auto"/>
      </w:pPr>
      <w:r>
        <w:separator/>
      </w:r>
    </w:p>
  </w:endnote>
  <w:endnote w:type="continuationSeparator" w:id="0">
    <w:p w14:paraId="0D5E5E20" w14:textId="77777777" w:rsidR="00000000" w:rsidRDefault="0006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458796"/>
      <w:docPartObj>
        <w:docPartGallery w:val="Page Numbers (Bottom of Page)"/>
        <w:docPartUnique/>
      </w:docPartObj>
    </w:sdtPr>
    <w:sdtEndPr/>
    <w:sdtContent>
      <w:p w14:paraId="64B2CAA8" w14:textId="3E9F328F" w:rsidR="00931440" w:rsidRDefault="001E67A8">
        <w:pPr>
          <w:pStyle w:val="Stopka"/>
          <w:jc w:val="center"/>
        </w:pPr>
        <w:r>
          <w:fldChar w:fldCharType="begin"/>
        </w:r>
        <w:r>
          <w:instrText>PAGE   \* MERGEFORMAT</w:instrText>
        </w:r>
        <w:r>
          <w:fldChar w:fldCharType="separate"/>
        </w:r>
        <w:r w:rsidR="00063146">
          <w:rPr>
            <w:noProof/>
          </w:rPr>
          <w:t>2</w:t>
        </w:r>
        <w:r>
          <w:fldChar w:fldCharType="end"/>
        </w:r>
      </w:p>
    </w:sdtContent>
  </w:sdt>
  <w:p w14:paraId="3A157ADB" w14:textId="77777777" w:rsidR="00931440" w:rsidRDefault="000631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B8BE2" w14:textId="77777777" w:rsidR="00000000" w:rsidRDefault="00063146">
      <w:pPr>
        <w:spacing w:after="0" w:line="240" w:lineRule="auto"/>
      </w:pPr>
      <w:r>
        <w:separator/>
      </w:r>
    </w:p>
  </w:footnote>
  <w:footnote w:type="continuationSeparator" w:id="0">
    <w:p w14:paraId="10403EB7" w14:textId="77777777" w:rsidR="00000000" w:rsidRDefault="00063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783B"/>
    <w:multiLevelType w:val="multilevel"/>
    <w:tmpl w:val="6F7092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80ED8"/>
    <w:multiLevelType w:val="hybridMultilevel"/>
    <w:tmpl w:val="35A45AFA"/>
    <w:lvl w:ilvl="0" w:tplc="9516F8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D7"/>
    <w:rsid w:val="00063146"/>
    <w:rsid w:val="00065C49"/>
    <w:rsid w:val="00081169"/>
    <w:rsid w:val="00157654"/>
    <w:rsid w:val="001E67A8"/>
    <w:rsid w:val="003B1298"/>
    <w:rsid w:val="003C5F8F"/>
    <w:rsid w:val="00730354"/>
    <w:rsid w:val="007C6B3C"/>
    <w:rsid w:val="008E40B5"/>
    <w:rsid w:val="009063E6"/>
    <w:rsid w:val="00933FE2"/>
    <w:rsid w:val="00A56832"/>
    <w:rsid w:val="00C440FE"/>
    <w:rsid w:val="00E74196"/>
    <w:rsid w:val="00E74D21"/>
    <w:rsid w:val="00F21AD7"/>
    <w:rsid w:val="00F72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104D"/>
  <w15:chartTrackingRefBased/>
  <w15:docId w15:val="{562AE73F-3C4E-4A29-A5F9-EBCC09C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1AD7"/>
    <w:pPr>
      <w:spacing w:after="160"/>
    </w:pPr>
    <w:rPr>
      <w:rFonts w:asciiTheme="minorHAnsi" w:hAnsiTheme="minorHAnsi"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1AD7"/>
    <w:pPr>
      <w:autoSpaceDE w:val="0"/>
      <w:autoSpaceDN w:val="0"/>
      <w:adjustRightInd w:val="0"/>
      <w:spacing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F21AD7"/>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F21AD7"/>
    <w:rPr>
      <w:rFonts w:ascii="Calibri" w:eastAsia="Calibri" w:hAnsi="Calibri" w:cs="Times New Roman"/>
    </w:rPr>
  </w:style>
  <w:style w:type="paragraph" w:styleId="Stopka">
    <w:name w:val="footer"/>
    <w:basedOn w:val="Normalny"/>
    <w:link w:val="StopkaZnak"/>
    <w:uiPriority w:val="99"/>
    <w:unhideWhenUsed/>
    <w:rsid w:val="00F21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AD7"/>
    <w:rPr>
      <w:rFonts w:asciiTheme="minorHAnsi" w:hAnsiTheme="minorHAnsi" w:cstheme="minorBidi"/>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F21AD7"/>
    <w:pPr>
      <w:spacing w:after="0" w:line="240" w:lineRule="auto"/>
      <w:ind w:left="720"/>
    </w:pPr>
    <w:rPr>
      <w:rFonts w:ascii="Calibri" w:hAnsi="Calibri" w:cs="Calibri"/>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F21AD7"/>
    <w:rPr>
      <w:rFonts w:ascii="Calibri" w:hAnsi="Calibri" w:cs="Calibri"/>
    </w:rPr>
  </w:style>
  <w:style w:type="character" w:styleId="Odwoaniedokomentarza">
    <w:name w:val="annotation reference"/>
    <w:basedOn w:val="Domylnaczcionkaakapitu"/>
    <w:uiPriority w:val="99"/>
    <w:semiHidden/>
    <w:unhideWhenUsed/>
    <w:rsid w:val="00F21AD7"/>
    <w:rPr>
      <w:sz w:val="16"/>
      <w:szCs w:val="16"/>
    </w:rPr>
  </w:style>
  <w:style w:type="paragraph" w:styleId="Tekstkomentarza">
    <w:name w:val="annotation text"/>
    <w:basedOn w:val="Normalny"/>
    <w:link w:val="TekstkomentarzaZnak"/>
    <w:uiPriority w:val="99"/>
    <w:semiHidden/>
    <w:unhideWhenUsed/>
    <w:rsid w:val="00F21A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1AD7"/>
    <w:rPr>
      <w:rFonts w:asciiTheme="minorHAnsi" w:hAnsiTheme="minorHAnsi" w:cstheme="minorBidi"/>
      <w:sz w:val="20"/>
      <w:szCs w:val="20"/>
    </w:rPr>
  </w:style>
  <w:style w:type="paragraph" w:customStyle="1" w:styleId="Tekstpodstawowy31">
    <w:name w:val="Tekst podstawowy 31"/>
    <w:basedOn w:val="Normalny"/>
    <w:qFormat/>
    <w:rsid w:val="00F21AD7"/>
    <w:pPr>
      <w:spacing w:after="120" w:line="240" w:lineRule="auto"/>
    </w:pPr>
    <w:rPr>
      <w:rFonts w:ascii="Liberation Serif" w:eastAsia="Times New Roman" w:hAnsi="Liberation Serif" w:cs="Lohit Devanagari"/>
      <w:kern w:val="2"/>
      <w:sz w:val="16"/>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939</Words>
  <Characters>5637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Bimkiewicz Ewa</cp:lastModifiedBy>
  <cp:revision>13</cp:revision>
  <dcterms:created xsi:type="dcterms:W3CDTF">2023-03-28T05:41:00Z</dcterms:created>
  <dcterms:modified xsi:type="dcterms:W3CDTF">2023-04-03T09:00:00Z</dcterms:modified>
</cp:coreProperties>
</file>