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A" w:rsidRPr="002B341E" w:rsidRDefault="002E2088" w:rsidP="005A7E79">
      <w:pPr>
        <w:spacing w:line="360" w:lineRule="auto"/>
        <w:jc w:val="both"/>
        <w:rPr>
          <w:rFonts w:eastAsia="Trebuchet MS"/>
          <w:color w:val="000000" w:themeColor="text1"/>
          <w:sz w:val="24"/>
          <w:szCs w:val="24"/>
        </w:rPr>
      </w:pPr>
      <w:r w:rsidRPr="002B341E">
        <w:rPr>
          <w:rFonts w:eastAsia="Trebuchet MS"/>
          <w:color w:val="000000" w:themeColor="text1"/>
          <w:sz w:val="24"/>
          <w:szCs w:val="24"/>
        </w:rPr>
        <w:t>Sulejów</w:t>
      </w:r>
      <w:r w:rsidR="00ED088F" w:rsidRPr="002B341E">
        <w:rPr>
          <w:rFonts w:eastAsia="Trebuchet MS"/>
          <w:color w:val="000000" w:themeColor="text1"/>
          <w:sz w:val="24"/>
          <w:szCs w:val="24"/>
        </w:rPr>
        <w:t xml:space="preserve"> </w:t>
      </w:r>
      <w:r w:rsidR="000B4CEE" w:rsidRPr="002B341E">
        <w:rPr>
          <w:rFonts w:eastAsia="Trebuchet MS"/>
          <w:color w:val="000000" w:themeColor="text1"/>
          <w:sz w:val="24"/>
          <w:szCs w:val="24"/>
        </w:rPr>
        <w:t>13.12</w:t>
      </w:r>
      <w:r w:rsidR="00B11A2B" w:rsidRPr="002B341E">
        <w:rPr>
          <w:rFonts w:eastAsia="Trebuchet MS"/>
          <w:color w:val="000000" w:themeColor="text1"/>
          <w:sz w:val="24"/>
          <w:szCs w:val="24"/>
        </w:rPr>
        <w:t>.</w:t>
      </w:r>
      <w:r w:rsidR="00B42F34" w:rsidRPr="002B341E">
        <w:rPr>
          <w:rFonts w:eastAsia="Trebuchet MS"/>
          <w:color w:val="000000" w:themeColor="text1"/>
          <w:sz w:val="24"/>
          <w:szCs w:val="24"/>
        </w:rPr>
        <w:t>2022</w:t>
      </w:r>
      <w:r w:rsidR="0021571A" w:rsidRPr="002B341E">
        <w:rPr>
          <w:rFonts w:eastAsia="Trebuchet MS"/>
          <w:color w:val="000000" w:themeColor="text1"/>
          <w:sz w:val="24"/>
          <w:szCs w:val="24"/>
        </w:rPr>
        <w:t xml:space="preserve"> r.</w:t>
      </w:r>
    </w:p>
    <w:p w:rsidR="0021571A" w:rsidRPr="002B341E" w:rsidRDefault="007B184F" w:rsidP="005A7E79">
      <w:pPr>
        <w:spacing w:before="240" w:after="240" w:line="360" w:lineRule="auto"/>
        <w:rPr>
          <w:rFonts w:eastAsia="Trebuchet MS"/>
          <w:color w:val="000000" w:themeColor="text1"/>
          <w:sz w:val="24"/>
          <w:szCs w:val="24"/>
        </w:rPr>
      </w:pPr>
      <w:r w:rsidRPr="002B341E">
        <w:rPr>
          <w:rFonts w:eastAsia="Trebuchet MS"/>
          <w:color w:val="000000" w:themeColor="text1"/>
          <w:sz w:val="24"/>
          <w:szCs w:val="24"/>
        </w:rPr>
        <w:t>Znak sprawy: IZ.ZP.271.</w:t>
      </w:r>
      <w:r w:rsidR="000B4CEE" w:rsidRPr="002B341E">
        <w:rPr>
          <w:rFonts w:eastAsia="Trebuchet MS"/>
          <w:color w:val="000000" w:themeColor="text1"/>
          <w:sz w:val="24"/>
          <w:szCs w:val="24"/>
        </w:rPr>
        <w:t>29</w:t>
      </w:r>
      <w:r w:rsidR="00B42F34" w:rsidRPr="002B341E">
        <w:rPr>
          <w:rFonts w:eastAsia="Trebuchet MS"/>
          <w:color w:val="000000" w:themeColor="text1"/>
          <w:sz w:val="24"/>
          <w:szCs w:val="24"/>
        </w:rPr>
        <w:t>.2022</w:t>
      </w:r>
    </w:p>
    <w:p w:rsidR="002E2088" w:rsidRPr="002B341E" w:rsidRDefault="002158E1" w:rsidP="005A7E79">
      <w:pPr>
        <w:pStyle w:val="Nagwek1"/>
        <w:spacing w:before="0" w:line="360" w:lineRule="auto"/>
        <w:rPr>
          <w:rFonts w:ascii="Calibri" w:eastAsia="Trebuchet MS" w:hAnsi="Calibri"/>
          <w:b/>
          <w:color w:val="auto"/>
          <w:sz w:val="24"/>
          <w:szCs w:val="24"/>
        </w:rPr>
      </w:pPr>
      <w:r w:rsidRPr="002B341E">
        <w:rPr>
          <w:rFonts w:ascii="Calibri" w:eastAsia="Trebuchet MS" w:hAnsi="Calibri"/>
          <w:color w:val="auto"/>
          <w:sz w:val="24"/>
          <w:szCs w:val="24"/>
        </w:rPr>
        <w:t xml:space="preserve">dotyczy </w:t>
      </w:r>
      <w:r w:rsidR="0021571A" w:rsidRPr="002B341E">
        <w:rPr>
          <w:rFonts w:ascii="Calibri" w:eastAsia="Trebuchet MS" w:hAnsi="Calibri"/>
          <w:color w:val="auto"/>
          <w:sz w:val="24"/>
          <w:szCs w:val="24"/>
        </w:rPr>
        <w:t xml:space="preserve">postępowania o udzielenie zamówienia publicznego prowadzonego w trybie </w:t>
      </w:r>
      <w:r w:rsidR="007E48CC" w:rsidRPr="002B341E">
        <w:rPr>
          <w:rFonts w:ascii="Calibri" w:eastAsia="Trebuchet MS" w:hAnsi="Calibri"/>
          <w:color w:val="auto"/>
          <w:sz w:val="24"/>
          <w:szCs w:val="24"/>
        </w:rPr>
        <w:t xml:space="preserve">podstawowym bez przeprowadzenia negocjacji </w:t>
      </w:r>
      <w:r w:rsidR="0021571A" w:rsidRPr="002B341E">
        <w:rPr>
          <w:rFonts w:ascii="Calibri" w:eastAsia="Trebuchet MS" w:hAnsi="Calibri"/>
          <w:color w:val="auto"/>
          <w:sz w:val="24"/>
          <w:szCs w:val="24"/>
        </w:rPr>
        <w:t>pn.:</w:t>
      </w:r>
      <w:r w:rsidR="0021571A" w:rsidRPr="002B341E">
        <w:rPr>
          <w:rFonts w:ascii="Calibri" w:eastAsia="Trebuchet MS" w:hAnsi="Calibri"/>
          <w:b/>
          <w:color w:val="auto"/>
          <w:sz w:val="24"/>
          <w:szCs w:val="24"/>
        </w:rPr>
        <w:t xml:space="preserve"> </w:t>
      </w:r>
      <w:r w:rsidR="000B4CEE" w:rsidRPr="002B341E">
        <w:rPr>
          <w:rFonts w:ascii="Calibri" w:eastAsia="Trebuchet MS" w:hAnsi="Calibri"/>
          <w:b/>
          <w:color w:val="auto"/>
          <w:sz w:val="24"/>
          <w:szCs w:val="24"/>
        </w:rPr>
        <w:t>Świadczenie usług pocztowych na rzecz Gminy Sulejów i podległej jej jednostki na okres 6 miesięcy</w:t>
      </w:r>
    </w:p>
    <w:p w:rsidR="00546E4A" w:rsidRPr="002B341E" w:rsidRDefault="00546E4A" w:rsidP="005A7E79">
      <w:pPr>
        <w:spacing w:line="360" w:lineRule="auto"/>
        <w:rPr>
          <w:sz w:val="24"/>
          <w:szCs w:val="24"/>
        </w:rPr>
      </w:pPr>
    </w:p>
    <w:p w:rsidR="0021571A" w:rsidRPr="002B341E" w:rsidRDefault="00B42F34"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Działając na podstawie art. 284 ust. </w:t>
      </w:r>
      <w:r w:rsidR="00826748" w:rsidRPr="002B341E">
        <w:rPr>
          <w:rFonts w:eastAsia="Trebuchet MS"/>
          <w:color w:val="000000" w:themeColor="text1"/>
          <w:sz w:val="24"/>
          <w:szCs w:val="24"/>
        </w:rPr>
        <w:t xml:space="preserve">2 i </w:t>
      </w:r>
      <w:r w:rsidRPr="002B341E">
        <w:rPr>
          <w:rFonts w:eastAsia="Trebuchet MS"/>
          <w:color w:val="000000" w:themeColor="text1"/>
          <w:sz w:val="24"/>
          <w:szCs w:val="24"/>
        </w:rPr>
        <w:t>6</w:t>
      </w:r>
      <w:r w:rsidR="0021571A" w:rsidRPr="002B341E">
        <w:rPr>
          <w:rFonts w:eastAsia="Trebuchet MS"/>
          <w:color w:val="000000" w:themeColor="text1"/>
          <w:sz w:val="24"/>
          <w:szCs w:val="24"/>
        </w:rPr>
        <w:t xml:space="preserve"> ustawy z dnia 11 września 2019</w:t>
      </w:r>
      <w:r w:rsidRPr="002B341E">
        <w:rPr>
          <w:rFonts w:eastAsia="Trebuchet MS"/>
          <w:color w:val="000000" w:themeColor="text1"/>
          <w:sz w:val="24"/>
          <w:szCs w:val="24"/>
        </w:rPr>
        <w:t xml:space="preserve"> r. Prawo zamówień publicznych </w:t>
      </w:r>
      <w:r w:rsidR="0021571A" w:rsidRPr="002B341E">
        <w:rPr>
          <w:rFonts w:eastAsia="Trebuchet MS"/>
          <w:color w:val="000000" w:themeColor="text1"/>
          <w:sz w:val="24"/>
          <w:szCs w:val="24"/>
        </w:rPr>
        <w:t>w związku z wpłynięciem do Zamawiającego</w:t>
      </w:r>
      <w:r w:rsidR="003409C8" w:rsidRPr="002B341E">
        <w:rPr>
          <w:rFonts w:eastAsia="Trebuchet MS"/>
          <w:color w:val="000000" w:themeColor="text1"/>
          <w:sz w:val="24"/>
          <w:szCs w:val="24"/>
        </w:rPr>
        <w:t xml:space="preserve"> </w:t>
      </w:r>
      <w:r w:rsidR="00586B02" w:rsidRPr="002B341E">
        <w:rPr>
          <w:rFonts w:eastAsia="Trebuchet MS"/>
          <w:color w:val="000000" w:themeColor="text1"/>
          <w:sz w:val="24"/>
          <w:szCs w:val="24"/>
        </w:rPr>
        <w:t>pytań do przedmiotowego postępowania</w:t>
      </w:r>
      <w:r w:rsidR="0021571A" w:rsidRPr="002B341E">
        <w:rPr>
          <w:rFonts w:eastAsia="Trebuchet MS"/>
          <w:color w:val="000000" w:themeColor="text1"/>
          <w:sz w:val="24"/>
          <w:szCs w:val="24"/>
        </w:rPr>
        <w:t>, Zamawiający udziela następujących wyjaśnień:</w:t>
      </w:r>
    </w:p>
    <w:p w:rsidR="00EC37AB" w:rsidRPr="002B341E" w:rsidRDefault="00EC37AB" w:rsidP="005A7E79">
      <w:pPr>
        <w:spacing w:line="360" w:lineRule="auto"/>
        <w:rPr>
          <w:rFonts w:eastAsia="Trebuchet MS"/>
          <w:color w:val="000000" w:themeColor="text1"/>
          <w:sz w:val="24"/>
          <w:szCs w:val="24"/>
        </w:rPr>
      </w:pPr>
    </w:p>
    <w:p w:rsidR="00A31696" w:rsidRPr="002B341E" w:rsidRDefault="0029060A" w:rsidP="005A7E79">
      <w:pPr>
        <w:spacing w:line="360" w:lineRule="auto"/>
        <w:ind w:left="1"/>
        <w:rPr>
          <w:rFonts w:eastAsia="Trebuchet MS"/>
          <w:b/>
          <w:color w:val="000000" w:themeColor="text1"/>
          <w:sz w:val="24"/>
          <w:szCs w:val="24"/>
        </w:rPr>
      </w:pPr>
      <w:r w:rsidRPr="002B341E">
        <w:rPr>
          <w:rFonts w:eastAsia="Trebuchet MS"/>
          <w:b/>
          <w:color w:val="000000" w:themeColor="text1"/>
          <w:sz w:val="24"/>
          <w:szCs w:val="24"/>
        </w:rPr>
        <w:t>Pytanie 1</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Zamawiający w § 11 wzoru umowy (Załącznik nr 4 do SWZ), żąda od wykonawców, na potwierdzenie spełniania warunku zatrudnienia na umowę </w:t>
      </w:r>
      <w:r w:rsidRPr="002B341E">
        <w:rPr>
          <w:rFonts w:eastAsia="Trebuchet MS"/>
          <w:color w:val="000000" w:themeColor="text1"/>
          <w:sz w:val="24"/>
          <w:szCs w:val="24"/>
        </w:rPr>
        <w:t xml:space="preserve">o pracę, przekazania w terminie </w:t>
      </w:r>
      <w:r w:rsidRPr="002B341E">
        <w:rPr>
          <w:rFonts w:eastAsia="Trebuchet MS"/>
          <w:color w:val="000000" w:themeColor="text1"/>
          <w:sz w:val="24"/>
          <w:szCs w:val="24"/>
        </w:rPr>
        <w:t>co najmniej 3 dni roboczych przed przystąpieniem przez osoby,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Wykonawca niniejszym wskazuje, iż ww. postanowienie specyfikacji stoi w sprzeczności z obowiązującymi przepisami, przede wszystkim w zakresie ochrony danych osobowych oraz ustawy Prawo zamówień publicznych (dalej Pzp).</w:t>
      </w:r>
      <w:r w:rsidRPr="002B341E">
        <w:rPr>
          <w:rFonts w:eastAsia="Trebuchet MS"/>
          <w:color w:val="000000" w:themeColor="text1"/>
          <w:sz w:val="24"/>
          <w:szCs w:val="24"/>
        </w:rPr>
        <w:t xml:space="preserve"> </w:t>
      </w:r>
      <w:r w:rsidRPr="002B341E">
        <w:rPr>
          <w:rFonts w:eastAsia="Trebuchet MS"/>
          <w:color w:val="000000" w:themeColor="text1"/>
          <w:sz w:val="24"/>
          <w:szCs w:val="24"/>
        </w:rPr>
        <w:t>Przepisy ustawy Pzp nie precyzują w jaki sposób zamawiający może kontrolować spełnienie wymagań przez wykonawcę, o których mowa w art. 29 ust 3a ustawy Pzp. Również przepisy rozporządzenia</w:t>
      </w:r>
      <w:r w:rsidRPr="002B341E">
        <w:rPr>
          <w:rFonts w:eastAsia="Trebuchet MS"/>
          <w:color w:val="000000" w:themeColor="text1"/>
          <w:sz w:val="24"/>
          <w:szCs w:val="24"/>
        </w:rPr>
        <w:t xml:space="preserve"> </w:t>
      </w:r>
      <w:r w:rsidRPr="002B341E">
        <w:rPr>
          <w:rFonts w:eastAsia="Trebuchet MS"/>
          <w:color w:val="000000" w:themeColor="text1"/>
          <w:sz w:val="24"/>
          <w:szCs w:val="24"/>
        </w:rPr>
        <w:t>Ministra Rozwoju z dnia 26 lipca 2016 r. w sprawie rodzajów dokumentów, jakich może żądać zamawiający od wykonawcy w postępowaniu o udzielenie zamówienia (Dz. U. z 2016 r. poz. 1126) nie odnoszą się do kwestii sposobu dokumentowania zatrudnienia osób, o których mowa w art. 29 ust. 3a ustawy Pzp. Jednakże wskazania wymaga, iż Generalny Inspektor Ochrony Danych Osobowych (dalej GIODO) w piśmie z dnia 23 września 2016 roku, kierowanego do Prezesa Urzędu Zamówień Publicznych wyraził jednoznaczne stanowisko w przedmiotowym zakresie. W piśmie tym GIODO stwierdza, iż „przekazywanie zamawiającemu kopii umów o pracę oraz zakresów obowiązków osób zatrudnionych u wykonawcy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zamówienia na roboty budowlane lub usługi. Dostęp do informacji stanowiących dane osobowe nie jest bowiem niezbędny dla weryfikacji spełnienia określonych warunków przez wykonawcę. W opinii Generalnego Inspektora dla realizacji tego celu wystarczające byłoby przedstawienie przez wykonawcę stosownych oświadczeń, czy zaświadczeń lub zanonimizowanych dokumentów. Dla zamawiającego nie jest bowiem istotne kto konkretnie zatrudniony jest u wykonawcy na podstawie umowy o pracę, a jedynie sam fakt zatrudniania osób w takiej formie —dla potwierdzenia którego nie jest konieczna zamawiającemu znajomość imion, nazwisk i adresów pracowników, czy wysokości ich wynagrodzeń. W tym kontekście przywołać należy zasadę adekwatności, wyrażoną w art. 26 ust. 1 pkt 3 ustawy o ochronie danych osobowych, zgodnie z którą administrator powinien przetwarzać tylko takiego rodzaju dane i tylko o takiej treści, które są niezbędne ze względu na cel zbierania danych. Dane osobowe nie mogą być zbierane na zapas, „na wszelki wypadek", tj. bez wykazania celowości ich pozyskania i niezbędności dla realizacji zadań administratora danych — którym po uzyskaniu danych stałby się zamawiający.</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W związku z powyższym, Generalny Inspektor Ochrony Danych Osobowych stoi na stanowisku, iż z regulacji zawartych w art. 29 ust. 3a oraz 36 ust. 2 pkt 8a ustawy Pzp nie można wywodzić podstawy do przekazywania zamawiającemu przez wykonawcę danych osobowych pracowników, a zarówno dokumentowanie zatrudnienia osób, o których mowa w art. 29 ust. 3a, jak i kontrola spełniania przez wykonawcę wymagań, o których mowa w tym artykule może odbywać się w sposób. który nie będzie wiązał się z przetwarzaniem danych indywidualnych osób."</w:t>
      </w:r>
      <w:r w:rsidRPr="002B341E">
        <w:rPr>
          <w:rFonts w:eastAsia="Trebuchet MS"/>
          <w:color w:val="000000" w:themeColor="text1"/>
          <w:sz w:val="24"/>
          <w:szCs w:val="24"/>
        </w:rPr>
        <w:t xml:space="preserve"> </w:t>
      </w:r>
      <w:r w:rsidRPr="002B341E">
        <w:rPr>
          <w:rFonts w:eastAsia="Trebuchet MS"/>
          <w:color w:val="000000" w:themeColor="text1"/>
          <w:sz w:val="24"/>
          <w:szCs w:val="24"/>
        </w:rPr>
        <w:t>Zatem z przepisów w żaden sposób nie wynika uprawnienie zamawiającego do żądania od wykonawcy będącego pracodawcą oświadczeń składanych przez jego pracowników, bądź zaświadczeń wyłącznie ich dotyczących.</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Ponadto legalność przetwarzania danych, w tym również ich udostępniania musi znajdować oparcie w jednej z przesłanek określonych w art. 23 ust. 1 ustawy o ochronie danych </w:t>
      </w:r>
      <w:r w:rsidRPr="002B341E">
        <w:rPr>
          <w:rFonts w:eastAsia="Trebuchet MS"/>
          <w:color w:val="000000" w:themeColor="text1"/>
          <w:sz w:val="24"/>
          <w:szCs w:val="24"/>
        </w:rPr>
        <w:t>o</w:t>
      </w:r>
      <w:r w:rsidRPr="002B341E">
        <w:rPr>
          <w:rFonts w:eastAsia="Trebuchet MS"/>
          <w:color w:val="000000" w:themeColor="text1"/>
          <w:sz w:val="24"/>
          <w:szCs w:val="24"/>
        </w:rPr>
        <w:t>sobowych — jeśli chodzi</w:t>
      </w:r>
      <w:r w:rsidRPr="002B341E">
        <w:rPr>
          <w:rFonts w:eastAsia="Trebuchet MS"/>
          <w:color w:val="000000" w:themeColor="text1"/>
          <w:sz w:val="24"/>
          <w:szCs w:val="24"/>
        </w:rPr>
        <w:t xml:space="preserve"> </w:t>
      </w:r>
      <w:r w:rsidRPr="002B341E">
        <w:rPr>
          <w:rFonts w:eastAsia="Trebuchet MS"/>
          <w:color w:val="000000" w:themeColor="text1"/>
          <w:sz w:val="24"/>
          <w:szCs w:val="24"/>
        </w:rPr>
        <w:t>o</w:t>
      </w:r>
      <w:r w:rsidRPr="002B341E">
        <w:rPr>
          <w:rFonts w:eastAsia="Trebuchet MS"/>
          <w:color w:val="000000" w:themeColor="text1"/>
          <w:sz w:val="24"/>
          <w:szCs w:val="24"/>
        </w:rPr>
        <w:tab/>
        <w:t>dane osobowe tzw. zwykłe, bądź też w art. 27 ust. 2 — w odniesieniu do danych szczególnie chronionych, których zamknięty katalog określony został w art. 27 ust. 1 ustawy. Jedną z przesłanek,</w:t>
      </w:r>
      <w:r w:rsidRPr="002B341E">
        <w:rPr>
          <w:rFonts w:eastAsia="Trebuchet MS"/>
          <w:color w:val="000000" w:themeColor="text1"/>
          <w:sz w:val="24"/>
          <w:szCs w:val="24"/>
        </w:rPr>
        <w:t xml:space="preserve"> o </w:t>
      </w:r>
      <w:r w:rsidRPr="002B341E">
        <w:rPr>
          <w:rFonts w:eastAsia="Trebuchet MS"/>
          <w:color w:val="000000" w:themeColor="text1"/>
          <w:sz w:val="24"/>
          <w:szCs w:val="24"/>
        </w:rPr>
        <w:t>której stanowią powołane przepisy, jest upoważnienie do przetwarzania danych zawarte w odrębnych</w:t>
      </w:r>
      <w:r w:rsidRPr="002B341E">
        <w:rPr>
          <w:rFonts w:eastAsia="Trebuchet MS"/>
          <w:color w:val="000000" w:themeColor="text1"/>
          <w:sz w:val="24"/>
          <w:szCs w:val="24"/>
        </w:rPr>
        <w:t xml:space="preserve"> </w:t>
      </w:r>
      <w:r w:rsidRPr="002B341E">
        <w:rPr>
          <w:rFonts w:eastAsia="Trebuchet MS"/>
          <w:color w:val="000000" w:themeColor="text1"/>
          <w:sz w:val="24"/>
          <w:szCs w:val="24"/>
        </w:rPr>
        <w:t>przepisach prawa (vide art. 23 ust. 1 pkt 2 i art. 27 ust. 2 pkt 2), przy czym — jeśli chodzi o dane szczególnie chronione (jak np. dane o stanie zdrowia) — przepisy te powinny znajdować się w akcie prawnym o randze ustawy i stwarzać pełne gwarancje ochrony tych danych.</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W opisywanym przypadku jako podstawy przetwarzania (udostępniania) danych nie można uznać zgody osoby, której dane dotyczą, byłaby to bowiem zgoda wyrażona dla realizacji celu innego podmiotu. Zgodnie z zaproponowanym rozwiązaniem, pracodawca miałby występować wyłącznie jako pośrednik w pozyskiwaniu zgód od swoich pracowników, a taka konstrukcja nie znajduje uzasadnienia w świetle zasad przetwarzania danych osobowych.</w:t>
      </w:r>
    </w:p>
    <w:p w:rsidR="00ED58CA"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Ponadto, aby zgoda mogła być uznana za podstawę prawną musi być wyrażona w sposób dobrowolny. Jednak w relacji zachodzącej między pracodawcą a pracownikiem trudno jest mówić o takiej dobrowolności, gdyż brak jest tu równowagi podmiotowej (stosunek nadrzędności i podrzędności podmiotów), co często może sprzyjać wymuszeniu zgody. Stanowisko GIODO poparł także Naczelny Sąd Administracyjny w wyroku z dnia 1 grudnia 2009 r. o sygn. akt I OSK 249/09, stwierdzając, że „wyrażona na prośbę pracodawcy pisemna zgoda pracownika, na pobranie i przetworzenie jego danych osobowych, narusza prawa pracownika i swobodę wyrażenia przez niego woli. (...) Brak równowagi w relacji pracodawca pracownik stawia pod znakiem zapytania dobrowolność w wyrażeniu zgody na pobieranie i przetworzenie danych osobowych (biometrycznych). Z tego względu ustawodawca ograniczył przepisem art. 221 kodeksu pracy katalog danych, których pracodawca może żądać od pracownika". Nie bez znaczenia jest również fakt, iż — zgodnie z definicją zawartą w art. 7 pkt 5 ustawy o ochronie danych osobowych — zgoda może być odwołana w każdym czasie. Dlatego w sytuacji, gdy dostęp do określonych informacji miałby służyć realizacji zadań wynikających z przepisów prawa, oparcie się wyłącznie na zgodzie osoby, której dane dotyczą, mogłoby okazać się nieskuteczne.</w:t>
      </w:r>
      <w:r w:rsidRPr="002B341E">
        <w:rPr>
          <w:rFonts w:eastAsia="Trebuchet MS"/>
          <w:color w:val="000000" w:themeColor="text1"/>
          <w:sz w:val="24"/>
          <w:szCs w:val="24"/>
        </w:rPr>
        <w:t xml:space="preserve"> </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W świetle powyższego wykonawca wnosi o wyjaśnienie, czy Zamawiający dopuszcza zmianę postanowień SWZ poprzez wykreślenie żądania przedstawienia oświadczenia wykonawcy o stanie zatrudnienia zawierające listę osób świadczących pracę na umowę o pracę, a w jego miejsce wprowadzenia postanowień w następującym brzmieniu:</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„1</w:t>
      </w:r>
      <w:r w:rsidRPr="002B341E">
        <w:rPr>
          <w:rFonts w:eastAsia="Trebuchet MS"/>
          <w:color w:val="000000" w:themeColor="text1"/>
          <w:sz w:val="24"/>
          <w:szCs w:val="24"/>
        </w:rPr>
        <w:t>. W trakcie realizacji zamówienia zamawiający uprawniony jest do wykonywania czynności kontrolnych wobec wykonawcy odnośnie spełniania przez wykonawcę lub podwykonawcę wymogu zatrudnienia na podstawie umowy o pracę osób w</w:t>
      </w:r>
      <w:r w:rsidRPr="002B341E">
        <w:rPr>
          <w:rFonts w:eastAsia="Trebuchet MS"/>
          <w:color w:val="000000" w:themeColor="text1"/>
          <w:sz w:val="24"/>
          <w:szCs w:val="24"/>
        </w:rPr>
        <w:t>ykonujących wskazane w punkcie 1</w:t>
      </w:r>
      <w:r w:rsidRPr="002B341E">
        <w:rPr>
          <w:rFonts w:eastAsia="Trebuchet MS"/>
          <w:color w:val="000000" w:themeColor="text1"/>
          <w:sz w:val="24"/>
          <w:szCs w:val="24"/>
        </w:rPr>
        <w:t xml:space="preserve"> czynności. Zamawiający uprawniony jest w szczególności do:</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a) </w:t>
      </w:r>
      <w:r w:rsidRPr="002B341E">
        <w:rPr>
          <w:rFonts w:eastAsia="Trebuchet MS"/>
          <w:color w:val="000000" w:themeColor="text1"/>
          <w:sz w:val="24"/>
          <w:szCs w:val="24"/>
        </w:rPr>
        <w:t>żądania oświadczeń i dokumentów w zakresie potwierdzenia spełniania ww. wymogów i dokonywania ich oceny,</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b) </w:t>
      </w:r>
      <w:r w:rsidRPr="002B341E">
        <w:rPr>
          <w:rFonts w:eastAsia="Trebuchet MS"/>
          <w:color w:val="000000" w:themeColor="text1"/>
          <w:sz w:val="24"/>
          <w:szCs w:val="24"/>
        </w:rPr>
        <w:t>żądania wyjaśnień w przypadku wątpliwości w zakresie potwierdzenia spełniania ww. wymogów,</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c) </w:t>
      </w:r>
      <w:r w:rsidRPr="002B341E">
        <w:rPr>
          <w:rFonts w:eastAsia="Trebuchet MS"/>
          <w:color w:val="000000" w:themeColor="text1"/>
          <w:sz w:val="24"/>
          <w:szCs w:val="24"/>
        </w:rPr>
        <w:t>przeprowadzania kontroli na miejscu wykonywania świadczenia.</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2. W trakcie realizacji zamówienia na każde wezwanie zamawiającego, w wyznaczonym w tym wezwaniu terminie, uwzględniającym czas niezbędny do przygotowania żądanych dokumentów, wykonawca przedłoży zamawiającemu dowody w celu potwierdzenia spełnienia wymogu zatrudnienia na</w:t>
      </w:r>
      <w:r w:rsidRPr="002B341E">
        <w:rPr>
          <w:rFonts w:eastAsia="Trebuchet MS"/>
          <w:color w:val="000000" w:themeColor="text1"/>
          <w:sz w:val="24"/>
          <w:szCs w:val="24"/>
        </w:rPr>
        <w:t xml:space="preserve"> </w:t>
      </w:r>
      <w:r w:rsidRPr="002B341E">
        <w:rPr>
          <w:rFonts w:eastAsia="Trebuchet MS"/>
          <w:color w:val="000000" w:themeColor="text1"/>
          <w:sz w:val="24"/>
          <w:szCs w:val="24"/>
        </w:rPr>
        <w:t>podstawie umowy o pracę przez wykonawcę lub podwykonawcę osób wykonujących wskazane w punkcie 1 czynności w trakcie realizacji zamówienia. Zamawiający może żądać następujących dokumentów:</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a) </w:t>
      </w:r>
      <w:r w:rsidRPr="002B341E">
        <w:rPr>
          <w:rFonts w:eastAsia="Trebuchet MS"/>
          <w:color w:val="000000" w:themeColor="text1"/>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b) </w:t>
      </w:r>
      <w:r w:rsidRPr="002B341E">
        <w:rPr>
          <w:rFonts w:eastAsia="Trebuchet MS"/>
          <w:color w:val="000000" w:themeColor="text1"/>
          <w:sz w:val="24"/>
          <w:szCs w:val="24"/>
        </w:rPr>
        <w:t>zaświadczenia właściwego oddziału ZUS, potwierdzającego opłacanie przez wykonawcę lub podwykonawcę składek na ubezpieczenia społeczne i zdrowotne z tytułu zatrudnienia na podstawie umów o pracę za ostatni okres rozliczeniowy;</w:t>
      </w:r>
    </w:p>
    <w:p w:rsidR="001E2415"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d) poświadczonej za zgodność z oryginałem odpowiednio przez wykonawcę lub podwykonawcę kopii dowodu potwierdzającego zgłoszenie pracownika przez pracodawcę do ubezpieczeń, zanonimizowanej w sposób zapewniający ochronę danych osobowych pracowników, zgodnie z przepisami ustawy z dnia 29 sierpnia 1997 r. o ochronie danych osobowych."?</w:t>
      </w:r>
    </w:p>
    <w:p w:rsidR="00AE3703" w:rsidRPr="002B341E" w:rsidRDefault="00AE3703" w:rsidP="005A7E79">
      <w:pPr>
        <w:spacing w:line="360" w:lineRule="auto"/>
        <w:rPr>
          <w:rFonts w:eastAsia="Trebuchet MS"/>
          <w:color w:val="000000" w:themeColor="text1"/>
          <w:sz w:val="24"/>
          <w:szCs w:val="24"/>
        </w:rPr>
      </w:pPr>
    </w:p>
    <w:p w:rsidR="00511C45" w:rsidRDefault="00511C45" w:rsidP="005A7E79">
      <w:pPr>
        <w:spacing w:line="360" w:lineRule="auto"/>
        <w:rPr>
          <w:rFonts w:eastAsia="Trebuchet MS"/>
          <w:b/>
          <w:color w:val="000000" w:themeColor="text1"/>
          <w:sz w:val="24"/>
          <w:szCs w:val="24"/>
        </w:rPr>
      </w:pPr>
      <w:r w:rsidRPr="002B341E">
        <w:rPr>
          <w:rFonts w:eastAsia="Trebuchet MS"/>
          <w:b/>
          <w:color w:val="000000" w:themeColor="text1"/>
          <w:sz w:val="24"/>
          <w:szCs w:val="24"/>
        </w:rPr>
        <w:t xml:space="preserve">Odpowiedź: </w:t>
      </w:r>
    </w:p>
    <w:p w:rsidR="00511C45" w:rsidRPr="002B341E" w:rsidRDefault="00ED58CA" w:rsidP="005A7E79">
      <w:pPr>
        <w:spacing w:line="360" w:lineRule="auto"/>
        <w:rPr>
          <w:rFonts w:eastAsiaTheme="minorHAnsi" w:cs="OpenSans-Regular"/>
          <w:sz w:val="24"/>
          <w:szCs w:val="24"/>
          <w:lang w:eastAsia="en-US"/>
        </w:rPr>
      </w:pPr>
      <w:r w:rsidRPr="00ED58CA">
        <w:rPr>
          <w:rFonts w:eastAsia="Trebuchet MS"/>
          <w:color w:val="000000" w:themeColor="text1"/>
          <w:sz w:val="24"/>
          <w:szCs w:val="24"/>
        </w:rPr>
        <w:t xml:space="preserve">Zamawiający </w:t>
      </w:r>
      <w:r>
        <w:rPr>
          <w:rFonts w:eastAsia="Trebuchet MS"/>
          <w:color w:val="000000" w:themeColor="text1"/>
          <w:sz w:val="24"/>
          <w:szCs w:val="24"/>
        </w:rPr>
        <w:t>nie dopuszcza zmiany</w:t>
      </w:r>
      <w:r w:rsidRPr="00ED58CA">
        <w:rPr>
          <w:rFonts w:eastAsia="Trebuchet MS"/>
          <w:color w:val="000000" w:themeColor="text1"/>
          <w:sz w:val="24"/>
          <w:szCs w:val="24"/>
        </w:rPr>
        <w:t xml:space="preserve"> postanowień SWZ</w:t>
      </w:r>
      <w:r>
        <w:rPr>
          <w:rFonts w:eastAsia="Trebuchet MS"/>
          <w:color w:val="000000" w:themeColor="text1"/>
          <w:sz w:val="24"/>
          <w:szCs w:val="24"/>
        </w:rPr>
        <w:t xml:space="preserve"> w zakresie wymogu zatrudnienia na umowę o pracę. </w:t>
      </w:r>
      <w:r w:rsidR="002B341E" w:rsidRPr="002B341E">
        <w:rPr>
          <w:rFonts w:eastAsia="Trebuchet MS"/>
          <w:color w:val="000000" w:themeColor="text1"/>
          <w:sz w:val="24"/>
          <w:szCs w:val="24"/>
        </w:rPr>
        <w:t>Zamawiający</w:t>
      </w:r>
      <w:r w:rsidR="00511C45" w:rsidRPr="002B341E">
        <w:rPr>
          <w:rFonts w:eastAsia="Trebuchet MS"/>
          <w:color w:val="000000" w:themeColor="text1"/>
          <w:sz w:val="24"/>
          <w:szCs w:val="24"/>
        </w:rPr>
        <w:t xml:space="preserve"> informuje, że </w:t>
      </w:r>
      <w:r w:rsidR="002B341E" w:rsidRPr="002B341E">
        <w:rPr>
          <w:rFonts w:eastAsia="Trebuchet MS"/>
          <w:color w:val="000000" w:themeColor="text1"/>
          <w:sz w:val="24"/>
          <w:szCs w:val="24"/>
        </w:rPr>
        <w:t xml:space="preserve">wymóg przedstawienia w formie oświadczenia (wykazu) informacji o osobach wykonujących czynności określone w specyfikacji warunków zamówienia w trakcie realizacji zamówienia, których wykonanie polega na wykonywaniu pracy w sposób określony w art. 22 § 1 ustawy z dnia 26 czerwca 1974 r. – Kodeks pracy, w tym dane osobowe, niezbędne do weryfikacji zatrudnienia na podstawie umowy o pracę, w szczególności imię i nazwisko zatrudnionego pracownika, datę zawarcia umowy o pracę, rodzaj umowy o pracę i zakres obowiązków pracownika </w:t>
      </w:r>
      <w:r w:rsidR="002B341E" w:rsidRPr="002B341E">
        <w:rPr>
          <w:rFonts w:eastAsia="Trebuchet MS"/>
          <w:b/>
          <w:color w:val="000000" w:themeColor="text1"/>
          <w:sz w:val="24"/>
          <w:szCs w:val="24"/>
        </w:rPr>
        <w:t xml:space="preserve">są zgodne z </w:t>
      </w:r>
      <w:r w:rsidR="00511C45" w:rsidRPr="002B341E">
        <w:rPr>
          <w:rFonts w:eastAsia="Trebuchet MS"/>
          <w:b/>
          <w:color w:val="000000" w:themeColor="text1"/>
          <w:sz w:val="24"/>
          <w:szCs w:val="24"/>
        </w:rPr>
        <w:t>a</w:t>
      </w:r>
      <w:r w:rsidR="00511C45" w:rsidRPr="002B341E">
        <w:rPr>
          <w:rFonts w:eastAsiaTheme="minorHAnsi" w:cs="OpenSans-Regular"/>
          <w:b/>
          <w:sz w:val="24"/>
          <w:szCs w:val="24"/>
          <w:lang w:eastAsia="en-US"/>
        </w:rPr>
        <w:t>rt. 438</w:t>
      </w:r>
      <w:r w:rsidR="002B341E" w:rsidRPr="002B341E">
        <w:rPr>
          <w:rFonts w:eastAsiaTheme="minorHAnsi" w:cs="OpenSans-Regular"/>
          <w:b/>
          <w:sz w:val="24"/>
          <w:szCs w:val="24"/>
          <w:lang w:eastAsia="en-US"/>
        </w:rPr>
        <w:t xml:space="preserve"> ust. 2 </w:t>
      </w:r>
      <w:r w:rsidR="00511C45" w:rsidRPr="002B341E">
        <w:rPr>
          <w:rFonts w:eastAsiaTheme="minorHAnsi" w:cs="OpenSans-Regular"/>
          <w:b/>
          <w:sz w:val="24"/>
          <w:szCs w:val="24"/>
          <w:lang w:eastAsia="en-US"/>
        </w:rPr>
        <w:t>u</w:t>
      </w:r>
      <w:r w:rsidR="00511C45" w:rsidRPr="002B341E">
        <w:rPr>
          <w:rFonts w:eastAsiaTheme="minorHAnsi" w:cs="OpenSans-Regular"/>
          <w:b/>
          <w:sz w:val="24"/>
          <w:szCs w:val="24"/>
          <w:lang w:eastAsia="en-US"/>
        </w:rPr>
        <w:t>stawy</w:t>
      </w:r>
      <w:r w:rsidR="002B341E" w:rsidRPr="002B341E">
        <w:rPr>
          <w:rFonts w:eastAsiaTheme="minorHAnsi" w:cs="OpenSans-Regular"/>
          <w:b/>
          <w:sz w:val="24"/>
          <w:szCs w:val="24"/>
          <w:lang w:eastAsia="en-US"/>
        </w:rPr>
        <w:t xml:space="preserve"> z dnia 11 września 2019</w:t>
      </w:r>
      <w:r w:rsidR="00511C45" w:rsidRPr="002B341E">
        <w:rPr>
          <w:rFonts w:eastAsiaTheme="minorHAnsi" w:cs="OpenSans-Regular"/>
          <w:b/>
          <w:sz w:val="24"/>
          <w:szCs w:val="24"/>
          <w:lang w:eastAsia="en-US"/>
        </w:rPr>
        <w:t xml:space="preserve"> r.</w:t>
      </w:r>
      <w:r w:rsidR="00511C45" w:rsidRPr="002B341E">
        <w:rPr>
          <w:rFonts w:eastAsiaTheme="minorHAnsi" w:cs="OpenSans-Regular"/>
          <w:b/>
          <w:sz w:val="24"/>
          <w:szCs w:val="24"/>
          <w:lang w:eastAsia="en-US"/>
        </w:rPr>
        <w:t xml:space="preserve"> Prawo zamówień publicznych</w:t>
      </w:r>
      <w:r w:rsidR="002B341E">
        <w:rPr>
          <w:rFonts w:eastAsiaTheme="minorHAnsi" w:cs="OpenSans-Regular"/>
          <w:b/>
          <w:sz w:val="24"/>
          <w:szCs w:val="24"/>
          <w:lang w:eastAsia="en-US"/>
        </w:rPr>
        <w:t xml:space="preserve"> (zwanej dalej: Pzp)</w:t>
      </w:r>
      <w:r w:rsidR="00511C45" w:rsidRPr="002B341E">
        <w:rPr>
          <w:rFonts w:eastAsiaTheme="minorHAnsi" w:cs="OpenSans-Regular"/>
          <w:sz w:val="24"/>
          <w:szCs w:val="24"/>
          <w:lang w:eastAsia="en-US"/>
        </w:rPr>
        <w:t xml:space="preserve"> [2. W celu weryfikacji zatrudniania, przez wykonawcę lub podwykonawcę, na podstawie</w:t>
      </w:r>
      <w:r w:rsidR="002B341E">
        <w:rPr>
          <w:rFonts w:eastAsiaTheme="minorHAnsi" w:cs="OpenSans-Regular"/>
          <w:sz w:val="24"/>
          <w:szCs w:val="24"/>
          <w:lang w:eastAsia="en-US"/>
        </w:rPr>
        <w:t xml:space="preserve"> </w:t>
      </w:r>
      <w:r w:rsidR="00511C45" w:rsidRPr="002B341E">
        <w:rPr>
          <w:rFonts w:eastAsiaTheme="minorHAnsi" w:cs="OpenSans-Regular"/>
          <w:sz w:val="24"/>
          <w:szCs w:val="24"/>
          <w:lang w:eastAsia="en-US"/>
        </w:rPr>
        <w:t>umowy o pracę, osób wykonujących wskazane przez zamawiającego czynności w zakresie</w:t>
      </w:r>
      <w:r w:rsidR="002B341E">
        <w:rPr>
          <w:rFonts w:eastAsiaTheme="minorHAnsi" w:cs="OpenSans-Regular"/>
          <w:sz w:val="24"/>
          <w:szCs w:val="24"/>
          <w:lang w:eastAsia="en-US"/>
        </w:rPr>
        <w:t xml:space="preserve"> </w:t>
      </w:r>
      <w:r w:rsidR="00511C45" w:rsidRPr="002B341E">
        <w:rPr>
          <w:rFonts w:eastAsiaTheme="minorHAnsi" w:cs="OpenSans-Regular"/>
          <w:sz w:val="24"/>
          <w:szCs w:val="24"/>
          <w:lang w:eastAsia="en-US"/>
        </w:rPr>
        <w:t>realizacji zamówienia, umowa przewiduje możliwość żądania przez zamawiającego</w:t>
      </w:r>
      <w:r w:rsidR="002B341E">
        <w:rPr>
          <w:rFonts w:eastAsiaTheme="minorHAnsi" w:cs="OpenSans-Regular"/>
          <w:sz w:val="24"/>
          <w:szCs w:val="24"/>
          <w:lang w:eastAsia="en-US"/>
        </w:rPr>
        <w:t xml:space="preserve"> </w:t>
      </w:r>
      <w:r w:rsidR="00511C45" w:rsidRPr="002B341E">
        <w:rPr>
          <w:rFonts w:eastAsiaTheme="minorHAnsi" w:cs="OpenSans-Regular"/>
          <w:sz w:val="24"/>
          <w:szCs w:val="24"/>
          <w:lang w:eastAsia="en-US"/>
        </w:rPr>
        <w:t>w szczególności:</w:t>
      </w:r>
    </w:p>
    <w:p w:rsidR="00511C45" w:rsidRPr="002B341E" w:rsidRDefault="00511C45" w:rsidP="005A7E79">
      <w:pPr>
        <w:spacing w:line="360" w:lineRule="auto"/>
        <w:ind w:left="1"/>
        <w:rPr>
          <w:rFonts w:eastAsiaTheme="minorHAnsi" w:cs="OpenSans-Regular"/>
          <w:sz w:val="24"/>
          <w:szCs w:val="24"/>
          <w:lang w:eastAsia="en-US"/>
        </w:rPr>
      </w:pPr>
      <w:r w:rsidRPr="002B341E">
        <w:rPr>
          <w:rFonts w:eastAsiaTheme="minorHAnsi" w:cs="OpenSans-Regular"/>
          <w:sz w:val="24"/>
          <w:szCs w:val="24"/>
          <w:lang w:eastAsia="en-US"/>
        </w:rPr>
        <w:t>1) oświadczenia zatrudnionego pracownika,</w:t>
      </w:r>
    </w:p>
    <w:p w:rsidR="00511C45" w:rsidRPr="002B341E" w:rsidRDefault="00511C45" w:rsidP="005A7E79">
      <w:pPr>
        <w:spacing w:line="360" w:lineRule="auto"/>
        <w:ind w:left="1"/>
        <w:rPr>
          <w:rFonts w:eastAsiaTheme="minorHAnsi" w:cs="OpenSans-Regular"/>
          <w:sz w:val="24"/>
          <w:szCs w:val="24"/>
          <w:lang w:eastAsia="en-US"/>
        </w:rPr>
      </w:pPr>
      <w:r w:rsidRPr="002B341E">
        <w:rPr>
          <w:rFonts w:eastAsiaTheme="minorHAnsi" w:cs="OpenSans-Regular"/>
          <w:sz w:val="24"/>
          <w:szCs w:val="24"/>
          <w:lang w:eastAsia="en-US"/>
        </w:rPr>
        <w:t>2) oświadczenia wykonawcy lub podwykonawcy o zatrudnieniu pracownika na</w:t>
      </w:r>
      <w:r w:rsidR="002B341E">
        <w:rPr>
          <w:rFonts w:eastAsiaTheme="minorHAnsi" w:cs="OpenSans-Regular"/>
          <w:sz w:val="24"/>
          <w:szCs w:val="24"/>
          <w:lang w:eastAsia="en-US"/>
        </w:rPr>
        <w:t xml:space="preserve"> </w:t>
      </w:r>
      <w:r w:rsidRPr="002B341E">
        <w:rPr>
          <w:rFonts w:eastAsiaTheme="minorHAnsi" w:cs="OpenSans-Regular"/>
          <w:sz w:val="24"/>
          <w:szCs w:val="24"/>
          <w:lang w:eastAsia="en-US"/>
        </w:rPr>
        <w:t>podstawie umowy o pracę,</w:t>
      </w:r>
    </w:p>
    <w:p w:rsidR="00511C45" w:rsidRPr="002B341E" w:rsidRDefault="00511C45" w:rsidP="005A7E79">
      <w:pPr>
        <w:spacing w:line="360" w:lineRule="auto"/>
        <w:ind w:left="1"/>
        <w:rPr>
          <w:rFonts w:eastAsiaTheme="minorHAnsi" w:cs="OpenSans-Regular"/>
          <w:sz w:val="24"/>
          <w:szCs w:val="24"/>
          <w:lang w:eastAsia="en-US"/>
        </w:rPr>
      </w:pPr>
      <w:r w:rsidRPr="002B341E">
        <w:rPr>
          <w:rFonts w:eastAsiaTheme="minorHAnsi" w:cs="OpenSans-Regular"/>
          <w:sz w:val="24"/>
          <w:szCs w:val="24"/>
          <w:lang w:eastAsia="en-US"/>
        </w:rPr>
        <w:t>3) poświadczonej za zgodność z oryginałem kopii umowy o pracę zatrudnionego</w:t>
      </w:r>
      <w:r w:rsidR="002B341E">
        <w:rPr>
          <w:rFonts w:eastAsiaTheme="minorHAnsi" w:cs="OpenSans-Regular"/>
          <w:sz w:val="24"/>
          <w:szCs w:val="24"/>
          <w:lang w:eastAsia="en-US"/>
        </w:rPr>
        <w:t xml:space="preserve"> </w:t>
      </w:r>
      <w:r w:rsidRPr="002B341E">
        <w:rPr>
          <w:rFonts w:eastAsiaTheme="minorHAnsi" w:cs="OpenSans-Regular"/>
          <w:sz w:val="24"/>
          <w:szCs w:val="24"/>
          <w:lang w:eastAsia="en-US"/>
        </w:rPr>
        <w:t>pracownika,</w:t>
      </w:r>
    </w:p>
    <w:p w:rsidR="00511C45" w:rsidRPr="002B341E" w:rsidRDefault="00511C45" w:rsidP="005A7E79">
      <w:pPr>
        <w:spacing w:line="360" w:lineRule="auto"/>
        <w:ind w:left="1"/>
        <w:rPr>
          <w:rFonts w:eastAsiaTheme="minorHAnsi" w:cs="OpenSans-Regular"/>
          <w:sz w:val="24"/>
          <w:szCs w:val="24"/>
          <w:lang w:eastAsia="en-US"/>
        </w:rPr>
      </w:pPr>
      <w:r w:rsidRPr="002B341E">
        <w:rPr>
          <w:rFonts w:eastAsiaTheme="minorHAnsi" w:cs="OpenSans-Regular"/>
          <w:sz w:val="24"/>
          <w:szCs w:val="24"/>
          <w:lang w:eastAsia="en-US"/>
        </w:rPr>
        <w:t>4) innych dokumentów</w:t>
      </w:r>
    </w:p>
    <w:p w:rsidR="00511C45" w:rsidRPr="002B341E" w:rsidRDefault="00511C45" w:rsidP="005A7E79">
      <w:pPr>
        <w:spacing w:line="360" w:lineRule="auto"/>
        <w:ind w:left="1"/>
        <w:rPr>
          <w:rFonts w:eastAsiaTheme="minorHAnsi" w:cs="OpenSans-Regular"/>
          <w:sz w:val="24"/>
          <w:szCs w:val="24"/>
          <w:lang w:eastAsia="en-US"/>
        </w:rPr>
      </w:pPr>
      <w:r w:rsidRPr="002B341E">
        <w:rPr>
          <w:rFonts w:eastAsiaTheme="minorHAnsi" w:cs="OpenSans-Regular"/>
          <w:sz w:val="24"/>
          <w:szCs w:val="24"/>
          <w:lang w:eastAsia="en-US"/>
        </w:rPr>
        <w:t>- zawierających informacje, w tym dane osobowe, niezbędne do weryfikacji zatrudnienia na</w:t>
      </w:r>
      <w:r w:rsidR="002B341E">
        <w:rPr>
          <w:rFonts w:eastAsiaTheme="minorHAnsi" w:cs="OpenSans-Regular"/>
          <w:sz w:val="24"/>
          <w:szCs w:val="24"/>
          <w:lang w:eastAsia="en-US"/>
        </w:rPr>
        <w:t xml:space="preserve"> </w:t>
      </w:r>
      <w:r w:rsidRPr="002B341E">
        <w:rPr>
          <w:rFonts w:eastAsiaTheme="minorHAnsi" w:cs="OpenSans-Regular"/>
          <w:sz w:val="24"/>
          <w:szCs w:val="24"/>
          <w:lang w:eastAsia="en-US"/>
        </w:rPr>
        <w:t xml:space="preserve">podstawie umowy o pracę, </w:t>
      </w:r>
      <w:r w:rsidRPr="002B341E">
        <w:rPr>
          <w:rFonts w:eastAsiaTheme="minorHAnsi" w:cs="OpenSans-Regular"/>
          <w:b/>
          <w:sz w:val="24"/>
          <w:szCs w:val="24"/>
          <w:lang w:eastAsia="en-US"/>
        </w:rPr>
        <w:t>w szczególności imię i nazwisko zatrudnionego pracownika, datę</w:t>
      </w:r>
      <w:r w:rsidR="002B341E" w:rsidRPr="002B341E">
        <w:rPr>
          <w:rFonts w:eastAsiaTheme="minorHAnsi" w:cs="OpenSans-Regular"/>
          <w:b/>
          <w:sz w:val="24"/>
          <w:szCs w:val="24"/>
          <w:lang w:eastAsia="en-US"/>
        </w:rPr>
        <w:t xml:space="preserve"> </w:t>
      </w:r>
      <w:r w:rsidRPr="002B341E">
        <w:rPr>
          <w:rFonts w:eastAsiaTheme="minorHAnsi" w:cs="OpenSans-Regular"/>
          <w:b/>
          <w:sz w:val="24"/>
          <w:szCs w:val="24"/>
          <w:lang w:eastAsia="en-US"/>
        </w:rPr>
        <w:t>zawarcia umowy o pracę, rodzaj umowy o pracę i zakres obowiązków pracownika</w:t>
      </w:r>
      <w:r w:rsidRPr="002B341E">
        <w:rPr>
          <w:rFonts w:eastAsiaTheme="minorHAnsi" w:cs="OpenSans-Regular"/>
          <w:sz w:val="24"/>
          <w:szCs w:val="24"/>
          <w:lang w:eastAsia="en-US"/>
        </w:rPr>
        <w:t>.</w:t>
      </w:r>
      <w:r w:rsidR="002B341E">
        <w:rPr>
          <w:rFonts w:eastAsiaTheme="minorHAnsi" w:cs="OpenSans-Regular"/>
          <w:sz w:val="24"/>
          <w:szCs w:val="24"/>
          <w:lang w:eastAsia="en-US"/>
        </w:rPr>
        <w:t>]</w:t>
      </w:r>
    </w:p>
    <w:p w:rsidR="00516D99" w:rsidRDefault="00516D99" w:rsidP="005A7E79">
      <w:pPr>
        <w:spacing w:line="360" w:lineRule="auto"/>
        <w:ind w:left="1"/>
        <w:rPr>
          <w:rFonts w:eastAsia="Trebuchet MS"/>
          <w:color w:val="000000" w:themeColor="text1"/>
          <w:sz w:val="24"/>
          <w:szCs w:val="24"/>
        </w:rPr>
      </w:pPr>
    </w:p>
    <w:p w:rsidR="00511C45" w:rsidRDefault="00516D99" w:rsidP="005A7E79">
      <w:pPr>
        <w:spacing w:line="360" w:lineRule="auto"/>
        <w:ind w:left="1"/>
        <w:rPr>
          <w:rFonts w:eastAsia="Trebuchet MS"/>
          <w:color w:val="000000" w:themeColor="text1"/>
          <w:sz w:val="24"/>
          <w:szCs w:val="24"/>
        </w:rPr>
      </w:pPr>
      <w:r w:rsidRPr="00516D99">
        <w:rPr>
          <w:rFonts w:eastAsia="Trebuchet MS"/>
          <w:color w:val="000000" w:themeColor="text1"/>
          <w:sz w:val="24"/>
          <w:szCs w:val="24"/>
        </w:rPr>
        <w:t xml:space="preserve">Ponadto należy nadmienić, że Wykonawca przywołuje zapisy ustawy z dnia </w:t>
      </w:r>
      <w:r>
        <w:rPr>
          <w:rFonts w:eastAsia="Trebuchet MS"/>
          <w:color w:val="000000" w:themeColor="text1"/>
          <w:sz w:val="24"/>
          <w:szCs w:val="24"/>
        </w:rPr>
        <w:t xml:space="preserve">29 stycznia 2004 r. Prawo zamówień publicznych oraz Rozporządzenie </w:t>
      </w:r>
      <w:r w:rsidRPr="00516D99">
        <w:rPr>
          <w:rFonts w:eastAsia="Trebuchet MS"/>
          <w:color w:val="000000" w:themeColor="text1"/>
          <w:sz w:val="24"/>
          <w:szCs w:val="24"/>
        </w:rPr>
        <w:t>Ministra Rozwoju z dnia 26 lipca 2016 r. w sprawie rodzajów dokumentów, jakich może żądać zamawiający od wykonawcy w post</w:t>
      </w:r>
      <w:r>
        <w:rPr>
          <w:rFonts w:eastAsia="Trebuchet MS"/>
          <w:color w:val="000000" w:themeColor="text1"/>
          <w:sz w:val="24"/>
          <w:szCs w:val="24"/>
        </w:rPr>
        <w:t xml:space="preserve">ępowaniu o udzielenie zamówienia, </w:t>
      </w:r>
      <w:r w:rsidR="00ED58CA">
        <w:rPr>
          <w:rFonts w:eastAsia="Trebuchet MS"/>
          <w:color w:val="000000" w:themeColor="text1"/>
          <w:sz w:val="24"/>
          <w:szCs w:val="24"/>
        </w:rPr>
        <w:t>które obowiązywały</w:t>
      </w:r>
      <w:r>
        <w:rPr>
          <w:rFonts w:eastAsia="Trebuchet MS"/>
          <w:color w:val="000000" w:themeColor="text1"/>
          <w:sz w:val="24"/>
          <w:szCs w:val="24"/>
        </w:rPr>
        <w:t xml:space="preserve"> do 31.12.2020 r. </w:t>
      </w:r>
    </w:p>
    <w:p w:rsidR="00ED58CA" w:rsidRPr="00ED58CA" w:rsidRDefault="00ED58CA" w:rsidP="005A7E79">
      <w:pPr>
        <w:spacing w:line="360" w:lineRule="auto"/>
        <w:ind w:left="1"/>
        <w:rPr>
          <w:rFonts w:eastAsia="Trebuchet MS"/>
          <w:color w:val="000000" w:themeColor="text1"/>
          <w:sz w:val="24"/>
          <w:szCs w:val="24"/>
        </w:rPr>
      </w:pPr>
      <w:r>
        <w:rPr>
          <w:rFonts w:eastAsia="Trebuchet MS"/>
          <w:color w:val="000000" w:themeColor="text1"/>
          <w:sz w:val="24"/>
          <w:szCs w:val="24"/>
        </w:rPr>
        <w:t xml:space="preserve">Klauzule zatrudnienia wynikają z art. 95 Pzp i nie są warunkami udziału w postępowaniu określonymi zgodnie z art. 112 Pzp, a więc nie ma do nich zastosowanie </w:t>
      </w:r>
      <w:r w:rsidRPr="00ED58CA">
        <w:rPr>
          <w:rFonts w:eastAsia="Trebuchet MS"/>
          <w:color w:val="000000" w:themeColor="text1"/>
          <w:sz w:val="24"/>
          <w:szCs w:val="24"/>
        </w:rPr>
        <w:t>Rozporządzenie</w:t>
      </w:r>
      <w:r>
        <w:rPr>
          <w:rFonts w:eastAsia="Trebuchet MS"/>
          <w:color w:val="000000" w:themeColor="text1"/>
          <w:sz w:val="24"/>
          <w:szCs w:val="24"/>
        </w:rPr>
        <w:t xml:space="preserve"> </w:t>
      </w:r>
      <w:r w:rsidRPr="00ED58CA">
        <w:rPr>
          <w:rFonts w:eastAsia="Trebuchet MS"/>
          <w:color w:val="000000" w:themeColor="text1"/>
          <w:sz w:val="24"/>
          <w:szCs w:val="24"/>
        </w:rPr>
        <w:t>Ministr</w:t>
      </w:r>
      <w:r>
        <w:rPr>
          <w:rFonts w:eastAsia="Trebuchet MS"/>
          <w:color w:val="000000" w:themeColor="text1"/>
          <w:sz w:val="24"/>
          <w:szCs w:val="24"/>
        </w:rPr>
        <w:t xml:space="preserve">a Rozwoju, Pracy i Technologii </w:t>
      </w:r>
      <w:r w:rsidRPr="00ED58CA">
        <w:rPr>
          <w:rFonts w:eastAsia="Trebuchet MS"/>
          <w:color w:val="000000" w:themeColor="text1"/>
          <w:sz w:val="24"/>
          <w:szCs w:val="24"/>
        </w:rPr>
        <w:t>z dnia 23 grudnia 2020 r.</w:t>
      </w:r>
      <w:r>
        <w:rPr>
          <w:rFonts w:eastAsia="Trebuchet MS"/>
          <w:color w:val="000000" w:themeColor="text1"/>
          <w:sz w:val="24"/>
          <w:szCs w:val="24"/>
        </w:rPr>
        <w:t xml:space="preserve"> </w:t>
      </w:r>
      <w:r w:rsidRPr="00ED58CA">
        <w:rPr>
          <w:rFonts w:eastAsia="Trebuchet MS"/>
          <w:color w:val="000000" w:themeColor="text1"/>
          <w:sz w:val="24"/>
          <w:szCs w:val="24"/>
        </w:rPr>
        <w:t xml:space="preserve">w sprawie podmiotowych środków dowodowych oraz innych dokumentów lub oświadczeń, jakich może </w:t>
      </w:r>
      <w:r>
        <w:rPr>
          <w:rFonts w:eastAsia="Trebuchet MS"/>
          <w:color w:val="000000" w:themeColor="text1"/>
          <w:sz w:val="24"/>
          <w:szCs w:val="24"/>
        </w:rPr>
        <w:t xml:space="preserve">żądać zamawiający od wykonawcy. Zgodnie z art. 95 ust. 2 Pzp Zamawiający </w:t>
      </w:r>
      <w:r w:rsidRPr="00ED58CA">
        <w:rPr>
          <w:rFonts w:eastAsia="Trebuchet MS"/>
          <w:color w:val="000000" w:themeColor="text1"/>
          <w:sz w:val="24"/>
          <w:szCs w:val="24"/>
        </w:rPr>
        <w:t>określa w dokumentach zamówienia, w szczególności:</w:t>
      </w:r>
    </w:p>
    <w:p w:rsidR="00ED58CA" w:rsidRPr="00ED58CA" w:rsidRDefault="00ED58CA" w:rsidP="005A7E79">
      <w:pPr>
        <w:spacing w:line="360" w:lineRule="auto"/>
        <w:ind w:left="1"/>
        <w:rPr>
          <w:rFonts w:eastAsia="Trebuchet MS"/>
          <w:color w:val="000000" w:themeColor="text1"/>
          <w:sz w:val="24"/>
          <w:szCs w:val="24"/>
        </w:rPr>
      </w:pPr>
      <w:r w:rsidRPr="00ED58CA">
        <w:rPr>
          <w:rFonts w:eastAsia="Trebuchet MS"/>
          <w:color w:val="000000" w:themeColor="text1"/>
          <w:sz w:val="24"/>
          <w:szCs w:val="24"/>
        </w:rPr>
        <w:t>1) rodzaj czynności związanych z realizacją zamówienia, których dotyczą wymagania zatrudnienia na podstawie stosunku pracy przez wykonawcę lub podwykonawcę osób wykonujących czynności w trakcie realizacji zamówienia;</w:t>
      </w:r>
    </w:p>
    <w:p w:rsidR="00ED58CA" w:rsidRPr="00ED58CA" w:rsidRDefault="00ED58CA" w:rsidP="005A7E79">
      <w:pPr>
        <w:spacing w:line="360" w:lineRule="auto"/>
        <w:ind w:left="1"/>
        <w:rPr>
          <w:rFonts w:eastAsia="Trebuchet MS"/>
          <w:color w:val="000000" w:themeColor="text1"/>
          <w:sz w:val="24"/>
          <w:szCs w:val="24"/>
        </w:rPr>
      </w:pPr>
      <w:r w:rsidRPr="00ED58CA">
        <w:rPr>
          <w:rFonts w:eastAsia="Trebuchet MS"/>
          <w:color w:val="000000" w:themeColor="text1"/>
          <w:sz w:val="24"/>
          <w:szCs w:val="24"/>
        </w:rPr>
        <w:t>2) sposób weryfikacji zatrudnienia tych osób;</w:t>
      </w:r>
    </w:p>
    <w:p w:rsidR="00ED58CA" w:rsidRPr="00516D99" w:rsidRDefault="00ED58CA" w:rsidP="005A7E79">
      <w:pPr>
        <w:spacing w:line="360" w:lineRule="auto"/>
        <w:ind w:left="1"/>
        <w:rPr>
          <w:rFonts w:eastAsia="Trebuchet MS"/>
          <w:color w:val="000000" w:themeColor="text1"/>
          <w:sz w:val="24"/>
          <w:szCs w:val="24"/>
        </w:rPr>
      </w:pPr>
      <w:r w:rsidRPr="00ED58CA">
        <w:rPr>
          <w:rFonts w:eastAsia="Trebuchet MS"/>
          <w:color w:val="000000" w:themeColor="text1"/>
          <w:sz w:val="24"/>
          <w:szCs w:val="24"/>
        </w:rPr>
        <w:t>3) uprawnienia zamawiającego w zakresie kontroli spełniania przez wykonawcę wymagań związanych z zatrudnianiem tych osób oraz sankcji z tytułu niespełnienia tych wymagań.</w:t>
      </w:r>
    </w:p>
    <w:p w:rsidR="00511C45" w:rsidRPr="002B341E" w:rsidRDefault="00511C45" w:rsidP="005A7E79">
      <w:pPr>
        <w:spacing w:line="360" w:lineRule="auto"/>
        <w:ind w:left="1"/>
        <w:rPr>
          <w:rFonts w:eastAsia="Trebuchet MS"/>
          <w:b/>
          <w:color w:val="000000" w:themeColor="text1"/>
          <w:sz w:val="24"/>
          <w:szCs w:val="24"/>
        </w:rPr>
      </w:pPr>
    </w:p>
    <w:p w:rsidR="00081083" w:rsidRPr="002B341E" w:rsidRDefault="00081083" w:rsidP="005A7E79">
      <w:pPr>
        <w:spacing w:line="360" w:lineRule="auto"/>
        <w:ind w:left="1"/>
        <w:rPr>
          <w:rFonts w:eastAsia="Trebuchet MS"/>
          <w:b/>
          <w:color w:val="000000" w:themeColor="text1"/>
          <w:sz w:val="24"/>
          <w:szCs w:val="24"/>
        </w:rPr>
      </w:pPr>
      <w:r w:rsidRPr="002B341E">
        <w:rPr>
          <w:rFonts w:eastAsia="Trebuchet MS"/>
          <w:b/>
          <w:color w:val="000000" w:themeColor="text1"/>
          <w:sz w:val="24"/>
          <w:szCs w:val="24"/>
        </w:rPr>
        <w:t>Pytanie 2</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Zamawiający w § 11 wzoru umowy (Załącznik nr 4 do SWZ) określił kary umowne w ust. 6. Zgodnie z postanowieniami SWZ usługi pocztowe stanowiące przedmiot zamówienia realizowane będą m.in. na zasadach określonych w ustawie z dnia 23 listopada 2012 r. - Prawo Pocztowe (Dz. U. z dnia 29 grudnia 2012 r., poz. 1529). Wykonawca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w:t>
      </w:r>
      <w:r w:rsidRPr="002B341E">
        <w:rPr>
          <w:rFonts w:eastAsia="Trebuchet MS"/>
          <w:color w:val="000000" w:themeColor="text1"/>
          <w:sz w:val="24"/>
          <w:szCs w:val="24"/>
        </w:rPr>
        <w:t xml:space="preserve"> </w:t>
      </w:r>
      <w:r w:rsidRPr="002B341E">
        <w:rPr>
          <w:rFonts w:eastAsia="Trebuchet MS"/>
          <w:color w:val="000000" w:themeColor="text1"/>
          <w:sz w:val="24"/>
          <w:szCs w:val="24"/>
        </w:rPr>
        <w:t>inaczej. Zatem w przypadku wykonania lub nienależytego wykonania usługi pocztowej, w pierwszej kolejności znajdą zastosowanie przepisy w/w ustawy 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zgodnie z którym można zastrzec w umowie, że naprawienie szkody wynikłej z niewykonania lub nienależytego wykonania zobowiązania niepieniężnego nastąpi przez zapłatę określonej sumy (kara umowna). Nadto art. 484 kodeksu cywilnego stanowi m.in. jeżeli zobowiązanie zostało w znacznej części wykonane, dłużnik może</w:t>
      </w:r>
      <w:r w:rsidRPr="002B341E">
        <w:rPr>
          <w:rFonts w:eastAsia="Trebuchet MS"/>
          <w:color w:val="000000" w:themeColor="text1"/>
          <w:sz w:val="24"/>
          <w:szCs w:val="24"/>
        </w:rPr>
        <w:t xml:space="preserve"> </w:t>
      </w:r>
      <w:r w:rsidRPr="002B341E">
        <w:rPr>
          <w:rFonts w:eastAsia="Trebuchet MS"/>
          <w:color w:val="000000" w:themeColor="text1"/>
          <w:sz w:val="24"/>
          <w:szCs w:val="24"/>
        </w:rPr>
        <w:t>żądać zmniejszenia kary umownej; to samo dotyczy wypadku, gdy kara umowna jest rażąco wygórowana.</w:t>
      </w:r>
      <w:r w:rsidRPr="002B341E">
        <w:rPr>
          <w:rFonts w:eastAsia="Trebuchet MS"/>
          <w:color w:val="000000" w:themeColor="text1"/>
          <w:sz w:val="24"/>
          <w:szCs w:val="24"/>
        </w:rPr>
        <w:t xml:space="preserve"> </w:t>
      </w:r>
      <w:r w:rsidRPr="002B341E">
        <w:rPr>
          <w:rFonts w:eastAsia="Trebuchet MS"/>
          <w:color w:val="000000" w:themeColor="text1"/>
          <w:sz w:val="24"/>
          <w:szCs w:val="24"/>
        </w:rPr>
        <w:t>Wskazujemy, iż zwłaszcza w odniesieniu do operatora wyznaczonego, takie określenie zasad odpowiedzialności nosi znamiona naruszenia przepisów bezwzględnie obowiązujących.</w:t>
      </w:r>
      <w:r w:rsidRPr="002B341E">
        <w:rPr>
          <w:rFonts w:eastAsia="Trebuchet MS"/>
          <w:color w:val="000000" w:themeColor="text1"/>
          <w:sz w:val="24"/>
          <w:szCs w:val="24"/>
        </w:rPr>
        <w:t xml:space="preserve"> </w:t>
      </w:r>
      <w:r w:rsidRPr="002B341E">
        <w:rPr>
          <w:rFonts w:eastAsia="Trebuchet MS"/>
          <w:color w:val="000000" w:themeColor="text1"/>
          <w:sz w:val="24"/>
          <w:szCs w:val="24"/>
        </w:rPr>
        <w:t xml:space="preserve">Zgodnie z SWZ usługi stanowiące przedmiot zamówienia realizowane będą wobec przesyłek, których realizacja oparta jest m.in. na zasadach określonych w ustawie Prawo pocztowe, tym samym Wykonawca jako operator wyznaczony jest zobowiązany do stosowania w zakresie niewykonania lub nienależytego wykonania usług pocztowych przepisów Rozdziału 8 ustawy Prawo pocztowe. Zgodnie z art. 87 w/w ustawy do odpowiedzialności operatorów za niewykonanie lub nienależyte wykonanie usługi pocztowej stosuje się przepisy Kodeksu cywilnego, jeżeli przepisy ustawy nie stanowią inaczej. </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 Rozszerzenie odpowiedzialności operatora pocztowego zostało przewidziane jedynie w art. 87 ust. 5, zgodnie z którym operator pocztowy odpowiada za niewykonanie lub nienależyte wykonanie usługi </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pocztowej w zakresie określonym ustawą, chyba że niewykonanie lub nienależyte jej wykonanie:</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1) </w:t>
      </w:r>
      <w:r w:rsidRPr="002B341E">
        <w:rPr>
          <w:rFonts w:eastAsia="Trebuchet MS"/>
          <w:color w:val="000000" w:themeColor="text1"/>
          <w:sz w:val="24"/>
          <w:szCs w:val="24"/>
        </w:rPr>
        <w:t>jest następstwem czynu niedozwolonego;</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2) </w:t>
      </w:r>
      <w:r w:rsidRPr="002B341E">
        <w:rPr>
          <w:rFonts w:eastAsia="Trebuchet MS"/>
          <w:color w:val="000000" w:themeColor="text1"/>
          <w:sz w:val="24"/>
          <w:szCs w:val="24"/>
        </w:rPr>
        <w:t>nastąpiło z winy umyślnej operatora;</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3) </w:t>
      </w:r>
      <w:r w:rsidRPr="002B341E">
        <w:rPr>
          <w:rFonts w:eastAsia="Trebuchet MS"/>
          <w:color w:val="000000" w:themeColor="text1"/>
          <w:sz w:val="24"/>
          <w:szCs w:val="24"/>
        </w:rPr>
        <w:t>jest wynikiem rażącego niedbalstwa operatora.</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Zatem jedynie w w/w przypadkach operator pocztowy może podlegać odpowiedzialności szerszej aniżeli wynikająca z przepisów prawa pocztowego.</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Podkreślenia wymaga, że w Kodeksie cywilnym w art. 471 występuje pojęcie "niewykonanie zobowiązania", co odnosi się dokładnie do pojęcia "niewykonanie zamówienia" w ustawie o zamówieniach publicznych. Zdarzenie to występuje tylko wtedy, gdy świadczenie określone w umowie nie zostało w ogóle wykonane.</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W tym samym artykule Kodeksu cywilnego mamy pojęcie "nienależytego wykonania zobowiązania", a w art. 472 pojęcie "niezachowanie należytej staranności". Oba te określenia należy przypisać pojęciu użytemu w ustawie, a mianowicie "wykonanie zamówienia z nienależytą starannością". Określenie to jest tak pojemne, że niemożliwe jest określenie wszystkich sytuacji, w których ono występuje. Dokonując jednak dla jasności uogólnienia, można stwierdzić, że o nienależytym spełnieniu świadczenia możemy mówić w aspekcie niezachowania terminu spełnienia świadczenia, czy też wadliwości świadczenia. </w:t>
      </w:r>
    </w:p>
    <w:p w:rsidR="000356D4"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Należy do naszego uogólnienia dodać jeszcze, że w Kodeksie cywilnym pojęcie "niezachowanie należytej staranności" rozumiane jest jako synonim winy w postaci niedbalstwa. Skoro tak, to zakres odpowiedzialności z tytułu kary umownej pokrywa się w pełni z zakresem ogólnej odpowiedzialności dłużnika za niewykonanie lub nienależyte wykonanie zobowiązania (art. 471 kodeksu cywilnego).</w:t>
      </w:r>
      <w:r w:rsidRPr="002B341E">
        <w:rPr>
          <w:rFonts w:eastAsia="Trebuchet MS"/>
          <w:color w:val="000000" w:themeColor="text1"/>
          <w:sz w:val="24"/>
          <w:szCs w:val="24"/>
        </w:rPr>
        <w:t xml:space="preserve"> </w:t>
      </w:r>
      <w:r w:rsidRPr="002B341E">
        <w:rPr>
          <w:rFonts w:eastAsia="Trebuchet MS"/>
          <w:color w:val="000000" w:themeColor="text1"/>
          <w:sz w:val="24"/>
          <w:szCs w:val="24"/>
        </w:rPr>
        <w:t>Ponadto Wykonawca wskazuje, iż postanowienia wzoru umowy w tym zakresie, w szczególności wysokości kar umownych są sformułowane w sposób naruszający naczelne zasady zamówień publicznych co uniemożliwia de facto złożenie oferty przez Wykonawcę.</w:t>
      </w:r>
      <w:r w:rsidRPr="002B341E">
        <w:rPr>
          <w:rFonts w:eastAsia="Trebuchet MS"/>
          <w:color w:val="000000" w:themeColor="text1"/>
          <w:sz w:val="24"/>
          <w:szCs w:val="24"/>
        </w:rPr>
        <w:t xml:space="preserve"> </w:t>
      </w:r>
      <w:r w:rsidRPr="002B341E">
        <w:rPr>
          <w:rFonts w:eastAsia="Trebuchet MS"/>
          <w:color w:val="000000" w:themeColor="text1"/>
          <w:sz w:val="24"/>
          <w:szCs w:val="24"/>
        </w:rPr>
        <w:t>W pierwszej kolejności wskazania wymaga, że budzącym wątpliwości stwierdzeniem jest fakt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w:t>
      </w:r>
      <w:r w:rsidRPr="002B341E">
        <w:rPr>
          <w:rFonts w:eastAsia="Trebuchet MS"/>
          <w:color w:val="000000" w:themeColor="text1"/>
          <w:sz w:val="24"/>
          <w:szCs w:val="24"/>
        </w:rPr>
        <w:t xml:space="preserve"> </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 xml:space="preserve">Konieczność zapłaty kar w wysokości przewidzianej szczególnie w § 11 ust. 1 lit. b) c) d) wzoru umowy jest rażąco wygórowana i wskazuje na oczywistą dysproporcję pomiędzy ciężarem naruszenia obowiązków przez Wykonawcę a rozmiarem sankcji wymierzanej z tego tytułu. Jak wskazuje bowiem 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w:t>
      </w:r>
      <w:r w:rsidRPr="002B341E">
        <w:rPr>
          <w:rFonts w:eastAsia="Trebuchet MS"/>
          <w:color w:val="000000" w:themeColor="text1"/>
          <w:sz w:val="24"/>
          <w:szCs w:val="24"/>
        </w:rPr>
        <w:t>b</w:t>
      </w:r>
      <w:r w:rsidRPr="002B341E">
        <w:rPr>
          <w:rFonts w:eastAsia="Trebuchet MS"/>
          <w:color w:val="000000" w:themeColor="text1"/>
          <w:sz w:val="24"/>
          <w:szCs w:val="24"/>
        </w:rPr>
        <w:t>owiem z wyrokiem Sądu Apelacyjnego w Białymstoku z dnia</w:t>
      </w:r>
      <w:r w:rsidRPr="002B341E">
        <w:rPr>
          <w:rFonts w:eastAsia="Trebuchet MS"/>
          <w:color w:val="000000" w:themeColor="text1"/>
          <w:sz w:val="24"/>
          <w:szCs w:val="24"/>
        </w:rPr>
        <w:t xml:space="preserve"> 26 lutego 2014 roku (Sygn. akt</w:t>
      </w:r>
      <w:r w:rsidRPr="002B341E">
        <w:rPr>
          <w:rFonts w:eastAsia="Trebuchet MS"/>
          <w:color w:val="000000" w:themeColor="text1"/>
          <w:sz w:val="24"/>
          <w:szCs w:val="24"/>
        </w:rPr>
        <w:t>: I ACa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w:t>
      </w:r>
      <w:r w:rsidRPr="002B341E">
        <w:rPr>
          <w:rFonts w:eastAsia="Trebuchet MS"/>
          <w:color w:val="000000" w:themeColor="text1"/>
          <w:sz w:val="24"/>
          <w:szCs w:val="24"/>
        </w:rPr>
        <w:t xml:space="preserve"> </w:t>
      </w:r>
      <w:r w:rsidRPr="002B341E">
        <w:rPr>
          <w:rFonts w:eastAsia="Trebuchet MS"/>
          <w:color w:val="000000" w:themeColor="text1"/>
          <w:sz w:val="24"/>
          <w:szCs w:val="24"/>
        </w:rPr>
        <w:t xml:space="preserve">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w:t>
      </w:r>
      <w:r w:rsidRPr="002B341E">
        <w:rPr>
          <w:rFonts w:eastAsia="Trebuchet MS"/>
          <w:color w:val="000000" w:themeColor="text1"/>
          <w:sz w:val="24"/>
          <w:szCs w:val="24"/>
        </w:rPr>
        <w:t>k</w:t>
      </w:r>
      <w:r w:rsidRPr="002B341E">
        <w:rPr>
          <w:rFonts w:eastAsia="Trebuchet MS"/>
          <w:color w:val="000000" w:themeColor="text1"/>
          <w:sz w:val="24"/>
          <w:szCs w:val="24"/>
        </w:rPr>
        <w:t xml:space="preserve">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w:t>
      </w:r>
      <w:r w:rsidRPr="002B341E">
        <w:rPr>
          <w:rFonts w:eastAsia="Trebuchet MS"/>
          <w:color w:val="000000" w:themeColor="text1"/>
          <w:sz w:val="24"/>
          <w:szCs w:val="24"/>
        </w:rPr>
        <w:t>m</w:t>
      </w:r>
      <w:r w:rsidRPr="002B341E">
        <w:rPr>
          <w:rFonts w:eastAsia="Trebuchet MS"/>
          <w:color w:val="000000" w:themeColor="text1"/>
          <w:sz w:val="24"/>
          <w:szCs w:val="24"/>
        </w:rPr>
        <w:t>otywacji jako jednego z czynników branych pod uwagę przy dokonywaniu oceny, czy kara umowna ma wygórowaną wysokość, poruszyła także Krajowa Izba Odwoławcza: „o karze rażąco wygórowanej można mówić w sytuacji, gdy jej wysokość przekracza granice motywacji wykonawcy do realizacji zamówienia i stanowi przyczynek dla zamawiającego do wzbogacenia się" (orzeczenie KIO/UZP1839/09 z dnia 19 lutego 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w:t>
      </w:r>
      <w:r w:rsidR="00280E03">
        <w:rPr>
          <w:rFonts w:eastAsia="Trebuchet MS"/>
          <w:color w:val="000000" w:themeColor="text1"/>
          <w:sz w:val="24"/>
          <w:szCs w:val="24"/>
        </w:rPr>
        <w:t>rześnia 2011 roku (sygn. akt KIO</w:t>
      </w:r>
      <w:bookmarkStart w:id="0" w:name="_GoBack"/>
      <w:bookmarkEnd w:id="0"/>
      <w:r w:rsidRPr="002B341E">
        <w:rPr>
          <w:rFonts w:eastAsia="Trebuchet MS"/>
          <w:color w:val="000000" w:themeColor="text1"/>
          <w:sz w:val="24"/>
          <w:szCs w:val="24"/>
        </w:rPr>
        <w:t xml:space="preserve">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kc, art. 353' kc w zw. z art. 14 ustawy pzp". Zgodnie z cytowanym orzeczeniem, represyjny charakter kary umownej nie powinien dominować nad jej odszkodowawczą funkcją. Ponadto wskazać należy, że wyrażona w art. 353' kc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w:t>
      </w:r>
      <w:r w:rsidRPr="002B341E">
        <w:rPr>
          <w:rFonts w:eastAsia="Trebuchet MS"/>
          <w:color w:val="000000" w:themeColor="text1"/>
          <w:sz w:val="24"/>
          <w:szCs w:val="24"/>
        </w:rPr>
        <w:t xml:space="preserve"> </w:t>
      </w:r>
      <w:r w:rsidRPr="002B341E">
        <w:rPr>
          <w:rFonts w:eastAsia="Trebuchet MS"/>
          <w:color w:val="000000" w:themeColor="text1"/>
          <w:sz w:val="24"/>
          <w:szCs w:val="24"/>
        </w:rPr>
        <w:t xml:space="preserve">Sama praktyka rynku pocztowego wypracowała ponadto powszechnie przyjęte 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Przewidziane w § 11 ust. 6 kary umowne są zdecydowanie nieadekwatne w kontekście potrzeb i interesu Zamawiającego, charakteru świadczonych usług, a także ilości czynności wykonywanych przez Wykonawcę przy realizacji zamówienia. Przy tak znacznej ilości, nienależyte wykonanie jedynie</w:t>
      </w:r>
      <w:r w:rsidRPr="002B341E">
        <w:rPr>
          <w:rFonts w:eastAsia="Trebuchet MS"/>
          <w:color w:val="000000" w:themeColor="text1"/>
          <w:sz w:val="24"/>
          <w:szCs w:val="24"/>
        </w:rPr>
        <w:t xml:space="preserve"> </w:t>
      </w:r>
      <w:r w:rsidRPr="002B341E">
        <w:rPr>
          <w:rFonts w:eastAsia="Trebuchet MS"/>
          <w:color w:val="000000" w:themeColor="text1"/>
          <w:sz w:val="24"/>
          <w:szCs w:val="24"/>
        </w:rPr>
        <w:t>kilku czynności (składowych danej usługi) pozbawiałoby Wykonawcę znacznej części należnego wynagrodzenia, co jest powodem, iż przedmiotowe zamówienie traci dla niego sens ekonomiczny i uniemożliwia mu złożenie oferty w przedmiotowym postępowaniu.</w:t>
      </w:r>
      <w:r w:rsidR="009C6E81" w:rsidRPr="002B341E">
        <w:rPr>
          <w:rFonts w:eastAsia="Trebuchet MS"/>
          <w:color w:val="000000" w:themeColor="text1"/>
          <w:sz w:val="24"/>
          <w:szCs w:val="24"/>
        </w:rPr>
        <w:t xml:space="preserve"> </w:t>
      </w:r>
      <w:r w:rsidRPr="002B341E">
        <w:rPr>
          <w:rFonts w:eastAsia="Trebuchet MS"/>
          <w:color w:val="000000" w:themeColor="text1"/>
          <w:sz w:val="24"/>
          <w:szCs w:val="24"/>
        </w:rPr>
        <w:t>Mając na uwadze powyższe, Wykonawca, w celu ustalenia równej pozycji stron, zwraca się o powtórną analizę przedstawionych powyżej kwestii i rewizję stanowiska Zamawiającego w zakresie kar umownych poprzez:</w:t>
      </w:r>
    </w:p>
    <w:p w:rsidR="00AE3703" w:rsidRPr="002B341E" w:rsidRDefault="00AE3703" w:rsidP="005A7E79">
      <w:pPr>
        <w:spacing w:line="360" w:lineRule="auto"/>
        <w:rPr>
          <w:rFonts w:eastAsia="Trebuchet MS"/>
          <w:color w:val="000000" w:themeColor="text1"/>
          <w:sz w:val="24"/>
          <w:szCs w:val="24"/>
        </w:rPr>
      </w:pPr>
      <w:r w:rsidRPr="002B341E">
        <w:rPr>
          <w:rFonts w:eastAsia="Trebuchet MS"/>
          <w:color w:val="000000" w:themeColor="text1"/>
          <w:sz w:val="24"/>
          <w:szCs w:val="24"/>
        </w:rPr>
        <w:t>Czy zatem z uwagi na niezgodność postanowień SWZ z przepisami bezwzględnie obowiązującymi w przedmiotowym zakresie, Zamawiający dopuszcza wykreślenie lub postanowień zawartych w § 11 wzoru umowy poprzez:</w:t>
      </w:r>
    </w:p>
    <w:p w:rsidR="00AE3703" w:rsidRPr="002B341E" w:rsidRDefault="00AE3703" w:rsidP="005A7E79">
      <w:pPr>
        <w:pStyle w:val="Akapitzlist"/>
        <w:numPr>
          <w:ilvl w:val="0"/>
          <w:numId w:val="17"/>
        </w:numPr>
        <w:tabs>
          <w:tab w:val="left" w:pos="284"/>
        </w:tabs>
        <w:spacing w:line="360" w:lineRule="auto"/>
        <w:ind w:left="0" w:firstLine="0"/>
        <w:rPr>
          <w:rFonts w:eastAsia="Trebuchet MS"/>
          <w:color w:val="000000" w:themeColor="text1"/>
          <w:sz w:val="24"/>
          <w:szCs w:val="24"/>
        </w:rPr>
      </w:pPr>
      <w:r w:rsidRPr="002B341E">
        <w:rPr>
          <w:rFonts w:eastAsia="Trebuchet MS"/>
          <w:color w:val="000000" w:themeColor="text1"/>
          <w:sz w:val="24"/>
          <w:szCs w:val="24"/>
        </w:rPr>
        <w:t xml:space="preserve">Wykreślenie lub złagodzenie wygórowanej w ocenie Wykonawcy wysokości kary </w:t>
      </w:r>
      <w:r w:rsidR="009C6E81" w:rsidRPr="002B341E">
        <w:rPr>
          <w:rFonts w:eastAsia="Trebuchet MS"/>
          <w:color w:val="000000" w:themeColor="text1"/>
          <w:sz w:val="24"/>
          <w:szCs w:val="24"/>
        </w:rPr>
        <w:t>u</w:t>
      </w:r>
      <w:r w:rsidRPr="002B341E">
        <w:rPr>
          <w:rFonts w:eastAsia="Trebuchet MS"/>
          <w:color w:val="000000" w:themeColor="text1"/>
          <w:sz w:val="24"/>
          <w:szCs w:val="24"/>
        </w:rPr>
        <w:t>mownej co najmniej do poziomu 50 złotych wartości brutto w § 11 ust. 6 pkt 1) i analogicznie w ust. 6 pkt 2),</w:t>
      </w:r>
    </w:p>
    <w:p w:rsidR="009C6E81" w:rsidRPr="002B341E" w:rsidRDefault="00AE3703" w:rsidP="005A7E79">
      <w:pPr>
        <w:pStyle w:val="Akapitzlist"/>
        <w:numPr>
          <w:ilvl w:val="0"/>
          <w:numId w:val="17"/>
        </w:numPr>
        <w:tabs>
          <w:tab w:val="left" w:pos="284"/>
        </w:tabs>
        <w:spacing w:line="360" w:lineRule="auto"/>
        <w:ind w:left="0" w:firstLine="0"/>
        <w:rPr>
          <w:rFonts w:eastAsia="Trebuchet MS"/>
          <w:color w:val="000000" w:themeColor="text1"/>
          <w:sz w:val="24"/>
          <w:szCs w:val="24"/>
        </w:rPr>
      </w:pPr>
      <w:r w:rsidRPr="002B341E">
        <w:rPr>
          <w:rFonts w:eastAsia="Trebuchet MS"/>
          <w:color w:val="000000" w:themeColor="text1"/>
          <w:sz w:val="24"/>
          <w:szCs w:val="24"/>
        </w:rPr>
        <w:t>wykreślenie lub złagodnienie kary wskazanej w § 11 ust. 6 pkt 3 oraz analogicznie ust. 6 pkt. 4 projektu umowy co najmniej do poziomu 50.00 zł, co spowoduje zniesienie znamion kary wygórowanej,</w:t>
      </w:r>
    </w:p>
    <w:p w:rsidR="00AE3703" w:rsidRPr="002B341E" w:rsidRDefault="00AE3703" w:rsidP="005A7E79">
      <w:pPr>
        <w:pStyle w:val="Akapitzlist"/>
        <w:numPr>
          <w:ilvl w:val="0"/>
          <w:numId w:val="17"/>
        </w:numPr>
        <w:tabs>
          <w:tab w:val="left" w:pos="284"/>
        </w:tabs>
        <w:spacing w:line="360" w:lineRule="auto"/>
        <w:ind w:left="0" w:firstLine="0"/>
        <w:rPr>
          <w:rFonts w:eastAsia="Trebuchet MS"/>
          <w:color w:val="000000" w:themeColor="text1"/>
          <w:sz w:val="24"/>
          <w:szCs w:val="24"/>
        </w:rPr>
      </w:pPr>
      <w:r w:rsidRPr="002B341E">
        <w:rPr>
          <w:rFonts w:eastAsia="Trebuchet MS"/>
          <w:color w:val="000000" w:themeColor="text1"/>
          <w:sz w:val="24"/>
          <w:szCs w:val="24"/>
        </w:rPr>
        <w:t xml:space="preserve">uwzględnienie we wzorze umowy postanowień dotyczących konieczności </w:t>
      </w:r>
      <w:r w:rsidR="009C6E81" w:rsidRPr="002B341E">
        <w:rPr>
          <w:rFonts w:eastAsia="Trebuchet MS"/>
          <w:color w:val="000000" w:themeColor="text1"/>
          <w:sz w:val="24"/>
          <w:szCs w:val="24"/>
        </w:rPr>
        <w:t>p</w:t>
      </w:r>
      <w:r w:rsidRPr="002B341E">
        <w:rPr>
          <w:rFonts w:eastAsia="Trebuchet MS"/>
          <w:color w:val="000000" w:themeColor="text1"/>
          <w:sz w:val="24"/>
          <w:szCs w:val="24"/>
        </w:rPr>
        <w:t>rzeprowadzenia postępowania wyjaśniającego (z udziałem Wykonawcy) przed nałożeniem kary umownej.</w:t>
      </w:r>
    </w:p>
    <w:p w:rsidR="00AE3703" w:rsidRPr="002B341E" w:rsidRDefault="00AE3703" w:rsidP="005A7E79">
      <w:pPr>
        <w:spacing w:line="360" w:lineRule="auto"/>
        <w:rPr>
          <w:rFonts w:eastAsia="Trebuchet MS"/>
          <w:color w:val="000000" w:themeColor="text1"/>
          <w:sz w:val="24"/>
          <w:szCs w:val="24"/>
        </w:rPr>
      </w:pPr>
    </w:p>
    <w:p w:rsidR="006E6E8B" w:rsidRPr="002B341E" w:rsidRDefault="006E6E8B" w:rsidP="005A7E79">
      <w:pPr>
        <w:spacing w:line="360" w:lineRule="auto"/>
        <w:rPr>
          <w:rFonts w:eastAsia="Trebuchet MS"/>
          <w:color w:val="000000" w:themeColor="text1"/>
          <w:sz w:val="24"/>
          <w:szCs w:val="24"/>
        </w:rPr>
      </w:pPr>
      <w:r w:rsidRPr="002B341E">
        <w:rPr>
          <w:rFonts w:eastAsia="Trebuchet MS"/>
          <w:b/>
          <w:color w:val="000000" w:themeColor="text1"/>
          <w:sz w:val="24"/>
          <w:szCs w:val="24"/>
        </w:rPr>
        <w:t>Odpowiedź 2:</w:t>
      </w:r>
      <w:r w:rsidR="00262E9C" w:rsidRPr="002B341E">
        <w:rPr>
          <w:rFonts w:eastAsia="Trebuchet MS"/>
          <w:b/>
          <w:color w:val="000000" w:themeColor="text1"/>
          <w:sz w:val="24"/>
          <w:szCs w:val="24"/>
        </w:rPr>
        <w:t xml:space="preserve"> </w:t>
      </w:r>
    </w:p>
    <w:p w:rsidR="00805CA1" w:rsidRDefault="00805CA1" w:rsidP="005A7E79">
      <w:pPr>
        <w:spacing w:line="360" w:lineRule="auto"/>
        <w:rPr>
          <w:rFonts w:eastAsia="Trebuchet MS"/>
          <w:color w:val="000000" w:themeColor="text1"/>
          <w:sz w:val="24"/>
          <w:szCs w:val="24"/>
        </w:rPr>
      </w:pPr>
      <w:r w:rsidRPr="002B341E">
        <w:rPr>
          <w:rFonts w:eastAsia="Trebuchet MS"/>
          <w:color w:val="000000" w:themeColor="text1"/>
          <w:sz w:val="24"/>
          <w:szCs w:val="24"/>
        </w:rPr>
        <w:t>Zamawiający</w:t>
      </w:r>
      <w:r w:rsidRPr="002B341E">
        <w:rPr>
          <w:rFonts w:eastAsia="Trebuchet MS"/>
          <w:color w:val="000000" w:themeColor="text1"/>
          <w:sz w:val="24"/>
          <w:szCs w:val="24"/>
        </w:rPr>
        <w:t xml:space="preserve"> </w:t>
      </w:r>
      <w:r w:rsidR="0043637C">
        <w:rPr>
          <w:rFonts w:eastAsia="Trebuchet MS"/>
          <w:color w:val="000000" w:themeColor="text1"/>
          <w:sz w:val="24"/>
          <w:szCs w:val="24"/>
        </w:rPr>
        <w:t xml:space="preserve">informuje, że </w:t>
      </w:r>
      <w:r w:rsidRPr="002B341E">
        <w:rPr>
          <w:rFonts w:eastAsia="Trebuchet MS"/>
          <w:color w:val="000000" w:themeColor="text1"/>
          <w:sz w:val="24"/>
          <w:szCs w:val="24"/>
        </w:rPr>
        <w:t>w §11 ust. 6 projektowanych postanowień umowy określ</w:t>
      </w:r>
      <w:r w:rsidR="0043637C">
        <w:rPr>
          <w:rFonts w:eastAsia="Trebuchet MS"/>
          <w:color w:val="000000" w:themeColor="text1"/>
          <w:sz w:val="24"/>
          <w:szCs w:val="24"/>
        </w:rPr>
        <w:t>ono wysokości</w:t>
      </w:r>
      <w:r w:rsidRPr="002B341E">
        <w:rPr>
          <w:rFonts w:eastAsia="Trebuchet MS"/>
          <w:color w:val="000000" w:themeColor="text1"/>
          <w:sz w:val="24"/>
          <w:szCs w:val="24"/>
        </w:rPr>
        <w:t xml:space="preserve"> z kar z tytułu braku realizacji obowiązku zatrudnienia na umowę o pracę, natomiast §5 projektowanych postanowień umowy określa pozostałe kary wynikające z realizacji </w:t>
      </w:r>
      <w:r w:rsidR="00F34DEA" w:rsidRPr="002B341E">
        <w:rPr>
          <w:rFonts w:eastAsia="Trebuchet MS"/>
          <w:color w:val="000000" w:themeColor="text1"/>
          <w:sz w:val="24"/>
          <w:szCs w:val="24"/>
        </w:rPr>
        <w:t>niniejszego przedmiotu zamówienia.</w:t>
      </w:r>
      <w:r w:rsidRPr="002B341E">
        <w:rPr>
          <w:rFonts w:eastAsia="Trebuchet MS"/>
          <w:color w:val="000000" w:themeColor="text1"/>
          <w:sz w:val="24"/>
          <w:szCs w:val="24"/>
        </w:rPr>
        <w:t xml:space="preserve"> </w:t>
      </w:r>
    </w:p>
    <w:p w:rsidR="002950A3" w:rsidRDefault="002950A3" w:rsidP="005A7E79">
      <w:pPr>
        <w:spacing w:line="360" w:lineRule="auto"/>
        <w:rPr>
          <w:rFonts w:eastAsia="Trebuchet MS"/>
          <w:color w:val="000000" w:themeColor="text1"/>
          <w:sz w:val="24"/>
          <w:szCs w:val="24"/>
        </w:rPr>
      </w:pPr>
      <w:r>
        <w:rPr>
          <w:rFonts w:eastAsia="Trebuchet MS"/>
          <w:color w:val="000000" w:themeColor="text1"/>
          <w:sz w:val="24"/>
          <w:szCs w:val="24"/>
        </w:rPr>
        <w:t xml:space="preserve">Zamawiający nie zgadza się z tezą Wykonawcy, że „(…) </w:t>
      </w:r>
      <w:r w:rsidRPr="002950A3">
        <w:rPr>
          <w:rFonts w:eastAsia="Trebuchet MS"/>
          <w:color w:val="000000" w:themeColor="text1"/>
          <w:sz w:val="24"/>
          <w:szCs w:val="24"/>
        </w:rPr>
        <w:t>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w:t>
      </w:r>
      <w:r>
        <w:rPr>
          <w:rFonts w:eastAsia="Trebuchet MS"/>
          <w:color w:val="000000" w:themeColor="text1"/>
          <w:sz w:val="24"/>
          <w:szCs w:val="24"/>
        </w:rPr>
        <w:t xml:space="preserve"> (…)”. Na potwierdzenie powyższego w §5 ust. 3 projektowanych postanowień umowy zawarto zapisy o treści „3. </w:t>
      </w:r>
      <w:r w:rsidRPr="002950A3">
        <w:rPr>
          <w:rFonts w:eastAsia="Trebuchet MS"/>
          <w:color w:val="000000" w:themeColor="text1"/>
          <w:sz w:val="24"/>
          <w:szCs w:val="24"/>
        </w:rPr>
        <w:t>Przed naliczeniem kar określonych w ust. 1 oraz ust. 4 zostanie przeprowadzone postępowanie wyjaśniające z udziałem Wykonawcy</w:t>
      </w:r>
      <w:r>
        <w:rPr>
          <w:rFonts w:eastAsia="Trebuchet MS"/>
          <w:color w:val="000000" w:themeColor="text1"/>
          <w:sz w:val="24"/>
          <w:szCs w:val="24"/>
        </w:rPr>
        <w:t>”</w:t>
      </w:r>
      <w:r w:rsidRPr="002950A3">
        <w:rPr>
          <w:rFonts w:eastAsia="Trebuchet MS"/>
          <w:color w:val="000000" w:themeColor="text1"/>
          <w:sz w:val="24"/>
          <w:szCs w:val="24"/>
        </w:rPr>
        <w:t>.</w:t>
      </w:r>
    </w:p>
    <w:p w:rsidR="0043637C" w:rsidRPr="002B341E" w:rsidRDefault="0043637C" w:rsidP="005A7E79">
      <w:pPr>
        <w:spacing w:line="360" w:lineRule="auto"/>
        <w:rPr>
          <w:rFonts w:eastAsia="Trebuchet MS"/>
          <w:color w:val="000000" w:themeColor="text1"/>
          <w:sz w:val="24"/>
          <w:szCs w:val="24"/>
        </w:rPr>
      </w:pPr>
      <w:r>
        <w:rPr>
          <w:rFonts w:eastAsia="Trebuchet MS"/>
          <w:color w:val="000000" w:themeColor="text1"/>
          <w:sz w:val="24"/>
          <w:szCs w:val="24"/>
        </w:rPr>
        <w:t xml:space="preserve">Zdaniem </w:t>
      </w:r>
      <w:r w:rsidR="002A3B6C">
        <w:rPr>
          <w:rFonts w:eastAsia="Trebuchet MS"/>
          <w:color w:val="000000" w:themeColor="text1"/>
          <w:sz w:val="24"/>
          <w:szCs w:val="24"/>
        </w:rPr>
        <w:t>Zamawiającego</w:t>
      </w:r>
      <w:r>
        <w:rPr>
          <w:rFonts w:eastAsia="Trebuchet MS"/>
          <w:color w:val="000000" w:themeColor="text1"/>
          <w:sz w:val="24"/>
          <w:szCs w:val="24"/>
        </w:rPr>
        <w:t xml:space="preserve"> wysokość kar określona w §5 projektowanych </w:t>
      </w:r>
      <w:r w:rsidR="002A3B6C">
        <w:rPr>
          <w:rFonts w:eastAsia="Trebuchet MS"/>
          <w:color w:val="000000" w:themeColor="text1"/>
          <w:sz w:val="24"/>
          <w:szCs w:val="24"/>
        </w:rPr>
        <w:t>postanowień</w:t>
      </w:r>
      <w:r>
        <w:rPr>
          <w:rFonts w:eastAsia="Trebuchet MS"/>
          <w:color w:val="000000" w:themeColor="text1"/>
          <w:sz w:val="24"/>
          <w:szCs w:val="24"/>
        </w:rPr>
        <w:t xml:space="preserve"> umowy jest</w:t>
      </w:r>
      <w:r w:rsidR="002A3B6C">
        <w:rPr>
          <w:rFonts w:eastAsia="Trebuchet MS"/>
          <w:color w:val="000000" w:themeColor="text1"/>
          <w:sz w:val="24"/>
          <w:szCs w:val="24"/>
        </w:rPr>
        <w:t xml:space="preserve"> dostosowana</w:t>
      </w:r>
      <w:r>
        <w:rPr>
          <w:rFonts w:eastAsia="Trebuchet MS"/>
          <w:color w:val="000000" w:themeColor="text1"/>
          <w:sz w:val="24"/>
          <w:szCs w:val="24"/>
        </w:rPr>
        <w:t xml:space="preserve"> </w:t>
      </w:r>
      <w:r w:rsidR="002A3B6C" w:rsidRPr="002A3B6C">
        <w:rPr>
          <w:rFonts w:eastAsia="Trebuchet MS"/>
          <w:color w:val="000000" w:themeColor="text1"/>
          <w:sz w:val="24"/>
          <w:szCs w:val="24"/>
        </w:rPr>
        <w:t>do sytuacji faktycznej oraz charakteru zamówieni</w:t>
      </w:r>
      <w:r w:rsidR="002A3B6C">
        <w:rPr>
          <w:rFonts w:eastAsia="Trebuchet MS"/>
          <w:color w:val="000000" w:themeColor="text1"/>
          <w:sz w:val="24"/>
          <w:szCs w:val="24"/>
        </w:rPr>
        <w:t xml:space="preserve">a. </w:t>
      </w:r>
      <w:r w:rsidR="000356D4">
        <w:rPr>
          <w:rFonts w:eastAsia="Trebuchet MS"/>
          <w:color w:val="000000" w:themeColor="text1"/>
          <w:sz w:val="24"/>
          <w:szCs w:val="24"/>
        </w:rPr>
        <w:t>Należy nadmienić, że k</w:t>
      </w:r>
      <w:r w:rsidR="002A3B6C" w:rsidRPr="002A3B6C">
        <w:rPr>
          <w:rFonts w:eastAsia="Trebuchet MS"/>
          <w:color w:val="000000" w:themeColor="text1"/>
          <w:sz w:val="24"/>
          <w:szCs w:val="24"/>
        </w:rPr>
        <w:t xml:space="preserve">ara umowna jest dodatkowym zastrzeżeniem umownym, wprowadzonym do umowy w ramach swobody kontraktowania i ma na celu wzmocnienie skuteczności więzi powstałej między stronami w wyniku zawartej przez nie umowy. Służy zabezpieczeniu realnego wykonania zobowiązań. W umowie o zamówienie publiczne </w:t>
      </w:r>
      <w:r w:rsidR="000356D4" w:rsidRPr="002A3B6C">
        <w:rPr>
          <w:rFonts w:eastAsia="Trebuchet MS"/>
          <w:color w:val="000000" w:themeColor="text1"/>
          <w:sz w:val="24"/>
          <w:szCs w:val="24"/>
        </w:rPr>
        <w:t xml:space="preserve">Zamawiający </w:t>
      </w:r>
      <w:r w:rsidR="002A3B6C" w:rsidRPr="002A3B6C">
        <w:rPr>
          <w:rFonts w:eastAsia="Trebuchet MS"/>
          <w:color w:val="000000" w:themeColor="text1"/>
          <w:sz w:val="24"/>
          <w:szCs w:val="24"/>
        </w:rPr>
        <w:t xml:space="preserve">ma prawo skorzystać z funkcji kar umownych, aby zagwarantować sobie, że </w:t>
      </w:r>
      <w:r w:rsidR="000356D4" w:rsidRPr="002A3B6C">
        <w:rPr>
          <w:rFonts w:eastAsia="Trebuchet MS"/>
          <w:color w:val="000000" w:themeColor="text1"/>
          <w:sz w:val="24"/>
          <w:szCs w:val="24"/>
        </w:rPr>
        <w:t xml:space="preserve">Wykonawca </w:t>
      </w:r>
      <w:r w:rsidR="002A3B6C" w:rsidRPr="002A3B6C">
        <w:rPr>
          <w:rFonts w:eastAsia="Trebuchet MS"/>
          <w:color w:val="000000" w:themeColor="text1"/>
          <w:sz w:val="24"/>
          <w:szCs w:val="24"/>
        </w:rPr>
        <w:t>będzie wykonywał zamówienie publiczne w sposób oczekiwany, terminowy i zgodny z wymaganymi standardami.</w:t>
      </w:r>
      <w:r w:rsidR="0056433A" w:rsidRPr="0056433A">
        <w:t xml:space="preserve"> </w:t>
      </w:r>
      <w:r w:rsidR="0056433A">
        <w:rPr>
          <w:rFonts w:eastAsia="Trebuchet MS"/>
          <w:color w:val="000000" w:themeColor="text1"/>
          <w:sz w:val="24"/>
          <w:szCs w:val="24"/>
        </w:rPr>
        <w:t>Należy nadmienić, że Z</w:t>
      </w:r>
      <w:r w:rsidR="00C360A0">
        <w:rPr>
          <w:rFonts w:eastAsia="Trebuchet MS"/>
          <w:color w:val="000000" w:themeColor="text1"/>
          <w:sz w:val="24"/>
          <w:szCs w:val="24"/>
        </w:rPr>
        <w:t xml:space="preserve">amawiający jest podmiotem </w:t>
      </w:r>
      <w:r w:rsidR="0056433A" w:rsidRPr="0056433A">
        <w:rPr>
          <w:rFonts w:eastAsia="Trebuchet MS"/>
          <w:color w:val="000000" w:themeColor="text1"/>
          <w:sz w:val="24"/>
          <w:szCs w:val="24"/>
        </w:rPr>
        <w:t xml:space="preserve">działającym w interesie publicznym, którego obciąża ryzyko nieosiągnięcia celu danego postępowania i ryzyko to przewyższa normalne ryzyko związane z prowadzeniem działalności gospodarcze (w przypadku umów zawieranych między przedsiębiorcami). </w:t>
      </w:r>
      <w:r w:rsidR="009B3CB8" w:rsidRPr="009B3CB8">
        <w:rPr>
          <w:rFonts w:eastAsia="Trebuchet MS"/>
          <w:color w:val="000000" w:themeColor="text1"/>
          <w:sz w:val="24"/>
          <w:szCs w:val="24"/>
        </w:rPr>
        <w:t>Ponadto w myśl art. 484 § 1 Kodeksu cywilnego kara umowna należy się wierzycielowi w razie niewykonania lub nienależytego wykonania zobowiązania w zastrzeżonej na ten wypadek wysokości, bez względu na wysokość poniesionej szkody.</w:t>
      </w:r>
    </w:p>
    <w:p w:rsidR="000356D4" w:rsidRDefault="00E543F1" w:rsidP="005A7E79">
      <w:pPr>
        <w:spacing w:line="360" w:lineRule="auto"/>
        <w:rPr>
          <w:rFonts w:eastAsia="Trebuchet MS"/>
          <w:color w:val="000000" w:themeColor="text1"/>
          <w:sz w:val="24"/>
          <w:szCs w:val="24"/>
        </w:rPr>
      </w:pPr>
      <w:r>
        <w:rPr>
          <w:rFonts w:eastAsia="Trebuchet MS"/>
          <w:color w:val="000000" w:themeColor="text1"/>
          <w:sz w:val="24"/>
          <w:szCs w:val="24"/>
        </w:rPr>
        <w:t xml:space="preserve">Zamawiający nie może odnieść się do części pytania o treści: „(…) </w:t>
      </w:r>
      <w:r w:rsidR="000356D4" w:rsidRPr="000356D4">
        <w:rPr>
          <w:rFonts w:eastAsia="Trebuchet MS"/>
          <w:color w:val="000000" w:themeColor="text1"/>
          <w:sz w:val="24"/>
          <w:szCs w:val="24"/>
        </w:rPr>
        <w:t xml:space="preserve">Konieczność zapłaty kar w wysokości przewidzianej szczególnie </w:t>
      </w:r>
      <w:r w:rsidR="000356D4" w:rsidRPr="0095521F">
        <w:rPr>
          <w:rFonts w:eastAsia="Trebuchet MS"/>
          <w:b/>
          <w:color w:val="000000" w:themeColor="text1"/>
          <w:sz w:val="24"/>
          <w:szCs w:val="24"/>
        </w:rPr>
        <w:t>w § 11 ust. 1 lit. b) c) d)</w:t>
      </w:r>
      <w:r w:rsidR="000356D4" w:rsidRPr="000356D4">
        <w:rPr>
          <w:rFonts w:eastAsia="Trebuchet MS"/>
          <w:color w:val="000000" w:themeColor="text1"/>
          <w:sz w:val="24"/>
          <w:szCs w:val="24"/>
        </w:rPr>
        <w:t xml:space="preserve"> wzoru umowy jest rażąco wygórowana i wskazuje na oczywistą dysproporcję pomiędzy ciężarem naruszenia obowiązków przez Wykonawcę a rozmiarem sankcji wymierzanej z tego tytułu</w:t>
      </w:r>
      <w:r>
        <w:rPr>
          <w:rFonts w:eastAsia="Trebuchet MS"/>
          <w:color w:val="000000" w:themeColor="text1"/>
          <w:sz w:val="24"/>
          <w:szCs w:val="24"/>
        </w:rPr>
        <w:t xml:space="preserve">.(…)”, ponieważ odwołanie do </w:t>
      </w:r>
      <w:r w:rsidRPr="00E543F1">
        <w:rPr>
          <w:rFonts w:eastAsia="Trebuchet MS"/>
          <w:color w:val="000000" w:themeColor="text1"/>
          <w:sz w:val="24"/>
          <w:szCs w:val="24"/>
        </w:rPr>
        <w:t>§ 11 ust. 1 lit. b) c) d)</w:t>
      </w:r>
      <w:r w:rsidR="0095521F">
        <w:rPr>
          <w:rFonts w:eastAsia="Trebuchet MS"/>
          <w:color w:val="000000" w:themeColor="text1"/>
          <w:sz w:val="24"/>
          <w:szCs w:val="24"/>
        </w:rPr>
        <w:t xml:space="preserve"> nie ma zastosowania</w:t>
      </w:r>
      <w:r>
        <w:rPr>
          <w:rFonts w:eastAsia="Trebuchet MS"/>
          <w:color w:val="000000" w:themeColor="text1"/>
          <w:sz w:val="24"/>
          <w:szCs w:val="24"/>
        </w:rPr>
        <w:t xml:space="preserve"> w niniejszych projek</w:t>
      </w:r>
      <w:r w:rsidR="0095521F">
        <w:rPr>
          <w:rFonts w:eastAsia="Trebuchet MS"/>
          <w:color w:val="000000" w:themeColor="text1"/>
          <w:sz w:val="24"/>
          <w:szCs w:val="24"/>
        </w:rPr>
        <w:t xml:space="preserve">towanych postanowieniach umowy (w §11  w ust. 1 nie ma punktorów – liter). </w:t>
      </w:r>
    </w:p>
    <w:p w:rsidR="00AB47FF" w:rsidRDefault="00171A23" w:rsidP="005A7E79">
      <w:pPr>
        <w:spacing w:line="360" w:lineRule="auto"/>
        <w:rPr>
          <w:rFonts w:eastAsia="Trebuchet MS"/>
          <w:color w:val="000000" w:themeColor="text1"/>
          <w:sz w:val="24"/>
          <w:szCs w:val="24"/>
        </w:rPr>
      </w:pPr>
      <w:r>
        <w:rPr>
          <w:rFonts w:eastAsia="Trebuchet MS"/>
          <w:color w:val="000000" w:themeColor="text1"/>
          <w:sz w:val="24"/>
          <w:szCs w:val="24"/>
        </w:rPr>
        <w:t xml:space="preserve">W odniesieniu do części pytania dotyczącego zmiany zapisów zawartych w </w:t>
      </w:r>
      <w:r>
        <w:rPr>
          <w:rFonts w:eastAsia="Trebuchet MS"/>
          <w:color w:val="000000" w:themeColor="text1"/>
          <w:sz w:val="24"/>
          <w:szCs w:val="24"/>
        </w:rPr>
        <w:t>§11 ust. 6 projektowanych postanowień</w:t>
      </w:r>
      <w:r>
        <w:rPr>
          <w:rFonts w:eastAsia="Trebuchet MS"/>
          <w:color w:val="000000" w:themeColor="text1"/>
          <w:sz w:val="24"/>
          <w:szCs w:val="24"/>
        </w:rPr>
        <w:t xml:space="preserve"> umowy </w:t>
      </w:r>
      <w:r w:rsidR="005A7E79">
        <w:rPr>
          <w:rFonts w:eastAsia="Trebuchet MS"/>
          <w:color w:val="000000" w:themeColor="text1"/>
          <w:sz w:val="24"/>
          <w:szCs w:val="24"/>
        </w:rPr>
        <w:t xml:space="preserve">Zamawiający zmienia zapisy: </w:t>
      </w:r>
    </w:p>
    <w:p w:rsidR="005A7E79" w:rsidRPr="005A7E79" w:rsidRDefault="005A7E79" w:rsidP="005A7E79">
      <w:pPr>
        <w:spacing w:line="360" w:lineRule="auto"/>
        <w:rPr>
          <w:rFonts w:eastAsia="Trebuchet MS"/>
          <w:b/>
          <w:color w:val="000000" w:themeColor="text1"/>
          <w:sz w:val="24"/>
          <w:szCs w:val="24"/>
        </w:rPr>
      </w:pPr>
      <w:r>
        <w:rPr>
          <w:rFonts w:eastAsia="Trebuchet MS"/>
          <w:b/>
          <w:color w:val="000000" w:themeColor="text1"/>
          <w:sz w:val="24"/>
          <w:szCs w:val="24"/>
        </w:rPr>
        <w:t>Z</w:t>
      </w:r>
      <w:r w:rsidRPr="005A7E79">
        <w:rPr>
          <w:rFonts w:eastAsia="Trebuchet MS"/>
          <w:b/>
          <w:color w:val="000000" w:themeColor="text1"/>
          <w:sz w:val="24"/>
          <w:szCs w:val="24"/>
        </w:rPr>
        <w:t>:</w:t>
      </w:r>
    </w:p>
    <w:p w:rsidR="005A7E79" w:rsidRPr="00440301" w:rsidRDefault="00171A23" w:rsidP="005A7E79">
      <w:pPr>
        <w:tabs>
          <w:tab w:val="left" w:pos="284"/>
          <w:tab w:val="left" w:pos="426"/>
        </w:tabs>
        <w:spacing w:line="360" w:lineRule="auto"/>
        <w:rPr>
          <w:rFonts w:asciiTheme="minorHAnsi" w:eastAsia="Times New Roman" w:hAnsiTheme="minorHAnsi"/>
          <w:bCs/>
          <w:sz w:val="24"/>
          <w:szCs w:val="24"/>
        </w:rPr>
      </w:pPr>
      <w:r>
        <w:rPr>
          <w:rFonts w:asciiTheme="minorHAnsi" w:eastAsia="Times New Roman" w:hAnsiTheme="minorHAnsi"/>
          <w:sz w:val="24"/>
          <w:szCs w:val="24"/>
        </w:rPr>
        <w:lastRenderedPageBreak/>
        <w:t>„</w:t>
      </w:r>
      <w:r w:rsidR="005A7E79">
        <w:rPr>
          <w:rFonts w:asciiTheme="minorHAnsi" w:eastAsia="Times New Roman" w:hAnsiTheme="minorHAnsi"/>
          <w:sz w:val="24"/>
          <w:szCs w:val="24"/>
        </w:rPr>
        <w:t xml:space="preserve">6. </w:t>
      </w:r>
      <w:r w:rsidR="005A7E79" w:rsidRPr="00440301">
        <w:rPr>
          <w:rFonts w:asciiTheme="minorHAnsi" w:eastAsia="Times New Roman" w:hAnsiTheme="minorHAnsi"/>
          <w:sz w:val="24"/>
          <w:szCs w:val="24"/>
        </w:rPr>
        <w:t>Zamawiającemu</w:t>
      </w:r>
      <w:r w:rsidR="005A7E79" w:rsidRPr="00440301">
        <w:rPr>
          <w:rFonts w:asciiTheme="minorHAnsi" w:eastAsia="Times New Roman" w:hAnsiTheme="minorHAnsi"/>
          <w:bCs/>
          <w:sz w:val="24"/>
          <w:szCs w:val="24"/>
        </w:rPr>
        <w:t xml:space="preserve"> przysługuje prawo naliczenia Wykonawcy kar umownych z tytułu:</w:t>
      </w:r>
    </w:p>
    <w:p w:rsidR="005A7E79" w:rsidRPr="00440301" w:rsidRDefault="005A7E79" w:rsidP="005A7E79">
      <w:pPr>
        <w:numPr>
          <w:ilvl w:val="0"/>
          <w:numId w:val="21"/>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nie złożenia w przewidzianym terminie oświadczenia, o którym mowa w ust. 2 – w wysokości 2.000 zł (kara może być nakładana po raz kolejny, jeżeli Wykonawca pomimo wezwania ze strony Zamawiającego nadal nie przedkłada wykazu);</w:t>
      </w:r>
    </w:p>
    <w:p w:rsidR="005A7E79" w:rsidRPr="00440301" w:rsidRDefault="005A7E79" w:rsidP="005A7E79">
      <w:pPr>
        <w:numPr>
          <w:ilvl w:val="0"/>
          <w:numId w:val="21"/>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nie złożenia w przewidzianym terminie nowego oświadczenia, o którym mowa w ust. 3 – w wysokości 2.000 zł (kara może być nakładana po raz kolejny, jeżeli Wykonawca pomimo wezwania ze strony Zamawiającego nadal nie przedkłada oświadczenia);</w:t>
      </w:r>
    </w:p>
    <w:p w:rsidR="005A7E79" w:rsidRPr="00440301" w:rsidRDefault="005A7E79" w:rsidP="005A7E79">
      <w:pPr>
        <w:numPr>
          <w:ilvl w:val="0"/>
          <w:numId w:val="21"/>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5A7E79" w:rsidRPr="00440301" w:rsidRDefault="005A7E79" w:rsidP="005A7E79">
      <w:pPr>
        <w:numPr>
          <w:ilvl w:val="0"/>
          <w:numId w:val="21"/>
        </w:numPr>
        <w:tabs>
          <w:tab w:val="left" w:pos="284"/>
          <w:tab w:val="left" w:pos="426"/>
        </w:tabs>
        <w:spacing w:line="360" w:lineRule="auto"/>
        <w:ind w:left="0" w:firstLine="0"/>
        <w:rPr>
          <w:rFonts w:asciiTheme="minorHAnsi" w:eastAsia="Times New Roman" w:hAnsiTheme="minorHAnsi"/>
          <w:bCs/>
          <w:sz w:val="24"/>
          <w:szCs w:val="24"/>
        </w:rPr>
      </w:pPr>
      <w:r w:rsidRPr="00440301">
        <w:rPr>
          <w:rFonts w:asciiTheme="minorHAnsi" w:eastAsia="Arial Unicode MS" w:hAnsiTheme="minorHAnsi"/>
          <w:color w:val="000000"/>
          <w:sz w:val="24"/>
          <w:szCs w:val="24"/>
          <w:u w:color="000000"/>
        </w:rPr>
        <w:t>oddelegowania</w:t>
      </w:r>
      <w:r w:rsidRPr="00440301">
        <w:rPr>
          <w:rFonts w:asciiTheme="minorHAnsi" w:eastAsia="Times New Roman" w:hAnsiTheme="minorHAnsi"/>
          <w:bCs/>
          <w:sz w:val="24"/>
          <w:szCs w:val="24"/>
        </w:rPr>
        <w:t xml:space="preserve">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 kt</w:t>
      </w:r>
      <w:r w:rsidR="00171A23">
        <w:rPr>
          <w:rFonts w:asciiTheme="minorHAnsi" w:eastAsia="Times New Roman" w:hAnsiTheme="minorHAnsi"/>
          <w:bCs/>
          <w:sz w:val="24"/>
          <w:szCs w:val="24"/>
        </w:rPr>
        <w:t>órym mowa w ust. 2 lub ust. 3).”</w:t>
      </w:r>
      <w:r w:rsidRPr="00440301">
        <w:rPr>
          <w:rFonts w:asciiTheme="minorHAnsi" w:eastAsia="Times New Roman" w:hAnsiTheme="minorHAnsi"/>
          <w:bCs/>
          <w:sz w:val="24"/>
          <w:szCs w:val="24"/>
        </w:rPr>
        <w:t xml:space="preserve"> </w:t>
      </w:r>
    </w:p>
    <w:p w:rsidR="00AB47FF" w:rsidRPr="002B341E" w:rsidRDefault="00AB47FF" w:rsidP="005A7E79">
      <w:pPr>
        <w:spacing w:line="360" w:lineRule="auto"/>
        <w:rPr>
          <w:rFonts w:eastAsia="Trebuchet MS"/>
          <w:b/>
          <w:color w:val="000000" w:themeColor="text1"/>
          <w:sz w:val="24"/>
          <w:szCs w:val="24"/>
        </w:rPr>
      </w:pPr>
    </w:p>
    <w:p w:rsidR="00AB47FF" w:rsidRDefault="005A7E79" w:rsidP="005A7E79">
      <w:pPr>
        <w:spacing w:line="360" w:lineRule="auto"/>
        <w:rPr>
          <w:rFonts w:eastAsia="Trebuchet MS"/>
          <w:b/>
          <w:color w:val="000000" w:themeColor="text1"/>
          <w:sz w:val="24"/>
          <w:szCs w:val="24"/>
        </w:rPr>
      </w:pPr>
      <w:r w:rsidRPr="005A7E79">
        <w:rPr>
          <w:rFonts w:eastAsia="Trebuchet MS"/>
          <w:b/>
          <w:color w:val="000000" w:themeColor="text1"/>
          <w:sz w:val="24"/>
          <w:szCs w:val="24"/>
        </w:rPr>
        <w:t>NA:</w:t>
      </w:r>
    </w:p>
    <w:p w:rsidR="005A7E79" w:rsidRPr="00440301" w:rsidRDefault="00171A23" w:rsidP="005A7E79">
      <w:pPr>
        <w:tabs>
          <w:tab w:val="left" w:pos="284"/>
          <w:tab w:val="left" w:pos="426"/>
        </w:tabs>
        <w:spacing w:line="360" w:lineRule="auto"/>
        <w:rPr>
          <w:rFonts w:asciiTheme="minorHAnsi" w:eastAsia="Times New Roman" w:hAnsiTheme="minorHAnsi"/>
          <w:bCs/>
          <w:sz w:val="24"/>
          <w:szCs w:val="24"/>
        </w:rPr>
      </w:pPr>
      <w:r>
        <w:rPr>
          <w:rFonts w:asciiTheme="minorHAnsi" w:eastAsia="Times New Roman" w:hAnsiTheme="minorHAnsi"/>
          <w:sz w:val="24"/>
          <w:szCs w:val="24"/>
        </w:rPr>
        <w:t>„</w:t>
      </w:r>
      <w:r w:rsidR="005A7E79">
        <w:rPr>
          <w:rFonts w:asciiTheme="minorHAnsi" w:eastAsia="Times New Roman" w:hAnsiTheme="minorHAnsi"/>
          <w:sz w:val="24"/>
          <w:szCs w:val="24"/>
        </w:rPr>
        <w:t xml:space="preserve">6. </w:t>
      </w:r>
      <w:r w:rsidR="005A7E79" w:rsidRPr="00440301">
        <w:rPr>
          <w:rFonts w:asciiTheme="minorHAnsi" w:eastAsia="Times New Roman" w:hAnsiTheme="minorHAnsi"/>
          <w:sz w:val="24"/>
          <w:szCs w:val="24"/>
        </w:rPr>
        <w:t>Zamawiającemu</w:t>
      </w:r>
      <w:r w:rsidR="005A7E79" w:rsidRPr="00440301">
        <w:rPr>
          <w:rFonts w:asciiTheme="minorHAnsi" w:eastAsia="Times New Roman" w:hAnsiTheme="minorHAnsi"/>
          <w:bCs/>
          <w:sz w:val="24"/>
          <w:szCs w:val="24"/>
        </w:rPr>
        <w:t xml:space="preserve"> przysługuje prawo naliczenia Wykonawcy kar umownych z tytułu:</w:t>
      </w:r>
    </w:p>
    <w:p w:rsidR="005A7E79" w:rsidRPr="00440301" w:rsidRDefault="005A7E79" w:rsidP="005A7E79">
      <w:pPr>
        <w:numPr>
          <w:ilvl w:val="0"/>
          <w:numId w:val="23"/>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nie złożenia w przewidzianym terminie oświadczenia, o którym</w:t>
      </w:r>
      <w:r>
        <w:rPr>
          <w:rFonts w:asciiTheme="minorHAnsi" w:eastAsia="Arial Unicode MS" w:hAnsiTheme="minorHAnsi"/>
          <w:color w:val="000000"/>
          <w:sz w:val="24"/>
          <w:szCs w:val="24"/>
          <w:u w:color="000000"/>
        </w:rPr>
        <w:t xml:space="preserve"> mowa w ust. 2 – w wysokości </w:t>
      </w:r>
      <w:r w:rsidRPr="00171A23">
        <w:rPr>
          <w:rFonts w:asciiTheme="minorHAnsi" w:eastAsia="Arial Unicode MS" w:hAnsiTheme="minorHAnsi"/>
          <w:b/>
          <w:color w:val="000000"/>
          <w:sz w:val="24"/>
          <w:szCs w:val="24"/>
          <w:u w:color="000000"/>
        </w:rPr>
        <w:t>5</w:t>
      </w:r>
      <w:r w:rsidRPr="00171A23">
        <w:rPr>
          <w:rFonts w:asciiTheme="minorHAnsi" w:eastAsia="Arial Unicode MS" w:hAnsiTheme="minorHAnsi"/>
          <w:b/>
          <w:color w:val="000000"/>
          <w:sz w:val="24"/>
          <w:szCs w:val="24"/>
          <w:u w:color="000000"/>
        </w:rPr>
        <w:t>0 zł</w:t>
      </w:r>
      <w:r w:rsidRPr="00440301">
        <w:rPr>
          <w:rFonts w:asciiTheme="minorHAnsi" w:eastAsia="Arial Unicode MS" w:hAnsiTheme="minorHAnsi"/>
          <w:color w:val="000000"/>
          <w:sz w:val="24"/>
          <w:szCs w:val="24"/>
          <w:u w:color="000000"/>
        </w:rPr>
        <w:t xml:space="preserve"> (kara może być nakładana po raz kolejny, jeżeli Wykonawca pomimo wezwania ze strony Zamawiającego nadal nie przedkłada wykazu);</w:t>
      </w:r>
    </w:p>
    <w:p w:rsidR="005A7E79" w:rsidRPr="00440301" w:rsidRDefault="005A7E79" w:rsidP="005A7E79">
      <w:pPr>
        <w:numPr>
          <w:ilvl w:val="0"/>
          <w:numId w:val="23"/>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 xml:space="preserve">nie złożenia w przewidzianym terminie nowego oświadczenia, o którym mowa w ust. 3 – w wysokości </w:t>
      </w:r>
      <w:r w:rsidRPr="00171A23">
        <w:rPr>
          <w:rFonts w:asciiTheme="minorHAnsi" w:eastAsia="Arial Unicode MS" w:hAnsiTheme="minorHAnsi"/>
          <w:b/>
          <w:color w:val="000000"/>
          <w:sz w:val="24"/>
          <w:szCs w:val="24"/>
          <w:u w:color="000000"/>
        </w:rPr>
        <w:t>50</w:t>
      </w:r>
      <w:r w:rsidRPr="00171A23">
        <w:rPr>
          <w:rFonts w:asciiTheme="minorHAnsi" w:eastAsia="Arial Unicode MS" w:hAnsiTheme="minorHAnsi"/>
          <w:b/>
          <w:color w:val="000000"/>
          <w:sz w:val="24"/>
          <w:szCs w:val="24"/>
          <w:u w:color="000000"/>
        </w:rPr>
        <w:t xml:space="preserve"> zł</w:t>
      </w:r>
      <w:r w:rsidRPr="00440301">
        <w:rPr>
          <w:rFonts w:asciiTheme="minorHAnsi" w:eastAsia="Arial Unicode MS" w:hAnsiTheme="minorHAnsi"/>
          <w:color w:val="000000"/>
          <w:sz w:val="24"/>
          <w:szCs w:val="24"/>
          <w:u w:color="000000"/>
        </w:rPr>
        <w:t xml:space="preserve"> (kara może być nakładana po raz kolejny, jeżeli Wykonawca pomimo wezwania ze strony Zamawiającego nadal nie przedkłada oświadczenia);</w:t>
      </w:r>
    </w:p>
    <w:p w:rsidR="005A7E79" w:rsidRPr="00440301" w:rsidRDefault="005A7E79" w:rsidP="005A7E79">
      <w:pPr>
        <w:numPr>
          <w:ilvl w:val="0"/>
          <w:numId w:val="23"/>
        </w:numPr>
        <w:tabs>
          <w:tab w:val="left" w:pos="284"/>
          <w:tab w:val="left" w:pos="426"/>
        </w:tabs>
        <w:spacing w:line="360" w:lineRule="auto"/>
        <w:ind w:left="0" w:firstLine="0"/>
        <w:rPr>
          <w:rFonts w:asciiTheme="minorHAnsi" w:eastAsia="Arial Unicode MS" w:hAnsiTheme="minorHAnsi"/>
          <w:color w:val="000000"/>
          <w:sz w:val="24"/>
          <w:szCs w:val="24"/>
          <w:u w:color="000000"/>
        </w:rPr>
      </w:pPr>
      <w:r w:rsidRPr="00440301">
        <w:rPr>
          <w:rFonts w:asciiTheme="minorHAnsi" w:eastAsia="Arial Unicode MS" w:hAnsiTheme="minorHAnsi"/>
          <w:color w:val="000000"/>
          <w:sz w:val="24"/>
          <w:szCs w:val="24"/>
          <w:u w:color="000000"/>
        </w:rPr>
        <w:t>oddelegowania do wykonywania prac, osób nie zatrudnionych na podstawi</w:t>
      </w:r>
      <w:r>
        <w:rPr>
          <w:rFonts w:asciiTheme="minorHAnsi" w:eastAsia="Arial Unicode MS" w:hAnsiTheme="minorHAnsi"/>
          <w:color w:val="000000"/>
          <w:sz w:val="24"/>
          <w:szCs w:val="24"/>
          <w:u w:color="000000"/>
        </w:rPr>
        <w:t xml:space="preserve">e umowy o pracę – w wysokości </w:t>
      </w:r>
      <w:r w:rsidRPr="00171A23">
        <w:rPr>
          <w:rFonts w:asciiTheme="minorHAnsi" w:eastAsia="Arial Unicode MS" w:hAnsiTheme="minorHAnsi"/>
          <w:b/>
          <w:color w:val="000000"/>
          <w:sz w:val="24"/>
          <w:szCs w:val="24"/>
          <w:u w:color="000000"/>
        </w:rPr>
        <w:t>5</w:t>
      </w:r>
      <w:r w:rsidRPr="00171A23">
        <w:rPr>
          <w:rFonts w:asciiTheme="minorHAnsi" w:eastAsia="Arial Unicode MS" w:hAnsiTheme="minorHAnsi"/>
          <w:b/>
          <w:color w:val="000000"/>
          <w:sz w:val="24"/>
          <w:szCs w:val="24"/>
          <w:u w:color="000000"/>
        </w:rPr>
        <w:t>0 zł</w:t>
      </w:r>
      <w:r w:rsidRPr="00440301">
        <w:rPr>
          <w:rFonts w:asciiTheme="minorHAnsi" w:eastAsia="Arial Unicode MS" w:hAnsiTheme="minorHAnsi"/>
          <w:color w:val="000000"/>
          <w:sz w:val="24"/>
          <w:szCs w:val="24"/>
          <w:u w:color="000000"/>
        </w:rPr>
        <w:t xml:space="preserve"> za każdy stwierdzony przypadek (kara może być nakładana po raz kolejny w odniesieniu do tej samej osoby, jeżeli Zamawiający podczas następnej kontroli stwierdzi, że nadal nie jest ona zatrudniona na umowę o pracę);</w:t>
      </w:r>
    </w:p>
    <w:p w:rsidR="005A7E79" w:rsidRDefault="005A7E79" w:rsidP="005A7E79">
      <w:pPr>
        <w:numPr>
          <w:ilvl w:val="0"/>
          <w:numId w:val="23"/>
        </w:numPr>
        <w:tabs>
          <w:tab w:val="left" w:pos="284"/>
          <w:tab w:val="left" w:pos="426"/>
        </w:tabs>
        <w:spacing w:line="360" w:lineRule="auto"/>
        <w:ind w:left="0" w:firstLine="0"/>
        <w:rPr>
          <w:rFonts w:asciiTheme="minorHAnsi" w:eastAsia="Times New Roman" w:hAnsiTheme="minorHAnsi"/>
          <w:bCs/>
          <w:sz w:val="24"/>
          <w:szCs w:val="24"/>
        </w:rPr>
      </w:pPr>
      <w:r w:rsidRPr="00440301">
        <w:rPr>
          <w:rFonts w:asciiTheme="minorHAnsi" w:eastAsia="Arial Unicode MS" w:hAnsiTheme="minorHAnsi"/>
          <w:color w:val="000000"/>
          <w:sz w:val="24"/>
          <w:szCs w:val="24"/>
          <w:u w:color="000000"/>
        </w:rPr>
        <w:t>oddelegowania</w:t>
      </w:r>
      <w:r w:rsidRPr="00440301">
        <w:rPr>
          <w:rFonts w:asciiTheme="minorHAnsi" w:eastAsia="Times New Roman" w:hAnsiTheme="minorHAnsi"/>
          <w:bCs/>
          <w:sz w:val="24"/>
          <w:szCs w:val="24"/>
        </w:rPr>
        <w:t xml:space="preserve"> do wykonywania prac wskazanych w ust. 1 osób niewymienionych w oświadczeniu, o którym mowa w us</w:t>
      </w:r>
      <w:r>
        <w:rPr>
          <w:rFonts w:asciiTheme="minorHAnsi" w:eastAsia="Times New Roman" w:hAnsiTheme="minorHAnsi"/>
          <w:bCs/>
          <w:sz w:val="24"/>
          <w:szCs w:val="24"/>
        </w:rPr>
        <w:t xml:space="preserve">t. 2 lub ust. 3 – w wysokości </w:t>
      </w:r>
      <w:r w:rsidRPr="00171A23">
        <w:rPr>
          <w:rFonts w:asciiTheme="minorHAnsi" w:eastAsia="Times New Roman" w:hAnsiTheme="minorHAnsi"/>
          <w:b/>
          <w:bCs/>
          <w:sz w:val="24"/>
          <w:szCs w:val="24"/>
        </w:rPr>
        <w:t>5</w:t>
      </w:r>
      <w:r w:rsidRPr="00171A23">
        <w:rPr>
          <w:rFonts w:asciiTheme="minorHAnsi" w:eastAsia="Times New Roman" w:hAnsiTheme="minorHAnsi"/>
          <w:b/>
          <w:bCs/>
          <w:sz w:val="24"/>
          <w:szCs w:val="24"/>
        </w:rPr>
        <w:t>0 zł</w:t>
      </w:r>
      <w:r w:rsidRPr="00440301">
        <w:rPr>
          <w:rFonts w:asciiTheme="minorHAnsi" w:eastAsia="Times New Roman" w:hAnsiTheme="minorHAnsi"/>
          <w:bCs/>
          <w:sz w:val="24"/>
          <w:szCs w:val="24"/>
        </w:rPr>
        <w:t xml:space="preserve"> za każdy stwierdzony przypadek (kara może być nakładana po raz kolejny w odniesieniu do tej samej osoby, jeżeli Zamawiający podczas następnej kontroli stwierdzi, że nadal nie jest ona wymieniona w oświadczeniu o kt</w:t>
      </w:r>
      <w:r w:rsidR="00171A23">
        <w:rPr>
          <w:rFonts w:asciiTheme="minorHAnsi" w:eastAsia="Times New Roman" w:hAnsiTheme="minorHAnsi"/>
          <w:bCs/>
          <w:sz w:val="24"/>
          <w:szCs w:val="24"/>
        </w:rPr>
        <w:t>órym mowa w ust. 2 lub ust. 3).”</w:t>
      </w:r>
      <w:r w:rsidRPr="00440301">
        <w:rPr>
          <w:rFonts w:asciiTheme="minorHAnsi" w:eastAsia="Times New Roman" w:hAnsiTheme="minorHAnsi"/>
          <w:bCs/>
          <w:sz w:val="24"/>
          <w:szCs w:val="24"/>
        </w:rPr>
        <w:t xml:space="preserve"> </w:t>
      </w:r>
    </w:p>
    <w:p w:rsidR="005A7E79" w:rsidRDefault="005A7E79" w:rsidP="005A7E79">
      <w:pPr>
        <w:spacing w:line="360" w:lineRule="auto"/>
        <w:rPr>
          <w:rFonts w:cs="Times New Roman"/>
          <w:sz w:val="24"/>
          <w:szCs w:val="24"/>
        </w:rPr>
      </w:pPr>
      <w:r w:rsidRPr="005A7E79">
        <w:rPr>
          <w:sz w:val="24"/>
          <w:szCs w:val="24"/>
        </w:rPr>
        <w:t xml:space="preserve">Zamawiający </w:t>
      </w:r>
      <w:r w:rsidRPr="005A7E79">
        <w:rPr>
          <w:b/>
          <w:sz w:val="24"/>
          <w:szCs w:val="24"/>
        </w:rPr>
        <w:t>przekazuje w załączeniu</w:t>
      </w:r>
      <w:r>
        <w:rPr>
          <w:sz w:val="24"/>
          <w:szCs w:val="24"/>
        </w:rPr>
        <w:t xml:space="preserve"> zmieniony </w:t>
      </w:r>
      <w:r w:rsidRPr="005A7E79">
        <w:rPr>
          <w:b/>
          <w:sz w:val="24"/>
          <w:szCs w:val="24"/>
        </w:rPr>
        <w:t xml:space="preserve">Załącznik nr 4 </w:t>
      </w:r>
      <w:r w:rsidRPr="005A7E79">
        <w:rPr>
          <w:b/>
          <w:sz w:val="24"/>
          <w:szCs w:val="24"/>
        </w:rPr>
        <w:t xml:space="preserve">do SWZ - Projektowane postanowienia umowy – zmiana </w:t>
      </w:r>
      <w:r w:rsidRPr="005A7E79">
        <w:rPr>
          <w:b/>
          <w:sz w:val="24"/>
          <w:szCs w:val="24"/>
        </w:rPr>
        <w:t>13.12.</w:t>
      </w:r>
      <w:r w:rsidRPr="005A7E79">
        <w:rPr>
          <w:b/>
          <w:sz w:val="24"/>
          <w:szCs w:val="24"/>
        </w:rPr>
        <w:t>2022 r.</w:t>
      </w:r>
      <w:r w:rsidRPr="005A7E79">
        <w:rPr>
          <w:sz w:val="24"/>
          <w:szCs w:val="24"/>
        </w:rPr>
        <w:t xml:space="preserve"> </w:t>
      </w:r>
      <w:r w:rsidRPr="005A7E79">
        <w:rPr>
          <w:rFonts w:cs="Times New Roman"/>
          <w:sz w:val="24"/>
          <w:szCs w:val="24"/>
        </w:rPr>
        <w:t xml:space="preserve"> </w:t>
      </w:r>
    </w:p>
    <w:p w:rsidR="005A7E79" w:rsidRDefault="005A7E79" w:rsidP="005A7E79">
      <w:pPr>
        <w:spacing w:line="360" w:lineRule="auto"/>
        <w:rPr>
          <w:rFonts w:cs="Times New Roman"/>
          <w:sz w:val="24"/>
          <w:szCs w:val="24"/>
        </w:rPr>
      </w:pPr>
    </w:p>
    <w:p w:rsidR="005A7E79" w:rsidRDefault="005A7E79" w:rsidP="005A7E79">
      <w:pPr>
        <w:spacing w:line="360" w:lineRule="auto"/>
        <w:rPr>
          <w:rFonts w:asciiTheme="minorHAnsi" w:eastAsiaTheme="minorHAnsi" w:hAnsiTheme="minorHAnsi" w:cstheme="minorBidi"/>
          <w:sz w:val="24"/>
          <w:szCs w:val="24"/>
        </w:rPr>
      </w:pPr>
      <w:r>
        <w:rPr>
          <w:sz w:val="24"/>
          <w:szCs w:val="24"/>
        </w:rPr>
        <w:t xml:space="preserve">Działając na podstawie art. 271 i art. 286 ust. </w:t>
      </w:r>
      <w:r>
        <w:rPr>
          <w:sz w:val="24"/>
          <w:szCs w:val="24"/>
        </w:rPr>
        <w:t>3</w:t>
      </w:r>
      <w:r w:rsidR="00C360A0">
        <w:rPr>
          <w:sz w:val="24"/>
          <w:szCs w:val="24"/>
        </w:rPr>
        <w:t>, ust. 5, ust. 7 i ust. 9</w:t>
      </w:r>
      <w:r>
        <w:rPr>
          <w:sz w:val="24"/>
          <w:szCs w:val="24"/>
        </w:rPr>
        <w:t xml:space="preserve"> ustawy z dnia 11 września 2019 r. Prawo zamówień publicznych informuję, że zmienia się terminy składania i otwarcia ofert oraz termin związania ofertą:</w:t>
      </w:r>
    </w:p>
    <w:p w:rsidR="005A7E79" w:rsidRDefault="005A7E79" w:rsidP="005A7E79">
      <w:pPr>
        <w:spacing w:line="360" w:lineRule="auto"/>
        <w:rPr>
          <w:sz w:val="24"/>
          <w:szCs w:val="24"/>
        </w:rPr>
      </w:pPr>
      <w:r>
        <w:rPr>
          <w:sz w:val="24"/>
          <w:szCs w:val="24"/>
        </w:rPr>
        <w:t xml:space="preserve">- termin składania ofert na: </w:t>
      </w:r>
      <w:r w:rsidR="00C360A0">
        <w:rPr>
          <w:sz w:val="24"/>
          <w:szCs w:val="24"/>
        </w:rPr>
        <w:t>20.12</w:t>
      </w:r>
      <w:r>
        <w:rPr>
          <w:sz w:val="24"/>
          <w:szCs w:val="24"/>
        </w:rPr>
        <w:t>.2022 r. godzina 1</w:t>
      </w:r>
      <w:r w:rsidR="008008A8">
        <w:rPr>
          <w:sz w:val="24"/>
          <w:szCs w:val="24"/>
        </w:rPr>
        <w:t>0</w:t>
      </w:r>
      <w:r>
        <w:rPr>
          <w:sz w:val="24"/>
          <w:szCs w:val="24"/>
        </w:rPr>
        <w:t>:00;</w:t>
      </w:r>
    </w:p>
    <w:p w:rsidR="005A7E79" w:rsidRDefault="005A7E79" w:rsidP="005A7E79">
      <w:pPr>
        <w:spacing w:line="360" w:lineRule="auto"/>
        <w:rPr>
          <w:sz w:val="24"/>
          <w:szCs w:val="24"/>
        </w:rPr>
      </w:pPr>
      <w:r>
        <w:rPr>
          <w:sz w:val="24"/>
          <w:szCs w:val="24"/>
        </w:rPr>
        <w:t xml:space="preserve">- termin otwarcia ofert na: </w:t>
      </w:r>
      <w:r w:rsidR="00C360A0">
        <w:rPr>
          <w:sz w:val="24"/>
          <w:szCs w:val="24"/>
        </w:rPr>
        <w:t>20.12</w:t>
      </w:r>
      <w:r>
        <w:rPr>
          <w:sz w:val="24"/>
          <w:szCs w:val="24"/>
        </w:rPr>
        <w:t>.2022 r. godzina 1</w:t>
      </w:r>
      <w:r w:rsidR="008008A8">
        <w:rPr>
          <w:sz w:val="24"/>
          <w:szCs w:val="24"/>
        </w:rPr>
        <w:t>0</w:t>
      </w:r>
      <w:r>
        <w:rPr>
          <w:sz w:val="24"/>
          <w:szCs w:val="24"/>
        </w:rPr>
        <w:t>:30;</w:t>
      </w:r>
    </w:p>
    <w:p w:rsidR="005A7E79" w:rsidRDefault="005A7E79" w:rsidP="005A7E79">
      <w:pPr>
        <w:spacing w:line="360" w:lineRule="auto"/>
        <w:rPr>
          <w:sz w:val="24"/>
          <w:szCs w:val="24"/>
        </w:rPr>
      </w:pPr>
      <w:r>
        <w:rPr>
          <w:sz w:val="24"/>
          <w:szCs w:val="24"/>
        </w:rPr>
        <w:t xml:space="preserve">- termin związania ofertą na: </w:t>
      </w:r>
      <w:r w:rsidR="00C360A0">
        <w:rPr>
          <w:sz w:val="24"/>
          <w:szCs w:val="24"/>
        </w:rPr>
        <w:t>18.01.2023</w:t>
      </w:r>
      <w:r>
        <w:rPr>
          <w:sz w:val="24"/>
          <w:szCs w:val="24"/>
        </w:rPr>
        <w:t xml:space="preserve"> r.</w:t>
      </w:r>
    </w:p>
    <w:p w:rsidR="005A7E79" w:rsidRPr="005A7E79" w:rsidRDefault="005A7E79" w:rsidP="005A7E79">
      <w:pPr>
        <w:spacing w:line="360" w:lineRule="auto"/>
        <w:rPr>
          <w:rFonts w:cs="Times New Roman"/>
          <w:sz w:val="24"/>
          <w:szCs w:val="24"/>
        </w:rPr>
      </w:pPr>
    </w:p>
    <w:p w:rsidR="005A7E79" w:rsidRPr="005A7E79" w:rsidRDefault="005A7E79" w:rsidP="005A7E79">
      <w:pPr>
        <w:spacing w:line="360" w:lineRule="auto"/>
        <w:rPr>
          <w:rFonts w:eastAsia="Trebuchet MS"/>
          <w:b/>
          <w:color w:val="000000" w:themeColor="text1"/>
          <w:sz w:val="24"/>
          <w:szCs w:val="24"/>
        </w:rPr>
      </w:pPr>
    </w:p>
    <w:p w:rsidR="007B184F" w:rsidRPr="002B341E" w:rsidRDefault="00EC78E0" w:rsidP="005A7E79">
      <w:pPr>
        <w:spacing w:line="360" w:lineRule="auto"/>
        <w:ind w:left="-5" w:firstLine="5534"/>
        <w:rPr>
          <w:rFonts w:eastAsia="Trebuchet MS"/>
          <w:color w:val="000000" w:themeColor="text1"/>
          <w:sz w:val="24"/>
          <w:szCs w:val="24"/>
        </w:rPr>
      </w:pPr>
      <w:r w:rsidRPr="002B341E">
        <w:rPr>
          <w:rFonts w:eastAsia="Trebuchet MS"/>
          <w:color w:val="000000" w:themeColor="text1"/>
          <w:sz w:val="24"/>
          <w:szCs w:val="24"/>
        </w:rPr>
        <w:t>Burmistrz Sulejowa</w:t>
      </w:r>
    </w:p>
    <w:p w:rsidR="00AB47FF" w:rsidRPr="002B341E" w:rsidRDefault="00AB47FF" w:rsidP="005A7E79">
      <w:pPr>
        <w:spacing w:line="360" w:lineRule="auto"/>
        <w:ind w:left="-5" w:firstLine="5534"/>
        <w:rPr>
          <w:rFonts w:eastAsia="Trebuchet MS"/>
          <w:color w:val="000000" w:themeColor="text1"/>
          <w:sz w:val="24"/>
          <w:szCs w:val="24"/>
        </w:rPr>
      </w:pPr>
    </w:p>
    <w:p w:rsidR="005A7E79" w:rsidRPr="002B341E" w:rsidRDefault="00EC78E0" w:rsidP="008008A8">
      <w:pPr>
        <w:spacing w:line="360" w:lineRule="auto"/>
        <w:ind w:left="-5" w:firstLine="5534"/>
        <w:rPr>
          <w:rFonts w:eastAsia="Trebuchet MS"/>
          <w:color w:val="000000" w:themeColor="text1"/>
          <w:sz w:val="24"/>
          <w:szCs w:val="24"/>
        </w:rPr>
      </w:pPr>
      <w:r w:rsidRPr="002B341E">
        <w:rPr>
          <w:rFonts w:eastAsia="Trebuchet MS"/>
          <w:color w:val="000000" w:themeColor="text1"/>
          <w:sz w:val="24"/>
          <w:szCs w:val="24"/>
        </w:rPr>
        <w:t>Wojciech Ostrowski</w:t>
      </w:r>
    </w:p>
    <w:sectPr w:rsidR="005A7E79" w:rsidRPr="002B341E" w:rsidSect="00C51D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59" w:rsidRDefault="00FA5D59" w:rsidP="003409C8">
      <w:r>
        <w:separator/>
      </w:r>
    </w:p>
  </w:endnote>
  <w:endnote w:type="continuationSeparator" w:id="0">
    <w:p w:rsidR="00FA5D59" w:rsidRDefault="00FA5D59" w:rsidP="003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ans-Regular">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3708"/>
      <w:docPartObj>
        <w:docPartGallery w:val="Page Numbers (Bottom of Page)"/>
        <w:docPartUnique/>
      </w:docPartObj>
    </w:sdtPr>
    <w:sdtEndPr/>
    <w:sdtContent>
      <w:p w:rsidR="00451048" w:rsidRDefault="00DA74FE">
        <w:pPr>
          <w:pStyle w:val="Stopka"/>
          <w:jc w:val="right"/>
        </w:pPr>
        <w:r>
          <w:rPr>
            <w:noProof/>
          </w:rPr>
          <w:fldChar w:fldCharType="begin"/>
        </w:r>
        <w:r>
          <w:rPr>
            <w:noProof/>
          </w:rPr>
          <w:instrText>PAGE   \* MERGEFORMAT</w:instrText>
        </w:r>
        <w:r>
          <w:rPr>
            <w:noProof/>
          </w:rPr>
          <w:fldChar w:fldCharType="separate"/>
        </w:r>
        <w:r w:rsidR="00280E03">
          <w:rPr>
            <w:noProof/>
          </w:rPr>
          <w:t>13</w:t>
        </w:r>
        <w:r>
          <w:rPr>
            <w:noProof/>
          </w:rPr>
          <w:fldChar w:fldCharType="end"/>
        </w:r>
      </w:p>
    </w:sdtContent>
  </w:sdt>
  <w:p w:rsidR="00451048" w:rsidRDefault="00451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59" w:rsidRDefault="00FA5D59" w:rsidP="003409C8">
      <w:r>
        <w:separator/>
      </w:r>
    </w:p>
  </w:footnote>
  <w:footnote w:type="continuationSeparator" w:id="0">
    <w:p w:rsidR="00FA5D59" w:rsidRDefault="00FA5D59" w:rsidP="003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2F82232"/>
    <w:multiLevelType w:val="hybridMultilevel"/>
    <w:tmpl w:val="3B8E13F4"/>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FA1CA8"/>
    <w:multiLevelType w:val="hybridMultilevel"/>
    <w:tmpl w:val="2A14B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EF64B3"/>
    <w:multiLevelType w:val="hybridMultilevel"/>
    <w:tmpl w:val="FE02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E770C4"/>
    <w:multiLevelType w:val="hybridMultilevel"/>
    <w:tmpl w:val="DFA6A42C"/>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AA1E65"/>
    <w:multiLevelType w:val="hybridMultilevel"/>
    <w:tmpl w:val="779AAA1E"/>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1B30D7"/>
    <w:multiLevelType w:val="multilevel"/>
    <w:tmpl w:val="5D086BB6"/>
    <w:lvl w:ilvl="0">
      <w:start w:val="1"/>
      <w:numFmt w:val="decimal"/>
      <w:lvlText w:val="%1."/>
      <w:lvlJc w:val="left"/>
      <w:pPr>
        <w:tabs>
          <w:tab w:val="num" w:pos="720"/>
        </w:tabs>
        <w:ind w:left="402" w:hanging="284"/>
      </w:pPr>
      <w:rPr>
        <w:rFonts w:ascii="Calibri" w:eastAsia="Times New Roman" w:hAnsi="Calibri" w:cs="Times New Roman" w:hint="default"/>
        <w:w w:val="100"/>
        <w:sz w:val="24"/>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16" w15:restartNumberingAfterBreak="0">
    <w:nsid w:val="47652018"/>
    <w:multiLevelType w:val="hybridMultilevel"/>
    <w:tmpl w:val="DB7A6574"/>
    <w:lvl w:ilvl="0" w:tplc="2D84688A">
      <w:numFmt w:val="bullet"/>
      <w:lvlText w:val="·"/>
      <w:lvlJc w:val="left"/>
      <w:pPr>
        <w:ind w:left="1065" w:hanging="705"/>
      </w:pPr>
      <w:rPr>
        <w:rFonts w:ascii="Calibri" w:eastAsia="Trebuchet MS"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E6460"/>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9D0450"/>
    <w:multiLevelType w:val="hybridMultilevel"/>
    <w:tmpl w:val="3AE60376"/>
    <w:lvl w:ilvl="0" w:tplc="0F1266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9"/>
  </w:num>
  <w:num w:numId="12">
    <w:abstractNumId w:val="12"/>
  </w:num>
  <w:num w:numId="13">
    <w:abstractNumId w:val="11"/>
  </w:num>
  <w:num w:numId="14">
    <w:abstractNumId w:val="16"/>
  </w:num>
  <w:num w:numId="15">
    <w:abstractNumId w:val="10"/>
  </w:num>
  <w:num w:numId="16">
    <w:abstractNumId w:val="13"/>
  </w:num>
  <w:num w:numId="17">
    <w:abstractNumId w:val="14"/>
  </w:num>
  <w:num w:numId="21">
    <w:abstractNumId w:val="19"/>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0"/>
    <w:rsid w:val="000267DC"/>
    <w:rsid w:val="00030A6A"/>
    <w:rsid w:val="000356D4"/>
    <w:rsid w:val="00081083"/>
    <w:rsid w:val="000A43C9"/>
    <w:rsid w:val="000B4CEE"/>
    <w:rsid w:val="0010752E"/>
    <w:rsid w:val="00115A4D"/>
    <w:rsid w:val="00130052"/>
    <w:rsid w:val="00171A23"/>
    <w:rsid w:val="001E2415"/>
    <w:rsid w:val="002103CB"/>
    <w:rsid w:val="0021571A"/>
    <w:rsid w:val="002158E1"/>
    <w:rsid w:val="00262E9C"/>
    <w:rsid w:val="00273A62"/>
    <w:rsid w:val="00280E03"/>
    <w:rsid w:val="00283D65"/>
    <w:rsid w:val="0029060A"/>
    <w:rsid w:val="002950A3"/>
    <w:rsid w:val="002A3B6C"/>
    <w:rsid w:val="002B3270"/>
    <w:rsid w:val="002B341E"/>
    <w:rsid w:val="002C4CD9"/>
    <w:rsid w:val="002E2088"/>
    <w:rsid w:val="003000BB"/>
    <w:rsid w:val="00317FF1"/>
    <w:rsid w:val="003360E7"/>
    <w:rsid w:val="003409C8"/>
    <w:rsid w:val="00373A52"/>
    <w:rsid w:val="003A007F"/>
    <w:rsid w:val="003C0FE9"/>
    <w:rsid w:val="00401C9A"/>
    <w:rsid w:val="0043637C"/>
    <w:rsid w:val="00451048"/>
    <w:rsid w:val="0047035D"/>
    <w:rsid w:val="0047484E"/>
    <w:rsid w:val="00483219"/>
    <w:rsid w:val="004A630C"/>
    <w:rsid w:val="00511C45"/>
    <w:rsid w:val="00516D99"/>
    <w:rsid w:val="00517A93"/>
    <w:rsid w:val="00537C76"/>
    <w:rsid w:val="00546E4A"/>
    <w:rsid w:val="00552753"/>
    <w:rsid w:val="0056433A"/>
    <w:rsid w:val="00586B02"/>
    <w:rsid w:val="005A7E79"/>
    <w:rsid w:val="005E2937"/>
    <w:rsid w:val="005F6E05"/>
    <w:rsid w:val="00631F94"/>
    <w:rsid w:val="006425EF"/>
    <w:rsid w:val="00683C41"/>
    <w:rsid w:val="006B3B33"/>
    <w:rsid w:val="006B64B2"/>
    <w:rsid w:val="006C6BD1"/>
    <w:rsid w:val="006E6E8B"/>
    <w:rsid w:val="00703642"/>
    <w:rsid w:val="007722CA"/>
    <w:rsid w:val="007834EC"/>
    <w:rsid w:val="007B184F"/>
    <w:rsid w:val="007C3496"/>
    <w:rsid w:val="007D6AD6"/>
    <w:rsid w:val="007E48CC"/>
    <w:rsid w:val="008008A8"/>
    <w:rsid w:val="00805CA1"/>
    <w:rsid w:val="00807CCD"/>
    <w:rsid w:val="00825DC3"/>
    <w:rsid w:val="00826748"/>
    <w:rsid w:val="008459E7"/>
    <w:rsid w:val="00847C17"/>
    <w:rsid w:val="008525AE"/>
    <w:rsid w:val="0086417F"/>
    <w:rsid w:val="008804B7"/>
    <w:rsid w:val="0089294A"/>
    <w:rsid w:val="008D3871"/>
    <w:rsid w:val="0091708A"/>
    <w:rsid w:val="0095521F"/>
    <w:rsid w:val="00957DBF"/>
    <w:rsid w:val="009775BC"/>
    <w:rsid w:val="00996122"/>
    <w:rsid w:val="009A629A"/>
    <w:rsid w:val="009B3CB8"/>
    <w:rsid w:val="009C6E81"/>
    <w:rsid w:val="009D0E9E"/>
    <w:rsid w:val="009D21D8"/>
    <w:rsid w:val="009E19DE"/>
    <w:rsid w:val="00A31696"/>
    <w:rsid w:val="00A560AC"/>
    <w:rsid w:val="00A811A9"/>
    <w:rsid w:val="00AA5CBF"/>
    <w:rsid w:val="00AB47FF"/>
    <w:rsid w:val="00AC075B"/>
    <w:rsid w:val="00AD7D1F"/>
    <w:rsid w:val="00AE3703"/>
    <w:rsid w:val="00B11A2B"/>
    <w:rsid w:val="00B42F34"/>
    <w:rsid w:val="00B5631D"/>
    <w:rsid w:val="00B56A24"/>
    <w:rsid w:val="00B62C47"/>
    <w:rsid w:val="00C360A0"/>
    <w:rsid w:val="00C51D17"/>
    <w:rsid w:val="00C61CE3"/>
    <w:rsid w:val="00C674EC"/>
    <w:rsid w:val="00C76E4F"/>
    <w:rsid w:val="00CB76ED"/>
    <w:rsid w:val="00CC115C"/>
    <w:rsid w:val="00CE56D4"/>
    <w:rsid w:val="00CE7C28"/>
    <w:rsid w:val="00D1145E"/>
    <w:rsid w:val="00D1184A"/>
    <w:rsid w:val="00D154D6"/>
    <w:rsid w:val="00D42D09"/>
    <w:rsid w:val="00D5159B"/>
    <w:rsid w:val="00D66960"/>
    <w:rsid w:val="00DA74FE"/>
    <w:rsid w:val="00DB75C0"/>
    <w:rsid w:val="00DF71DB"/>
    <w:rsid w:val="00E048AD"/>
    <w:rsid w:val="00E2734E"/>
    <w:rsid w:val="00E408ED"/>
    <w:rsid w:val="00E543F1"/>
    <w:rsid w:val="00E929D3"/>
    <w:rsid w:val="00EB03A3"/>
    <w:rsid w:val="00EC37AB"/>
    <w:rsid w:val="00EC78E0"/>
    <w:rsid w:val="00ED088F"/>
    <w:rsid w:val="00ED58CA"/>
    <w:rsid w:val="00ED5902"/>
    <w:rsid w:val="00EF2C87"/>
    <w:rsid w:val="00EF5277"/>
    <w:rsid w:val="00F06341"/>
    <w:rsid w:val="00F12285"/>
    <w:rsid w:val="00F34DEA"/>
    <w:rsid w:val="00F44E87"/>
    <w:rsid w:val="00F719D3"/>
    <w:rsid w:val="00F719D4"/>
    <w:rsid w:val="00F809D8"/>
    <w:rsid w:val="00F83EB9"/>
    <w:rsid w:val="00F918E0"/>
    <w:rsid w:val="00FA5D59"/>
    <w:rsid w:val="00FB4A66"/>
    <w:rsid w:val="00FD1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9E2D2-11CC-4229-AD5D-AD078B2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083"/>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C3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9C8"/>
    <w:pPr>
      <w:tabs>
        <w:tab w:val="center" w:pos="4536"/>
        <w:tab w:val="right" w:pos="9072"/>
      </w:tabs>
    </w:pPr>
  </w:style>
  <w:style w:type="character" w:customStyle="1" w:styleId="NagwekZnak">
    <w:name w:val="Nagłówek Znak"/>
    <w:basedOn w:val="Domylnaczcionkaakapitu"/>
    <w:link w:val="Nagwek"/>
    <w:uiPriority w:val="99"/>
    <w:rsid w:val="003409C8"/>
    <w:rPr>
      <w:rFonts w:ascii="Calibri" w:eastAsia="Calibri" w:hAnsi="Calibri" w:cs="Arial"/>
      <w:sz w:val="20"/>
      <w:szCs w:val="20"/>
      <w:lang w:eastAsia="pl-PL"/>
    </w:rPr>
  </w:style>
  <w:style w:type="paragraph" w:styleId="Stopka">
    <w:name w:val="footer"/>
    <w:basedOn w:val="Normalny"/>
    <w:link w:val="StopkaZnak"/>
    <w:uiPriority w:val="99"/>
    <w:unhideWhenUsed/>
    <w:rsid w:val="003409C8"/>
    <w:pPr>
      <w:tabs>
        <w:tab w:val="center" w:pos="4536"/>
        <w:tab w:val="right" w:pos="9072"/>
      </w:tabs>
    </w:pPr>
  </w:style>
  <w:style w:type="character" w:customStyle="1" w:styleId="StopkaZnak">
    <w:name w:val="Stopka Znak"/>
    <w:basedOn w:val="Domylnaczcionkaakapitu"/>
    <w:link w:val="Stopka"/>
    <w:uiPriority w:val="99"/>
    <w:rsid w:val="003409C8"/>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7C3496"/>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F719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9D4"/>
    <w:rPr>
      <w:rFonts w:ascii="Segoe UI" w:eastAsia="Calibri" w:hAnsi="Segoe UI" w:cs="Segoe UI"/>
      <w:sz w:val="18"/>
      <w:szCs w:val="18"/>
      <w:lang w:eastAsia="pl-PL"/>
    </w:rPr>
  </w:style>
  <w:style w:type="paragraph" w:styleId="Akapitzlist">
    <w:name w:val="List Paragraph"/>
    <w:basedOn w:val="Normalny"/>
    <w:qFormat/>
    <w:rsid w:val="003360E7"/>
    <w:pPr>
      <w:ind w:left="720"/>
      <w:contextualSpacing/>
    </w:pPr>
  </w:style>
  <w:style w:type="paragraph" w:styleId="Tekstpodstawowy">
    <w:name w:val="Body Text"/>
    <w:basedOn w:val="Normalny"/>
    <w:link w:val="TekstpodstawowyZnak"/>
    <w:semiHidden/>
    <w:unhideWhenUsed/>
    <w:rsid w:val="003C0FE9"/>
    <w:rPr>
      <w:rFonts w:ascii="Courier New" w:eastAsia="Times New Roman" w:hAnsi="Courier New" w:cs="Times New Roman"/>
      <w:sz w:val="24"/>
    </w:rPr>
  </w:style>
  <w:style w:type="character" w:customStyle="1" w:styleId="TekstpodstawowyZnak">
    <w:name w:val="Tekst podstawowy Znak"/>
    <w:basedOn w:val="Domylnaczcionkaakapitu"/>
    <w:link w:val="Tekstpodstawowy"/>
    <w:semiHidden/>
    <w:rsid w:val="003C0FE9"/>
    <w:rPr>
      <w:rFonts w:ascii="Courier New" w:eastAsia="Times New Roman" w:hAnsi="Courier New" w:cs="Times New Roman"/>
      <w:sz w:val="24"/>
      <w:szCs w:val="20"/>
      <w:lang w:eastAsia="pl-PL"/>
    </w:rPr>
  </w:style>
  <w:style w:type="character" w:styleId="Hipercze">
    <w:name w:val="Hyperlink"/>
    <w:autoRedefine/>
    <w:rsid w:val="0010752E"/>
    <w:rPr>
      <w:u w:val="single"/>
    </w:rPr>
  </w:style>
  <w:style w:type="paragraph" w:customStyle="1" w:styleId="Default">
    <w:name w:val="Default"/>
    <w:rsid w:val="007D6AD6"/>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A3B6C"/>
  </w:style>
  <w:style w:type="character" w:customStyle="1" w:styleId="TekstprzypisukocowegoZnak">
    <w:name w:val="Tekst przypisu końcowego Znak"/>
    <w:basedOn w:val="Domylnaczcionkaakapitu"/>
    <w:link w:val="Tekstprzypisukocowego"/>
    <w:uiPriority w:val="99"/>
    <w:semiHidden/>
    <w:rsid w:val="002A3B6C"/>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A3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2249">
      <w:bodyDiv w:val="1"/>
      <w:marLeft w:val="0"/>
      <w:marRight w:val="0"/>
      <w:marTop w:val="0"/>
      <w:marBottom w:val="0"/>
      <w:divBdr>
        <w:top w:val="none" w:sz="0" w:space="0" w:color="auto"/>
        <w:left w:val="none" w:sz="0" w:space="0" w:color="auto"/>
        <w:bottom w:val="none" w:sz="0" w:space="0" w:color="auto"/>
        <w:right w:val="none" w:sz="0" w:space="0" w:color="auto"/>
      </w:divBdr>
    </w:div>
    <w:div w:id="1267931172">
      <w:bodyDiv w:val="1"/>
      <w:marLeft w:val="0"/>
      <w:marRight w:val="0"/>
      <w:marTop w:val="0"/>
      <w:marBottom w:val="0"/>
      <w:divBdr>
        <w:top w:val="none" w:sz="0" w:space="0" w:color="auto"/>
        <w:left w:val="none" w:sz="0" w:space="0" w:color="auto"/>
        <w:bottom w:val="none" w:sz="0" w:space="0" w:color="auto"/>
        <w:right w:val="none" w:sz="0" w:space="0" w:color="auto"/>
      </w:divBdr>
    </w:div>
    <w:div w:id="1345858740">
      <w:bodyDiv w:val="1"/>
      <w:marLeft w:val="0"/>
      <w:marRight w:val="0"/>
      <w:marTop w:val="0"/>
      <w:marBottom w:val="0"/>
      <w:divBdr>
        <w:top w:val="none" w:sz="0" w:space="0" w:color="auto"/>
        <w:left w:val="none" w:sz="0" w:space="0" w:color="auto"/>
        <w:bottom w:val="none" w:sz="0" w:space="0" w:color="auto"/>
        <w:right w:val="none" w:sz="0" w:space="0" w:color="auto"/>
      </w:divBdr>
    </w:div>
    <w:div w:id="1685746833">
      <w:bodyDiv w:val="1"/>
      <w:marLeft w:val="0"/>
      <w:marRight w:val="0"/>
      <w:marTop w:val="0"/>
      <w:marBottom w:val="0"/>
      <w:divBdr>
        <w:top w:val="none" w:sz="0" w:space="0" w:color="auto"/>
        <w:left w:val="none" w:sz="0" w:space="0" w:color="auto"/>
        <w:bottom w:val="none" w:sz="0" w:space="0" w:color="auto"/>
        <w:right w:val="none" w:sz="0" w:space="0" w:color="auto"/>
      </w:divBdr>
    </w:div>
    <w:div w:id="1720543982">
      <w:bodyDiv w:val="1"/>
      <w:marLeft w:val="0"/>
      <w:marRight w:val="0"/>
      <w:marTop w:val="0"/>
      <w:marBottom w:val="0"/>
      <w:divBdr>
        <w:top w:val="none" w:sz="0" w:space="0" w:color="auto"/>
        <w:left w:val="none" w:sz="0" w:space="0" w:color="auto"/>
        <w:bottom w:val="none" w:sz="0" w:space="0" w:color="auto"/>
        <w:right w:val="none" w:sz="0" w:space="0" w:color="auto"/>
      </w:divBdr>
    </w:div>
    <w:div w:id="19684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78AD-AC73-41A0-8AAC-BC90BFE1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4423</Words>
  <Characters>26541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pytania i odpowiedzi</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i odpowiedzi</dc:title>
  <dc:creator>Izabela Dróżdż</dc:creator>
  <cp:lastModifiedBy>Izabela ID. Dróżdż</cp:lastModifiedBy>
  <cp:revision>21</cp:revision>
  <cp:lastPrinted>2022-12-13T11:50:00Z</cp:lastPrinted>
  <dcterms:created xsi:type="dcterms:W3CDTF">2022-10-25T09:28:00Z</dcterms:created>
  <dcterms:modified xsi:type="dcterms:W3CDTF">2022-12-13T12:36:00Z</dcterms:modified>
</cp:coreProperties>
</file>