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57375426" wp14:textId="74C20A86">
      <w:r w:rsidR="16431F5C">
        <w:rPr/>
        <w:t>Pytanie:</w:t>
      </w:r>
    </w:p>
    <w:p w:rsidR="3D3B2924" w:rsidP="3D3B2924" w:rsidRDefault="3D3B2924" w14:paraId="05CBCD10" w14:textId="75D3913E">
      <w:pPr>
        <w:pStyle w:val="Normal"/>
      </w:pPr>
    </w:p>
    <w:p w:rsidR="16431F5C" w:rsidP="3D3B2924" w:rsidRDefault="16431F5C" w14:paraId="25CF301F" w14:textId="5A1B4AE6">
      <w:pPr>
        <w:pStyle w:val="Normal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5082A315" w:rsidR="16431F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pl-PL"/>
        </w:rPr>
        <w:t xml:space="preserve">Jakie przepisy/normy musi spełniać opakowanie, by można je uznać za opakowanie wielokrotnego użytku? </w:t>
      </w:r>
      <w:r w:rsidRPr="5082A315" w:rsidR="16431F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pl-PL"/>
        </w:rPr>
        <w:t>Firmy</w:t>
      </w:r>
      <w:r w:rsidRPr="5082A315" w:rsidR="16431F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pl-PL"/>
        </w:rPr>
        <w:t xml:space="preserve"> zaświadczeniach powołują się na zgodność z normą: 12875 (odporność naczyń kuchennych na mechaniczne zmywanie) Czy to wystarczy, by uznać takie opakowanie za wielokrotnego użytku? Jest jeszcze norma 13429 (wymagania, które powinno spełniać </w:t>
      </w:r>
      <w:r w:rsidRPr="5082A315" w:rsidR="16431F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pl-PL"/>
        </w:rPr>
        <w:t>opakowanie</w:t>
      </w:r>
      <w:r w:rsidRPr="5082A315" w:rsidR="16431F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pl-PL"/>
        </w:rPr>
        <w:t xml:space="preserve"> aby zostało zaklasyfikowane jako opakowanie wielokrotnego użytku oraz procedury oceny zgodności z tymi wymaganiami z włączeniem towarzyszących systemów).  Jakie papiery przedstawione przez dostawców opakowań </w:t>
      </w:r>
      <w:r w:rsidRPr="5082A315" w:rsidR="168E48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pl-PL"/>
        </w:rPr>
        <w:t xml:space="preserve">są wystarczające? </w:t>
      </w:r>
      <w:r w:rsidRPr="5082A315" w:rsidR="16431F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pl-PL"/>
        </w:rPr>
        <w:t xml:space="preserve"> Na co powinni się powoływać?</w:t>
      </w:r>
    </w:p>
    <w:p w:rsidR="5082A315" w:rsidP="5082A315" w:rsidRDefault="5082A315" w14:paraId="6E5F198F" w14:textId="0D0D759C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pl-PL"/>
        </w:rPr>
      </w:pPr>
    </w:p>
    <w:p w:rsidR="60FEE886" w:rsidP="5082A315" w:rsidRDefault="60FEE886" w14:paraId="7D77ADC5" w14:textId="74D44CBD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pl-PL"/>
        </w:rPr>
      </w:pPr>
      <w:r w:rsidRPr="5082A315" w:rsidR="60FEE8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pl-PL"/>
        </w:rPr>
        <w:t>Odpowiedz:</w:t>
      </w:r>
    </w:p>
    <w:p w:rsidR="5082A315" w:rsidP="5082A315" w:rsidRDefault="5082A315" w14:paraId="2975D21F" w14:textId="6EB6058B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pl-PL"/>
        </w:rPr>
      </w:pPr>
    </w:p>
    <w:p w:rsidR="5082A315" w:rsidP="5082A315" w:rsidRDefault="5082A315" w14:paraId="673E6606" w14:textId="1126DB60">
      <w:pPr>
        <w:shd w:val="clear" w:color="auto" w:fill="FFFFFF" w:themeFill="background1"/>
        <w:spacing w:before="0" w:beforeAutospacing="off" w:after="0" w:afterAutospacing="off"/>
      </w:pPr>
    </w:p>
    <w:p w:rsidR="60FEE886" w:rsidP="5082A315" w:rsidRDefault="60FEE886" w14:paraId="0096A7C5" w14:textId="0B41AA32">
      <w:pPr>
        <w:shd w:val="clear" w:color="auto" w:fill="FFFFFF" w:themeFill="background1"/>
        <w:spacing w:before="0" w:beforeAutospacing="off" w:after="0" w:afterAutospacing="off"/>
      </w:pPr>
      <w:r w:rsidRPr="5082A315" w:rsidR="60FEE8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pl-PL"/>
        </w:rPr>
        <w:t xml:space="preserve">W świetle obowiązujących przepisów sama zgodność opakowania z normą 12875 (odporność naczyń kuchennych na mechaniczne zmywanie) może okazać się niewystarczająca do uznania że dane opakowanie – dotychczas produkowane jako jednorazowego użytku, mogłoby być traktowane obecnie jako opakowanie wielokrotnego użytku. </w:t>
      </w:r>
    </w:p>
    <w:p w:rsidR="60FEE886" w:rsidP="5082A315" w:rsidRDefault="60FEE886" w14:paraId="210E9DEF" w14:textId="6A5E0F8A">
      <w:pPr>
        <w:shd w:val="clear" w:color="auto" w:fill="FFFFFF" w:themeFill="background1"/>
        <w:spacing w:before="0" w:beforeAutospacing="off" w:after="0" w:afterAutospacing="off"/>
      </w:pPr>
      <w:r w:rsidRPr="5082A315" w:rsidR="60FEE8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pl-PL"/>
        </w:rPr>
        <w:t xml:space="preserve"> </w:t>
      </w:r>
    </w:p>
    <w:p w:rsidR="60FEE886" w:rsidP="5082A315" w:rsidRDefault="60FEE886" w14:paraId="62553004" w14:textId="7F2F6376">
      <w:pPr>
        <w:shd w:val="clear" w:color="auto" w:fill="FFFFFF" w:themeFill="background1"/>
        <w:spacing w:before="0" w:beforeAutospacing="off" w:after="0" w:afterAutospacing="off"/>
      </w:pPr>
      <w:r w:rsidRPr="5082A315" w:rsidR="60FEE8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pl-PL"/>
        </w:rPr>
        <w:t>Wyjaśnienia dot. „wielokrotnego użytku” przedstawione Wytycznych Komisji UE wydanych do Dyrektywy SUP (pkt. 2.2.2. i 2.2.3) wskazują dwie przesłanki uznania danego opakowania za opakowanie wielokrotnego użytku:</w:t>
      </w:r>
    </w:p>
    <w:p w:rsidR="60FEE886" w:rsidP="5082A315" w:rsidRDefault="60FEE886" w14:paraId="0E1846AC" w14:textId="1088767B">
      <w:pPr>
        <w:shd w:val="clear" w:color="auto" w:fill="FFFFFF" w:themeFill="background1"/>
        <w:spacing w:before="0" w:beforeAutospacing="off" w:after="0" w:afterAutospacing="off" w:line="220" w:lineRule="auto"/>
        <w:ind w:left="720" w:right="0" w:hanging="360"/>
      </w:pPr>
      <w:r w:rsidRPr="5082A315" w:rsidR="60FEE886"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pl-PL"/>
        </w:rPr>
        <w:t>-</w:t>
      </w:r>
      <w:r w:rsidRPr="5082A315" w:rsidR="60FE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l-PL"/>
        </w:rPr>
        <w:t xml:space="preserve">       </w:t>
      </w:r>
      <w:r w:rsidRPr="5082A315" w:rsidR="60FEE8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pl-PL"/>
        </w:rPr>
        <w:t>okres funkcjonalności czyli czy dane opakowanie jest przeznaczone do tego aby wykorzystać go kilkukrotnie przed ostatecznym unieszkodliwieniem bez utraty funkcjonalności, fizycznych możliwości lub jakości produktu, oraz czy został w ten sposób zaprojektowany, oraz</w:t>
      </w:r>
    </w:p>
    <w:p w:rsidR="60FEE886" w:rsidP="5082A315" w:rsidRDefault="60FEE886" w14:paraId="49B4698C" w14:textId="7ABED4C5">
      <w:pPr>
        <w:shd w:val="clear" w:color="auto" w:fill="FFFFFF" w:themeFill="background1"/>
        <w:spacing w:before="0" w:beforeAutospacing="off" w:after="160" w:afterAutospacing="off" w:line="220" w:lineRule="auto"/>
        <w:ind w:left="720" w:right="0" w:hanging="360"/>
      </w:pPr>
      <w:r w:rsidRPr="5082A315" w:rsidR="60FEE886"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pl-PL"/>
        </w:rPr>
        <w:t>-</w:t>
      </w:r>
      <w:r w:rsidRPr="5082A315" w:rsidR="60FE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l-PL"/>
        </w:rPr>
        <w:t xml:space="preserve">       </w:t>
      </w:r>
      <w:r w:rsidRPr="5082A315" w:rsidR="60FEE8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pl-PL"/>
        </w:rPr>
        <w:t>czy konsumenci zazwyczaj przeznaczają, postrzegają i wykorzystują dane opakowanie jako produkt wielokrotnego użytku</w:t>
      </w:r>
    </w:p>
    <w:p w:rsidR="60FEE886" w:rsidP="5082A315" w:rsidRDefault="60FEE886" w14:paraId="4DCA7D43" w14:textId="0F0A9157">
      <w:pPr>
        <w:shd w:val="clear" w:color="auto" w:fill="FFFFFF" w:themeFill="background1"/>
        <w:spacing w:before="0" w:beforeAutospacing="off" w:after="0" w:afterAutospacing="off"/>
      </w:pPr>
      <w:r w:rsidRPr="5082A315" w:rsidR="60FEE8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pl-PL"/>
        </w:rPr>
        <w:t>Ponadto wytyczne w tym zakresie przywołują przepisy Dyrektywy 94/62/WE z dnia 20.12.1994 r.</w:t>
      </w:r>
      <w:r>
        <w:br/>
      </w:r>
      <w:r w:rsidRPr="5082A315" w:rsidR="60FEE8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pl-PL"/>
        </w:rPr>
        <w:t>w sprawie opakowań i odpadów opakowaniowych oraz normy zharmonizowanej EN 13429:2004 - Opakowania — Opakowania wielokrotnego użytku zgodnie z którymi wymagania przydatności opakowań do wielokrotnego użytku są następujące:</w:t>
      </w:r>
    </w:p>
    <w:p w:rsidR="60FEE886" w:rsidP="5082A315" w:rsidRDefault="60FEE886" w14:paraId="26B958C2" w14:textId="61D8E4D7">
      <w:pPr>
        <w:shd w:val="clear" w:color="auto" w:fill="FFFFFF" w:themeFill="background1"/>
        <w:spacing w:before="0" w:beforeAutospacing="off" w:after="0" w:afterAutospacing="off" w:line="220" w:lineRule="auto"/>
        <w:ind w:left="720" w:right="0" w:hanging="360"/>
      </w:pPr>
      <w:r w:rsidRPr="5082A315" w:rsidR="60FEE886"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pl-PL"/>
        </w:rPr>
        <w:t>-</w:t>
      </w:r>
      <w:r w:rsidRPr="5082A315" w:rsidR="60FE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l-PL"/>
        </w:rPr>
        <w:t xml:space="preserve">       </w:t>
      </w:r>
      <w:r w:rsidRPr="5082A315" w:rsidR="60FEE8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pl-PL"/>
        </w:rPr>
        <w:t>zamiar wielokrotnego wykorzystania opakowania (tj. celowe zaprojektowanie, przeznaczenie i wprowadzenie do obrotu),</w:t>
      </w:r>
    </w:p>
    <w:p w:rsidR="60FEE886" w:rsidP="5082A315" w:rsidRDefault="60FEE886" w14:paraId="152DEEE7" w14:textId="42DF4FBC">
      <w:pPr>
        <w:shd w:val="clear" w:color="auto" w:fill="FFFFFF" w:themeFill="background1"/>
        <w:spacing w:before="0" w:beforeAutospacing="off" w:after="0" w:afterAutospacing="off" w:line="220" w:lineRule="auto"/>
        <w:ind w:left="720" w:right="0" w:hanging="360"/>
      </w:pPr>
      <w:r w:rsidRPr="5082A315" w:rsidR="60FEE886"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pl-PL"/>
        </w:rPr>
        <w:t>-</w:t>
      </w:r>
      <w:r w:rsidRPr="5082A315" w:rsidR="60FE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l-PL"/>
        </w:rPr>
        <w:t xml:space="preserve">       </w:t>
      </w:r>
      <w:r w:rsidRPr="5082A315" w:rsidR="60FEE8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pl-PL"/>
        </w:rPr>
        <w:t>projekt opakowania umożliwiający osiągnięcie wielokrotnej rotacji,</w:t>
      </w:r>
    </w:p>
    <w:p w:rsidR="60FEE886" w:rsidP="5082A315" w:rsidRDefault="60FEE886" w14:paraId="3689CBF0" w14:textId="20A10BB2">
      <w:pPr>
        <w:shd w:val="clear" w:color="auto" w:fill="FFFFFF" w:themeFill="background1"/>
        <w:spacing w:before="0" w:beforeAutospacing="off" w:after="0" w:afterAutospacing="off" w:line="220" w:lineRule="auto"/>
        <w:ind w:left="720" w:right="0" w:hanging="360"/>
      </w:pPr>
      <w:r w:rsidRPr="5082A315" w:rsidR="60FEE886"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pl-PL"/>
        </w:rPr>
        <w:t>-</w:t>
      </w:r>
      <w:r w:rsidRPr="5082A315" w:rsidR="60FE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l-PL"/>
        </w:rPr>
        <w:t xml:space="preserve">       </w:t>
      </w:r>
      <w:r w:rsidRPr="5082A315" w:rsidR="60FEE8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pl-PL"/>
        </w:rPr>
        <w:t>opakowanie można opróżnić/rozładować bez znacznych uszkodzeń i bez zagrożenia dla integralności produktu, zdrowia i bezpieczeństwa,</w:t>
      </w:r>
    </w:p>
    <w:p w:rsidR="60FEE886" w:rsidP="5082A315" w:rsidRDefault="60FEE886" w14:paraId="186B0201" w14:textId="03230370">
      <w:pPr>
        <w:shd w:val="clear" w:color="auto" w:fill="FFFFFF" w:themeFill="background1"/>
        <w:spacing w:before="0" w:beforeAutospacing="off" w:after="0" w:afterAutospacing="off" w:line="220" w:lineRule="auto"/>
        <w:ind w:left="720" w:right="0" w:hanging="360"/>
      </w:pPr>
      <w:r w:rsidRPr="5082A315" w:rsidR="60FEE886"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pl-PL"/>
        </w:rPr>
        <w:t>-</w:t>
      </w:r>
      <w:r w:rsidRPr="5082A315" w:rsidR="60FE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l-PL"/>
        </w:rPr>
        <w:t xml:space="preserve">       </w:t>
      </w:r>
      <w:r w:rsidRPr="5082A315" w:rsidR="60FEE8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pl-PL"/>
        </w:rPr>
        <w:t>opakowanie można odtworzyć, wyczyścić, umyć, naprawić przy jednoczesnym utrzymaniu jego pierwotnej funkcjonalności,</w:t>
      </w:r>
    </w:p>
    <w:p w:rsidR="60FEE886" w:rsidP="5082A315" w:rsidRDefault="60FEE886" w14:paraId="59C6A6CE" w14:textId="224E2A62">
      <w:pPr>
        <w:shd w:val="clear" w:color="auto" w:fill="FFFFFF" w:themeFill="background1"/>
        <w:spacing w:before="0" w:beforeAutospacing="off" w:after="160" w:afterAutospacing="off" w:line="220" w:lineRule="auto"/>
        <w:ind w:left="720" w:right="0" w:hanging="360"/>
      </w:pPr>
      <w:r w:rsidRPr="5082A315" w:rsidR="60FEE886"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pl-PL"/>
        </w:rPr>
        <w:t>-</w:t>
      </w:r>
      <w:r w:rsidRPr="5082A315" w:rsidR="60FEE8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l-PL"/>
        </w:rPr>
        <w:t xml:space="preserve">       </w:t>
      </w:r>
      <w:r w:rsidRPr="5082A315" w:rsidR="60FEE8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pl-PL"/>
        </w:rPr>
        <w:t>obowiązują ustalenia umożliwiające wielokrotne wykorzystanie, tj. ustanowiono i uruchomiono system wielokrotnego wykorzystania.</w:t>
      </w:r>
    </w:p>
    <w:p w:rsidR="60FEE886" w:rsidP="5082A315" w:rsidRDefault="60FEE886" w14:paraId="1EEB3BB6" w14:textId="6ACF42AA">
      <w:pPr>
        <w:shd w:val="clear" w:color="auto" w:fill="FFFFFF" w:themeFill="background1"/>
        <w:spacing w:before="0" w:beforeAutospacing="off" w:after="0" w:afterAutospacing="off"/>
      </w:pPr>
      <w:r w:rsidRPr="5082A315" w:rsidR="60FEE8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pl-PL"/>
        </w:rPr>
        <w:t>Powyższe zapisy Dyrektywy opakowaniowej i przywołanej normy mają odzwierciedlenie przepisach krajowych tj. art. 8 pkt 10 oraz 11 i 13 Ustawy z dnia 13 czerwca 2013r. o gospodarce opakowaniami i odpadami opakowaniowymi, a także polskiej normie PN-EN 13429 pt. ”Opakowania. Wielokrotne użycie”.</w:t>
      </w:r>
    </w:p>
    <w:p w:rsidR="60FEE886" w:rsidP="5082A315" w:rsidRDefault="60FEE886" w14:paraId="74E227D2" w14:textId="42B950CC">
      <w:pPr>
        <w:shd w:val="clear" w:color="auto" w:fill="FFFFFF" w:themeFill="background1"/>
        <w:spacing w:before="0" w:beforeAutospacing="off" w:after="0" w:afterAutospacing="off"/>
      </w:pPr>
      <w:r w:rsidRPr="5082A315" w:rsidR="60FEE8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pl-PL"/>
        </w:rPr>
        <w:t xml:space="preserve"> </w:t>
      </w:r>
    </w:p>
    <w:p w:rsidR="60FEE886" w:rsidP="5082A315" w:rsidRDefault="60FEE886" w14:paraId="22B8F3F4" w14:textId="332CF8B5">
      <w:pPr>
        <w:shd w:val="clear" w:color="auto" w:fill="FFFFFF" w:themeFill="background1"/>
        <w:spacing w:before="0" w:beforeAutospacing="off" w:after="0" w:afterAutospacing="off"/>
      </w:pPr>
      <w:r w:rsidRPr="5082A315" w:rsidR="60FEE8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pl-PL"/>
        </w:rPr>
        <w:t>Zarówno przepisy unijne jak i krajowe, wymagają od przedsiębiorców korzystających z opakowań wielokrotnego użytku ustanowienia systemów wielokrotnego wykorzystania tych opakowań (system obiegu zamkniętego; system obiegu otwartego lub system mieszany)</w:t>
      </w:r>
    </w:p>
    <w:p w:rsidR="60FEE886" w:rsidP="5082A315" w:rsidRDefault="60FEE886" w14:paraId="433C0B00" w14:textId="5C0BC620">
      <w:pPr>
        <w:shd w:val="clear" w:color="auto" w:fill="FFFFFF" w:themeFill="background1"/>
        <w:spacing w:before="0" w:beforeAutospacing="off" w:after="0" w:afterAutospacing="off"/>
      </w:pPr>
      <w:r w:rsidRPr="5082A315" w:rsidR="60FEE8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pl-PL"/>
        </w:rPr>
        <w:t xml:space="preserve"> </w:t>
      </w:r>
    </w:p>
    <w:p w:rsidR="60FEE886" w:rsidP="5082A315" w:rsidRDefault="60FEE886" w14:paraId="1CECF6F6" w14:textId="20943A88">
      <w:pPr>
        <w:shd w:val="clear" w:color="auto" w:fill="FFFFFF" w:themeFill="background1"/>
        <w:spacing w:before="0" w:beforeAutospacing="off" w:after="0" w:afterAutospacing="off"/>
      </w:pPr>
      <w:r w:rsidRPr="5082A315" w:rsidR="60FEE8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pl-PL"/>
        </w:rPr>
        <w:t>Podsumowując przeprowadzenie testów zgodności z normą 12875 będzie niewystarczające dla uznania danego produktu jako opakowania wielokrotnego użytku. Produkty takie powinny być zaprojektowane i wyprodukowane jako opakowania wielokrotnego użytku, tak powinny być traktowane przez konsumentów oraz powinny spełniać wymogi normy zharmonizowaną EN 13429:2004 - Opakowania — Opakowania wielokrotnego użytku. Co istotne zakwestionowanie przez organ kontrolujący opinii dostawcy w zakresie charakterystyki opakowania jako wielokrotnego użytku nie zwolni spółki sklepowej z ewentualnej kary administracyjnej.</w:t>
      </w:r>
    </w:p>
    <w:p w:rsidR="5082A315" w:rsidP="5082A315" w:rsidRDefault="5082A315" w14:paraId="3D7D3A7C" w14:textId="720E360A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pl-PL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0C03BA"/>
    <w:rsid w:val="098636AC"/>
    <w:rsid w:val="16431F5C"/>
    <w:rsid w:val="168E48E6"/>
    <w:rsid w:val="3D3B2924"/>
    <w:rsid w:val="459E17B4"/>
    <w:rsid w:val="5082A315"/>
    <w:rsid w:val="60FEE886"/>
    <w:rsid w:val="620C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C03BA"/>
  <w15:chartTrackingRefBased/>
  <w15:docId w15:val="{6BAA3392-EF39-4AEF-A455-7C998431F8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7A242B7A655845AE4E13BD641BBE9A" ma:contentTypeVersion="18" ma:contentTypeDescription="Utwórz nowy dokument." ma:contentTypeScope="" ma:versionID="0087bed2fcb71d43c09a6ad6ad5e03de">
  <xsd:schema xmlns:xsd="http://www.w3.org/2001/XMLSchema" xmlns:xs="http://www.w3.org/2001/XMLSchema" xmlns:p="http://schemas.microsoft.com/office/2006/metadata/properties" xmlns:ns2="afe5bf89-9448-4ddd-9708-d11b09e72f6d" xmlns:ns3="1e0d183e-7193-4d6c-813f-e993911616e4" targetNamespace="http://schemas.microsoft.com/office/2006/metadata/properties" ma:root="true" ma:fieldsID="86583492553f49578ace40f0efdcfd07" ns2:_="" ns3:_="">
    <xsd:import namespace="afe5bf89-9448-4ddd-9708-d11b09e72f6d"/>
    <xsd:import namespace="1e0d183e-7193-4d6c-813f-e993911616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bf89-9448-4ddd-9708-d11b09e72f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f16f6f-21d8-4d7e-bf66-009a4edebe5c}" ma:internalName="TaxCatchAll" ma:showField="CatchAllData" ma:web="afe5bf89-9448-4ddd-9708-d11b09e72f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d183e-7193-4d6c-813f-e99391161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9dadaa7d-a6f4-42ff-8e35-220c4decc7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e5bf89-9448-4ddd-9708-d11b09e72f6d" xsi:nil="true"/>
    <lcf76f155ced4ddcb4097134ff3c332f xmlns="1e0d183e-7193-4d6c-813f-e993911616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3A9AD2-197B-4B55-A5C8-36BFE3673A93}"/>
</file>

<file path=customXml/itemProps2.xml><?xml version="1.0" encoding="utf-8"?>
<ds:datastoreItem xmlns:ds="http://schemas.openxmlformats.org/officeDocument/2006/customXml" ds:itemID="{DD02F677-1A49-463C-B641-03AFA28FA41C}"/>
</file>

<file path=customXml/itemProps3.xml><?xml version="1.0" encoding="utf-8"?>
<ds:datastoreItem xmlns:ds="http://schemas.openxmlformats.org/officeDocument/2006/customXml" ds:itemID="{60CD219C-71D8-4344-9FA0-E3F4430668C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SOBOLEWSKI</dc:creator>
  <cp:keywords/>
  <dc:description/>
  <cp:lastModifiedBy>Lukasz SOBOLEWSKI</cp:lastModifiedBy>
  <dcterms:created xsi:type="dcterms:W3CDTF">2024-05-27T14:20:07Z</dcterms:created>
  <dcterms:modified xsi:type="dcterms:W3CDTF">2024-05-27T14:22:46Z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0x010100247A242B7A655845AE4E13BD641BBE9A</vt:lpwstr>
  </property>
  <property fmtid="{D5CDD505-2E9C-101B-9397-08002B2CF9AE}" pid="3" name="MediaServiceImageTags">
    <vt:lpwstr/>
  </property>
</Properties>
</file>