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A" w:rsidRDefault="00463729" w:rsidP="00DA02FA">
      <w:pPr>
        <w:jc w:val="right"/>
        <w:rPr>
          <w:b/>
        </w:rPr>
      </w:pPr>
      <w:r w:rsidRPr="008C0F44">
        <w:rPr>
          <w:b/>
        </w:rPr>
        <w:t>Gdynia, dnia</w:t>
      </w:r>
      <w:r w:rsidR="00665062">
        <w:rPr>
          <w:b/>
        </w:rPr>
        <w:t xml:space="preserve"> </w:t>
      </w:r>
      <w:r w:rsidR="000E7DFE">
        <w:rPr>
          <w:b/>
        </w:rPr>
        <w:t>14</w:t>
      </w:r>
      <w:r w:rsidR="0078693D">
        <w:rPr>
          <w:b/>
        </w:rPr>
        <w:t xml:space="preserve"> czerwca</w:t>
      </w:r>
      <w:r w:rsidR="00B013E0">
        <w:rPr>
          <w:b/>
        </w:rPr>
        <w:t xml:space="preserve"> 2022</w:t>
      </w:r>
      <w:r w:rsidRPr="008C0F44">
        <w:rPr>
          <w:b/>
        </w:rPr>
        <w:t xml:space="preserve"> r.</w:t>
      </w:r>
    </w:p>
    <w:p w:rsidR="00811284" w:rsidRPr="00811284" w:rsidRDefault="00811284" w:rsidP="0070606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78693D" w:rsidRDefault="0078693D" w:rsidP="003C2BEC">
      <w:pPr>
        <w:contextualSpacing/>
        <w:jc w:val="center"/>
        <w:rPr>
          <w:rFonts w:asciiTheme="minorHAnsi" w:hAnsiTheme="minorHAnsi" w:cstheme="minorHAnsi"/>
          <w:b/>
        </w:rPr>
      </w:pP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  <w:b/>
        </w:rPr>
        <w:t>OGŁOSZENIE O WYNIKU POSTĘPOWANIA</w:t>
      </w: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3C2BEC" w:rsidRDefault="003C2BEC" w:rsidP="003C2BE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asciiTheme="minorHAnsi" w:hAnsiTheme="minorHAnsi" w:cstheme="minorHAnsi"/>
          <w:i/>
          <w:iCs/>
          <w:sz w:val="20"/>
          <w:szCs w:val="20"/>
        </w:rPr>
        <w:t>wi Publikacji Unii Europejskiej</w:t>
      </w:r>
      <w:bookmarkStart w:id="0" w:name="_GoBack"/>
      <w:bookmarkEnd w:id="0"/>
    </w:p>
    <w:p w:rsidR="00007E6C" w:rsidRPr="00007E6C" w:rsidRDefault="00007E6C" w:rsidP="0078693D">
      <w:pPr>
        <w:spacing w:after="0" w:line="24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zakresie </w:t>
      </w:r>
      <w:r w:rsidR="0078693D">
        <w:rPr>
          <w:rFonts w:asciiTheme="minorHAnsi" w:hAnsiTheme="minorHAnsi" w:cstheme="minorHAnsi"/>
          <w:iCs/>
          <w:sz w:val="20"/>
          <w:szCs w:val="20"/>
        </w:rPr>
        <w:t>zadania nr 24 i zadania nr 36</w:t>
      </w:r>
    </w:p>
    <w:p w:rsidR="008A7364" w:rsidRDefault="008A7364" w:rsidP="003C2BE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Zamawiający: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B013E0" w:rsidRDefault="003C2BEC" w:rsidP="00170350">
      <w:pPr>
        <w:spacing w:after="0" w:line="240" w:lineRule="auto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Sukcesywne dostawy </w:t>
      </w:r>
      <w:r w:rsidR="00B013E0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specjalistycznego sprzętu używanego na blokach operacyjnych </w:t>
      </w:r>
    </w:p>
    <w:p w:rsidR="003C2BEC" w:rsidRPr="00C55E7D" w:rsidRDefault="00B013E0" w:rsidP="003C2BEC">
      <w:pPr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>
        <w:rPr>
          <w:rFonts w:asciiTheme="minorHAnsi" w:hAnsiTheme="minorHAnsi" w:cstheme="minorHAnsi"/>
          <w:b/>
          <w:color w:val="1F497D"/>
          <w:sz w:val="20"/>
          <w:szCs w:val="20"/>
        </w:rPr>
        <w:t>wraz z dzierżawą urządzeń</w:t>
      </w:r>
      <w:r w:rsidR="003C2BEC"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3C2BEC" w:rsidRPr="00C55E7D" w:rsidRDefault="003C2BEC" w:rsidP="003C2BEC">
      <w:pPr>
        <w:spacing w:after="0" w:line="240" w:lineRule="auto"/>
        <w:ind w:left="2829" w:firstLine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sz w:val="20"/>
          <w:szCs w:val="20"/>
        </w:rPr>
        <w:t>Znak: D25M/251/N/</w:t>
      </w:r>
      <w:r w:rsidR="003247E3">
        <w:rPr>
          <w:rFonts w:asciiTheme="minorHAnsi" w:hAnsiTheme="minorHAnsi" w:cstheme="minorHAnsi"/>
          <w:b/>
          <w:sz w:val="20"/>
          <w:szCs w:val="20"/>
        </w:rPr>
        <w:t>50</w:t>
      </w:r>
      <w:r w:rsidRPr="00C55E7D">
        <w:rPr>
          <w:rFonts w:asciiTheme="minorHAnsi" w:hAnsiTheme="minorHAnsi" w:cstheme="minorHAnsi"/>
          <w:b/>
          <w:sz w:val="20"/>
          <w:szCs w:val="20"/>
        </w:rPr>
        <w:t>-</w:t>
      </w:r>
      <w:r w:rsidR="003247E3">
        <w:rPr>
          <w:rFonts w:asciiTheme="minorHAnsi" w:hAnsiTheme="minorHAnsi" w:cstheme="minorHAnsi"/>
          <w:b/>
          <w:sz w:val="20"/>
          <w:szCs w:val="20"/>
        </w:rPr>
        <w:t>82</w:t>
      </w:r>
      <w:r w:rsidRPr="00C55E7D">
        <w:rPr>
          <w:rFonts w:asciiTheme="minorHAnsi" w:hAnsiTheme="minorHAnsi" w:cstheme="minorHAnsi"/>
          <w:b/>
          <w:sz w:val="20"/>
          <w:szCs w:val="20"/>
        </w:rPr>
        <w:t>rj/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3247E3">
        <w:rPr>
          <w:rFonts w:asciiTheme="minorHAnsi" w:hAnsiTheme="minorHAnsi" w:cstheme="minorHAnsi"/>
          <w:b/>
          <w:sz w:val="20"/>
          <w:szCs w:val="20"/>
        </w:rPr>
        <w:t>1</w:t>
      </w:r>
    </w:p>
    <w:p w:rsidR="003C2BEC" w:rsidRPr="00C55E7D" w:rsidRDefault="003C2BEC" w:rsidP="003C2B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C55E7D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C55E7D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C55E7D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C55E7D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C55E7D">
        <w:rPr>
          <w:rFonts w:asciiTheme="minorHAnsi" w:hAnsiTheme="minorHAnsi" w:cstheme="minorHAnsi"/>
        </w:rPr>
        <w:t>oraz         w Dzienniku Urzędowym Unii Europejskiej pod numerem 20</w:t>
      </w:r>
      <w:r>
        <w:rPr>
          <w:rFonts w:asciiTheme="minorHAnsi" w:hAnsiTheme="minorHAnsi" w:cstheme="minorHAnsi"/>
        </w:rPr>
        <w:t>2</w:t>
      </w:r>
      <w:r w:rsidR="00883442">
        <w:rPr>
          <w:rFonts w:asciiTheme="minorHAnsi" w:hAnsiTheme="minorHAnsi" w:cstheme="minorHAnsi"/>
        </w:rPr>
        <w:t>2</w:t>
      </w:r>
      <w:r w:rsidRPr="00C55E7D">
        <w:rPr>
          <w:rFonts w:asciiTheme="minorHAnsi" w:hAnsiTheme="minorHAnsi" w:cstheme="minorHAnsi"/>
        </w:rPr>
        <w:t xml:space="preserve">/S </w:t>
      </w:r>
      <w:r w:rsidR="00883442">
        <w:rPr>
          <w:rFonts w:asciiTheme="minorHAnsi" w:hAnsiTheme="minorHAnsi" w:cstheme="minorHAnsi"/>
        </w:rPr>
        <w:t>001</w:t>
      </w:r>
      <w:r>
        <w:rPr>
          <w:rFonts w:asciiTheme="minorHAnsi" w:hAnsiTheme="minorHAnsi" w:cstheme="minorHAnsi"/>
        </w:rPr>
        <w:t>-</w:t>
      </w:r>
      <w:r w:rsidR="00883442">
        <w:rPr>
          <w:rFonts w:asciiTheme="minorHAnsi" w:hAnsiTheme="minorHAnsi" w:cstheme="minorHAnsi"/>
        </w:rPr>
        <w:t>000371</w:t>
      </w:r>
      <w:r w:rsidRPr="00C55E7D">
        <w:rPr>
          <w:rFonts w:asciiTheme="minorHAnsi" w:hAnsiTheme="minorHAnsi" w:cstheme="minorHAnsi"/>
        </w:rPr>
        <w:t xml:space="preserve"> z dnia </w:t>
      </w:r>
      <w:r w:rsidR="00883442">
        <w:rPr>
          <w:rFonts w:asciiTheme="minorHAnsi" w:hAnsiTheme="minorHAnsi" w:cstheme="minorHAnsi"/>
        </w:rPr>
        <w:t>03.01,2022</w:t>
      </w:r>
      <w:r w:rsidRPr="00C55E7D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, </w:t>
      </w:r>
      <w:r w:rsidR="00F939E9">
        <w:rPr>
          <w:rFonts w:asciiTheme="minorHAnsi" w:hAnsiTheme="minorHAnsi" w:cstheme="minorHAnsi"/>
        </w:rPr>
        <w:t xml:space="preserve">zmiana ogłoszenia z dnia </w:t>
      </w:r>
      <w:r w:rsidR="002D3696">
        <w:rPr>
          <w:rFonts w:asciiTheme="minorHAnsi" w:hAnsiTheme="minorHAnsi" w:cstheme="minorHAnsi"/>
        </w:rPr>
        <w:t>01.02.2022</w:t>
      </w:r>
      <w:r w:rsidR="00F939E9">
        <w:rPr>
          <w:rFonts w:asciiTheme="minorHAnsi" w:hAnsiTheme="minorHAnsi" w:cstheme="minorHAnsi"/>
        </w:rPr>
        <w:t xml:space="preserve"> r. numer 202</w:t>
      </w:r>
      <w:r w:rsidR="002D3696">
        <w:rPr>
          <w:rFonts w:asciiTheme="minorHAnsi" w:hAnsiTheme="minorHAnsi" w:cstheme="minorHAnsi"/>
        </w:rPr>
        <w:t>2</w:t>
      </w:r>
      <w:r w:rsidR="00F939E9">
        <w:rPr>
          <w:rFonts w:asciiTheme="minorHAnsi" w:hAnsiTheme="minorHAnsi" w:cstheme="minorHAnsi"/>
        </w:rPr>
        <w:t>/</w:t>
      </w:r>
      <w:r w:rsidR="002D3696">
        <w:rPr>
          <w:rFonts w:asciiTheme="minorHAnsi" w:hAnsiTheme="minorHAnsi" w:cstheme="minorHAnsi"/>
        </w:rPr>
        <w:t>S</w:t>
      </w:r>
      <w:r w:rsidR="00F939E9">
        <w:rPr>
          <w:rFonts w:asciiTheme="minorHAnsi" w:hAnsiTheme="minorHAnsi" w:cstheme="minorHAnsi"/>
        </w:rPr>
        <w:t xml:space="preserve"> 0</w:t>
      </w:r>
      <w:r w:rsidR="002D3696">
        <w:rPr>
          <w:rFonts w:asciiTheme="minorHAnsi" w:hAnsiTheme="minorHAnsi" w:cstheme="minorHAnsi"/>
        </w:rPr>
        <w:t>22</w:t>
      </w:r>
      <w:r w:rsidR="00F939E9">
        <w:rPr>
          <w:rFonts w:asciiTheme="minorHAnsi" w:hAnsiTheme="minorHAnsi" w:cstheme="minorHAnsi"/>
        </w:rPr>
        <w:t>-</w:t>
      </w:r>
      <w:r w:rsidR="002D3696">
        <w:rPr>
          <w:rFonts w:asciiTheme="minorHAnsi" w:hAnsiTheme="minorHAnsi" w:cstheme="minorHAnsi"/>
        </w:rPr>
        <w:t>054731</w:t>
      </w:r>
      <w:r>
        <w:rPr>
          <w:rFonts w:asciiTheme="minorHAnsi" w:hAnsiTheme="minorHAnsi" w:cstheme="minorHAnsi"/>
        </w:rPr>
        <w:t xml:space="preserve">, </w:t>
      </w:r>
      <w:r w:rsidR="00F939E9">
        <w:rPr>
          <w:rFonts w:asciiTheme="minorHAnsi" w:hAnsiTheme="minorHAnsi" w:cstheme="minorHAnsi"/>
        </w:rPr>
        <w:t xml:space="preserve">zmiana ogłoszenia z dnia </w:t>
      </w:r>
      <w:r w:rsidR="002D3696">
        <w:rPr>
          <w:rFonts w:asciiTheme="minorHAnsi" w:hAnsiTheme="minorHAnsi" w:cstheme="minorHAnsi"/>
        </w:rPr>
        <w:t>11.02.2022</w:t>
      </w:r>
      <w:r w:rsidR="00F939E9">
        <w:rPr>
          <w:rFonts w:asciiTheme="minorHAnsi" w:hAnsiTheme="minorHAnsi" w:cstheme="minorHAnsi"/>
        </w:rPr>
        <w:t xml:space="preserve"> r.</w:t>
      </w:r>
      <w:r w:rsidR="00F939E9" w:rsidRPr="00C55E7D">
        <w:rPr>
          <w:rFonts w:asciiTheme="minorHAnsi" w:hAnsiTheme="minorHAnsi" w:cstheme="minorHAnsi"/>
        </w:rPr>
        <w:t xml:space="preserve"> </w:t>
      </w:r>
      <w:r w:rsidR="00F939E9">
        <w:rPr>
          <w:rFonts w:asciiTheme="minorHAnsi" w:hAnsiTheme="minorHAnsi" w:cstheme="minorHAnsi"/>
        </w:rPr>
        <w:t xml:space="preserve">numer </w:t>
      </w:r>
      <w:r>
        <w:rPr>
          <w:rFonts w:asciiTheme="minorHAnsi" w:hAnsiTheme="minorHAnsi" w:cstheme="minorHAnsi"/>
        </w:rPr>
        <w:t>202</w:t>
      </w:r>
      <w:r w:rsidR="002D369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</w:t>
      </w:r>
      <w:r w:rsidR="00F939E9">
        <w:rPr>
          <w:rFonts w:asciiTheme="minorHAnsi" w:hAnsiTheme="minorHAnsi" w:cstheme="minorHAnsi"/>
        </w:rPr>
        <w:t xml:space="preserve">S </w:t>
      </w:r>
      <w:r w:rsidR="002D3696">
        <w:rPr>
          <w:rFonts w:asciiTheme="minorHAnsi" w:hAnsiTheme="minorHAnsi" w:cstheme="minorHAnsi"/>
        </w:rPr>
        <w:t>030</w:t>
      </w:r>
      <w:r w:rsidR="00F939E9">
        <w:rPr>
          <w:rFonts w:asciiTheme="minorHAnsi" w:hAnsiTheme="minorHAnsi" w:cstheme="minorHAnsi"/>
        </w:rPr>
        <w:t>-</w:t>
      </w:r>
      <w:r w:rsidR="002D3696">
        <w:rPr>
          <w:rFonts w:asciiTheme="minorHAnsi" w:hAnsiTheme="minorHAnsi" w:cstheme="minorHAnsi"/>
        </w:rPr>
        <w:t>075356</w:t>
      </w:r>
      <w:r>
        <w:rPr>
          <w:rFonts w:asciiTheme="minorHAnsi" w:hAnsiTheme="minorHAnsi" w:cstheme="minorHAnsi"/>
        </w:rPr>
        <w:t>.</w:t>
      </w:r>
      <w:r w:rsidRPr="00C55E7D">
        <w:rPr>
          <w:rFonts w:asciiTheme="minorHAnsi" w:hAnsiTheme="minorHAnsi" w:cstheme="minorHAnsi"/>
        </w:rPr>
        <w:t xml:space="preserve">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Zamawiający nie dopuszczał składania ofert wariantowych.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Zamawiający dopuszczał składanie ofert częściowych.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Liczba Wykonawców biorących udział w postępowaniu – </w:t>
      </w:r>
      <w:r w:rsidR="00A256D5">
        <w:rPr>
          <w:rFonts w:asciiTheme="minorHAnsi" w:hAnsiTheme="minorHAnsi" w:cstheme="minorHAnsi"/>
        </w:rPr>
        <w:t>19</w:t>
      </w:r>
      <w:r w:rsidRPr="00C55E7D">
        <w:rPr>
          <w:rFonts w:asciiTheme="minorHAnsi" w:hAnsiTheme="minorHAnsi" w:cstheme="minorHAnsi"/>
        </w:rPr>
        <w:t xml:space="preserve">,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Liczba ofert złożonych przez Wykonawców – </w:t>
      </w:r>
      <w:r w:rsidR="002D3696">
        <w:rPr>
          <w:rFonts w:asciiTheme="minorHAnsi" w:hAnsiTheme="minorHAnsi" w:cstheme="minorHAnsi"/>
        </w:rPr>
        <w:t>41</w:t>
      </w:r>
      <w:r w:rsidRPr="00C55E7D">
        <w:rPr>
          <w:rFonts w:asciiTheme="minorHAnsi" w:hAnsiTheme="minorHAnsi" w:cstheme="minorHAnsi"/>
        </w:rPr>
        <w:t xml:space="preserve">,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>Informacja o ofertach: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 xml:space="preserve">Liczba ofert odrzuconych: </w:t>
      </w:r>
      <w:r w:rsidR="0078693D">
        <w:rPr>
          <w:rFonts w:asciiTheme="minorHAnsi" w:hAnsiTheme="minorHAnsi" w:cstheme="minorHAnsi"/>
          <w:sz w:val="20"/>
          <w:szCs w:val="20"/>
        </w:rPr>
        <w:t>1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Liczba ofert zwróconych bez rozpatrywania: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oferty następujących Wykonawców: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0A2812" w:rsidRPr="0078693D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78693D">
        <w:rPr>
          <w:rFonts w:cs="Arial"/>
          <w:b/>
          <w:sz w:val="20"/>
          <w:szCs w:val="20"/>
        </w:rPr>
        <w:t>Zadanie nr 24</w:t>
      </w:r>
    </w:p>
    <w:p w:rsidR="000A2812" w:rsidRPr="0078693D" w:rsidRDefault="000A2812" w:rsidP="000A2812">
      <w:pPr>
        <w:spacing w:after="0" w:line="240" w:lineRule="auto"/>
        <w:rPr>
          <w:rFonts w:cs="Arial"/>
          <w:sz w:val="20"/>
          <w:szCs w:val="20"/>
        </w:rPr>
      </w:pPr>
      <w:r w:rsidRPr="0078693D">
        <w:rPr>
          <w:rFonts w:asciiTheme="minorHAnsi" w:hAnsiTheme="minorHAnsi" w:cs="Arial"/>
          <w:sz w:val="20"/>
          <w:szCs w:val="20"/>
        </w:rPr>
        <w:t>Johnson &amp; Johnson Poland Sp. z o.o.</w:t>
      </w:r>
      <w:r w:rsidR="00FE76E2" w:rsidRPr="0078693D">
        <w:rPr>
          <w:rFonts w:asciiTheme="minorHAnsi" w:hAnsiTheme="minorHAnsi" w:cs="Arial"/>
          <w:sz w:val="20"/>
          <w:szCs w:val="20"/>
        </w:rPr>
        <w:t>, ul. Iłżec</w:t>
      </w:r>
      <w:r w:rsidRPr="0078693D">
        <w:rPr>
          <w:rFonts w:asciiTheme="minorHAnsi" w:hAnsiTheme="minorHAnsi" w:cs="Arial"/>
          <w:sz w:val="20"/>
          <w:szCs w:val="20"/>
        </w:rPr>
        <w:t>ka 24, 02-135 Warszawa</w:t>
      </w:r>
      <w:r w:rsidRPr="0078693D">
        <w:rPr>
          <w:sz w:val="20"/>
          <w:szCs w:val="20"/>
        </w:rPr>
        <w:t xml:space="preserve"> </w:t>
      </w:r>
      <w:r w:rsidRPr="0078693D">
        <w:rPr>
          <w:rFonts w:cs="Arial"/>
          <w:sz w:val="20"/>
          <w:szCs w:val="20"/>
        </w:rPr>
        <w:t xml:space="preserve">            </w:t>
      </w:r>
    </w:p>
    <w:p w:rsidR="000A2812" w:rsidRPr="0078693D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78693D">
        <w:rPr>
          <w:rFonts w:cs="Arial"/>
          <w:sz w:val="20"/>
          <w:szCs w:val="20"/>
          <w:u w:val="single"/>
        </w:rPr>
        <w:t>Cena oferty brutto – 258 659,57 zł</w:t>
      </w:r>
    </w:p>
    <w:p w:rsidR="00F938EE" w:rsidRPr="0078693D" w:rsidRDefault="00F938EE" w:rsidP="00F938E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78693D">
        <w:rPr>
          <w:rFonts w:cs="Arial"/>
          <w:b/>
          <w:sz w:val="20"/>
          <w:szCs w:val="20"/>
        </w:rPr>
        <w:lastRenderedPageBreak/>
        <w:t xml:space="preserve">Zadanie nr 36 </w:t>
      </w:r>
    </w:p>
    <w:p w:rsidR="00F938EE" w:rsidRPr="0078693D" w:rsidRDefault="00FE2875" w:rsidP="00FE2875">
      <w:pPr>
        <w:spacing w:after="0" w:line="240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78693D">
        <w:rPr>
          <w:rFonts w:asciiTheme="minorHAnsi" w:hAnsiTheme="minorHAnsi" w:cs="Arial"/>
          <w:sz w:val="20"/>
          <w:szCs w:val="20"/>
        </w:rPr>
        <w:t>Rovers</w:t>
      </w:r>
      <w:proofErr w:type="spellEnd"/>
      <w:r w:rsidRPr="0078693D">
        <w:rPr>
          <w:rFonts w:asciiTheme="minorHAnsi" w:hAnsiTheme="minorHAnsi" w:cs="Arial"/>
          <w:sz w:val="20"/>
          <w:szCs w:val="20"/>
        </w:rPr>
        <w:t xml:space="preserve"> Polska Sp. z o.o., ul. Stołeczna 10, 05-501 Piaseczno</w:t>
      </w:r>
      <w:r w:rsidR="00F938EE" w:rsidRPr="0078693D">
        <w:rPr>
          <w:rFonts w:asciiTheme="minorHAnsi" w:hAnsiTheme="minorHAnsi"/>
          <w:sz w:val="20"/>
          <w:szCs w:val="20"/>
        </w:rPr>
        <w:t xml:space="preserve">            </w:t>
      </w:r>
    </w:p>
    <w:p w:rsidR="00F938EE" w:rsidRDefault="00F938EE" w:rsidP="00F938EE">
      <w:pPr>
        <w:suppressAutoHyphens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78693D">
        <w:rPr>
          <w:rFonts w:cs="Arial"/>
          <w:sz w:val="20"/>
          <w:szCs w:val="20"/>
          <w:u w:val="single"/>
        </w:rPr>
        <w:t xml:space="preserve">Cena oferty brutto – </w:t>
      </w:r>
      <w:r w:rsidR="00FE2875" w:rsidRPr="0078693D">
        <w:rPr>
          <w:rFonts w:cs="Arial"/>
          <w:sz w:val="20"/>
          <w:szCs w:val="20"/>
          <w:u w:val="single"/>
        </w:rPr>
        <w:t>30 241,73</w:t>
      </w:r>
      <w:r w:rsidRPr="0078693D">
        <w:rPr>
          <w:rFonts w:cs="Arial"/>
          <w:sz w:val="20"/>
          <w:szCs w:val="20"/>
          <w:u w:val="single"/>
        </w:rPr>
        <w:t xml:space="preserve"> zł</w:t>
      </w:r>
    </w:p>
    <w:p w:rsidR="00F938EE" w:rsidRPr="00170350" w:rsidRDefault="00F938EE" w:rsidP="00F938EE">
      <w:pPr>
        <w:suppressAutoHyphens/>
        <w:adjustRightInd w:val="0"/>
        <w:spacing w:after="0" w:line="240" w:lineRule="auto"/>
        <w:rPr>
          <w:sz w:val="20"/>
          <w:szCs w:val="20"/>
          <w:lang w:bidi="en-US"/>
        </w:rPr>
      </w:pPr>
    </w:p>
    <w:p w:rsidR="00305C82" w:rsidRPr="00E37B1C" w:rsidRDefault="00305C82" w:rsidP="00170350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305C82" w:rsidRPr="00B86FCF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  <w:r w:rsidRPr="00220EB2">
        <w:rPr>
          <w:rFonts w:cs="Arial"/>
          <w:sz w:val="20"/>
          <w:szCs w:val="20"/>
        </w:rPr>
        <w:t xml:space="preserve">Wybrani Wykonawcy spełniają warunki udziału w postępowaniu, ich oferty i zaoferowane wyroby spełniają </w:t>
      </w:r>
      <w:r w:rsidRPr="00B86FCF">
        <w:rPr>
          <w:rFonts w:asciiTheme="minorHAnsi" w:hAnsiTheme="minorHAnsi" w:cs="Arial"/>
          <w:sz w:val="20"/>
          <w:szCs w:val="20"/>
        </w:rPr>
        <w:t>wymogi określone w specyfikacji istotnych warunków zamówienia. Oferty są najkorzystniejsze pod względem kryteriów oceny ofert określonych w SIWZ (</w:t>
      </w:r>
      <w:r w:rsidR="00B62C0E">
        <w:rPr>
          <w:rFonts w:asciiTheme="minorHAnsi" w:hAnsiTheme="minorHAnsi" w:cs="Arial"/>
          <w:sz w:val="20"/>
          <w:szCs w:val="20"/>
        </w:rPr>
        <w:t>zadani</w:t>
      </w:r>
      <w:r w:rsidR="0078693D">
        <w:rPr>
          <w:rFonts w:asciiTheme="minorHAnsi" w:hAnsiTheme="minorHAnsi" w:cs="Arial"/>
          <w:sz w:val="20"/>
          <w:szCs w:val="20"/>
        </w:rPr>
        <w:t>e</w:t>
      </w:r>
      <w:r w:rsidR="00B62C0E">
        <w:rPr>
          <w:rFonts w:asciiTheme="minorHAnsi" w:hAnsiTheme="minorHAnsi" w:cs="Arial"/>
          <w:sz w:val="20"/>
          <w:szCs w:val="20"/>
        </w:rPr>
        <w:t xml:space="preserve"> </w:t>
      </w:r>
      <w:r w:rsidR="0078693D">
        <w:rPr>
          <w:rFonts w:asciiTheme="minorHAnsi" w:hAnsiTheme="minorHAnsi" w:cs="Arial"/>
          <w:sz w:val="20"/>
          <w:szCs w:val="20"/>
        </w:rPr>
        <w:t>nr</w:t>
      </w:r>
      <w:r w:rsidR="0078693D">
        <w:rPr>
          <w:sz w:val="20"/>
          <w:szCs w:val="20"/>
        </w:rPr>
        <w:t xml:space="preserve"> 24</w:t>
      </w:r>
      <w:r w:rsidR="00B62C0E">
        <w:rPr>
          <w:sz w:val="20"/>
          <w:szCs w:val="20"/>
        </w:rPr>
        <w:t xml:space="preserve"> → cena </w:t>
      </w:r>
      <w:r w:rsidR="00B62C0E" w:rsidRPr="00B86FCF">
        <w:rPr>
          <w:rFonts w:asciiTheme="minorHAnsi" w:hAnsiTheme="minorHAnsi" w:cs="Arial"/>
          <w:sz w:val="20"/>
          <w:szCs w:val="20"/>
        </w:rPr>
        <w:t>– waga 9</w:t>
      </w:r>
      <w:r w:rsidR="00B62C0E">
        <w:rPr>
          <w:rFonts w:asciiTheme="minorHAnsi" w:hAnsiTheme="minorHAnsi" w:cs="Arial"/>
          <w:sz w:val="20"/>
          <w:szCs w:val="20"/>
        </w:rPr>
        <w:t>5</w:t>
      </w:r>
      <w:r w:rsidR="00B62C0E" w:rsidRPr="00B86FCF">
        <w:rPr>
          <w:rFonts w:asciiTheme="minorHAnsi" w:hAnsiTheme="minorHAnsi" w:cs="Arial"/>
          <w:sz w:val="20"/>
          <w:szCs w:val="20"/>
        </w:rPr>
        <w:t xml:space="preserve">%, termin </w:t>
      </w:r>
      <w:r w:rsidR="00B62C0E">
        <w:rPr>
          <w:rFonts w:asciiTheme="minorHAnsi" w:hAnsiTheme="minorHAnsi" w:cs="Arial"/>
          <w:sz w:val="20"/>
          <w:szCs w:val="20"/>
        </w:rPr>
        <w:t>uzupełnienia (odtworzenia) depozytu</w:t>
      </w:r>
      <w:r w:rsidR="00B62C0E" w:rsidRPr="00B86FCF">
        <w:rPr>
          <w:rFonts w:asciiTheme="minorHAnsi" w:hAnsiTheme="minorHAnsi" w:cs="Arial"/>
          <w:sz w:val="20"/>
          <w:szCs w:val="20"/>
        </w:rPr>
        <w:t xml:space="preserve"> – waga </w:t>
      </w:r>
      <w:r w:rsidR="00B62C0E">
        <w:rPr>
          <w:rFonts w:asciiTheme="minorHAnsi" w:hAnsiTheme="minorHAnsi" w:cs="Arial"/>
          <w:sz w:val="20"/>
          <w:szCs w:val="20"/>
        </w:rPr>
        <w:t>5</w:t>
      </w:r>
      <w:r w:rsidR="00B62C0E" w:rsidRPr="00B86FCF">
        <w:rPr>
          <w:rFonts w:asciiTheme="minorHAnsi" w:hAnsiTheme="minorHAnsi" w:cs="Arial"/>
          <w:sz w:val="20"/>
          <w:szCs w:val="20"/>
        </w:rPr>
        <w:t>%</w:t>
      </w:r>
      <w:r w:rsidR="00B62C0E">
        <w:rPr>
          <w:rFonts w:asciiTheme="minorHAnsi" w:hAnsiTheme="minorHAnsi" w:cs="Arial"/>
          <w:sz w:val="20"/>
          <w:szCs w:val="20"/>
        </w:rPr>
        <w:t xml:space="preserve">, </w:t>
      </w:r>
      <w:r w:rsidR="0078693D">
        <w:rPr>
          <w:rFonts w:asciiTheme="minorHAnsi" w:hAnsiTheme="minorHAnsi" w:cs="Arial"/>
          <w:sz w:val="20"/>
          <w:szCs w:val="20"/>
        </w:rPr>
        <w:t>zadanie nr</w:t>
      </w:r>
      <w:r w:rsidR="0078693D">
        <w:rPr>
          <w:sz w:val="20"/>
          <w:szCs w:val="20"/>
        </w:rPr>
        <w:t xml:space="preserve"> 36 → </w:t>
      </w:r>
      <w:r w:rsidR="0078693D" w:rsidRPr="00B86FCF">
        <w:rPr>
          <w:rFonts w:asciiTheme="minorHAnsi" w:hAnsiTheme="minorHAnsi" w:cs="Arial"/>
          <w:sz w:val="20"/>
          <w:szCs w:val="20"/>
        </w:rPr>
        <w:t>cena – waga 9</w:t>
      </w:r>
      <w:r w:rsidR="0078693D">
        <w:rPr>
          <w:rFonts w:asciiTheme="minorHAnsi" w:hAnsiTheme="minorHAnsi" w:cs="Arial"/>
          <w:sz w:val="20"/>
          <w:szCs w:val="20"/>
        </w:rPr>
        <w:t>5</w:t>
      </w:r>
      <w:r w:rsidR="0078693D" w:rsidRPr="00B86FCF">
        <w:rPr>
          <w:rFonts w:asciiTheme="minorHAnsi" w:hAnsiTheme="minorHAnsi" w:cs="Arial"/>
          <w:sz w:val="20"/>
          <w:szCs w:val="20"/>
        </w:rPr>
        <w:t xml:space="preserve">%, termin dostawy zamówienia częściowego – waga </w:t>
      </w:r>
      <w:r w:rsidR="0078693D">
        <w:rPr>
          <w:rFonts w:asciiTheme="minorHAnsi" w:hAnsiTheme="minorHAnsi" w:cs="Arial"/>
          <w:sz w:val="20"/>
          <w:szCs w:val="20"/>
        </w:rPr>
        <w:t>5</w:t>
      </w:r>
      <w:r w:rsidR="0078693D" w:rsidRPr="00B86FCF">
        <w:rPr>
          <w:rFonts w:asciiTheme="minorHAnsi" w:hAnsiTheme="minorHAnsi" w:cs="Arial"/>
          <w:sz w:val="20"/>
          <w:szCs w:val="20"/>
        </w:rPr>
        <w:t>%</w:t>
      </w:r>
      <w:r w:rsidR="0078693D">
        <w:rPr>
          <w:rFonts w:asciiTheme="minorHAnsi" w:hAnsiTheme="minorHAnsi" w:cs="Arial"/>
          <w:sz w:val="20"/>
          <w:szCs w:val="20"/>
        </w:rPr>
        <w:t>,</w:t>
      </w:r>
      <w:r w:rsidRPr="00B86FCF">
        <w:rPr>
          <w:rFonts w:asciiTheme="minorHAnsi" w:hAnsiTheme="minorHAnsi" w:cs="Arial"/>
          <w:sz w:val="20"/>
          <w:szCs w:val="20"/>
        </w:rPr>
        <w:t xml:space="preserve">).  </w:t>
      </w:r>
    </w:p>
    <w:p w:rsidR="00305C82" w:rsidRPr="00B86FCF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</w:p>
    <w:p w:rsidR="00305C82" w:rsidRPr="00B86FCF" w:rsidRDefault="00305C82" w:rsidP="00305C82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="Arial"/>
        </w:rPr>
      </w:pPr>
      <w:r w:rsidRPr="00B86FCF">
        <w:rPr>
          <w:rFonts w:asciiTheme="minorHAnsi" w:hAnsiTheme="minorHAnsi"/>
        </w:rPr>
        <w:t>Oferty, które były rozpatrywane uzyskały następującą punktację:</w:t>
      </w:r>
    </w:p>
    <w:p w:rsidR="00305C82" w:rsidRPr="00B86FCF" w:rsidRDefault="00305C82" w:rsidP="00305C82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B62C0E" w:rsidRPr="0078693D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78693D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CC14A7" w:rsidRPr="0078693D">
        <w:rPr>
          <w:rFonts w:asciiTheme="minorHAnsi" w:hAnsiTheme="minorHAnsi" w:cs="Arial"/>
          <w:b/>
          <w:sz w:val="20"/>
          <w:szCs w:val="20"/>
        </w:rPr>
        <w:t>24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78693D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78693D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8693D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78693D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8693D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78693D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8693D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78693D" w:rsidRDefault="00CC14A7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Liczba pkt w kryterium „</w:t>
            </w:r>
            <w:r w:rsidRPr="0078693D">
              <w:rPr>
                <w:rFonts w:cs="Arial"/>
                <w:sz w:val="20"/>
                <w:szCs w:val="20"/>
              </w:rPr>
              <w:t>termin uzupełnienia (odtworzenia) depozytu</w:t>
            </w:r>
            <w:r w:rsidRPr="0078693D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78693D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8693D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CC14A7" w:rsidRPr="0078693D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Pr="0078693D" w:rsidRDefault="00CC14A7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Pr="0078693D" w:rsidRDefault="00CC14A7" w:rsidP="00C912C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8693D">
              <w:rPr>
                <w:rFonts w:asciiTheme="minorHAnsi" w:hAnsiTheme="minorHAnsi" w:cs="Arial"/>
                <w:sz w:val="20"/>
                <w:szCs w:val="20"/>
              </w:rPr>
              <w:t xml:space="preserve">Johnson &amp; Johnson Poland Sp. z o.o. </w:t>
            </w:r>
          </w:p>
          <w:p w:rsidR="00CC14A7" w:rsidRPr="0078693D" w:rsidRDefault="00FE76E2" w:rsidP="00C912C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78693D">
              <w:rPr>
                <w:rFonts w:asciiTheme="minorHAnsi" w:hAnsiTheme="minorHAnsi" w:cs="Arial"/>
                <w:sz w:val="20"/>
                <w:szCs w:val="20"/>
              </w:rPr>
              <w:t>ul. Iłżec</w:t>
            </w:r>
            <w:r w:rsidR="00CC14A7" w:rsidRPr="0078693D">
              <w:rPr>
                <w:rFonts w:asciiTheme="minorHAnsi" w:hAnsiTheme="minorHAnsi" w:cs="Arial"/>
                <w:sz w:val="20"/>
                <w:szCs w:val="20"/>
              </w:rPr>
              <w:t>ka 24, 02-135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Pr="0078693D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Pr="0078693D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3,35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Pr="0078693D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98,35 pkt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78693D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78693D" w:rsidRDefault="00B62C0E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8693D">
              <w:rPr>
                <w:rFonts w:asciiTheme="minorHAnsi" w:hAnsiTheme="minorHAnsi" w:cs="Arial"/>
                <w:sz w:val="20"/>
                <w:szCs w:val="20"/>
              </w:rPr>
              <w:t>Medtronic</w:t>
            </w:r>
            <w:proofErr w:type="spellEnd"/>
            <w:r w:rsidRPr="0078693D">
              <w:rPr>
                <w:rFonts w:asciiTheme="minorHAnsi" w:hAnsiTheme="minorHAnsi" w:cs="Arial"/>
                <w:sz w:val="20"/>
                <w:szCs w:val="20"/>
              </w:rPr>
              <w:t xml:space="preserve"> Poland Sp. z .o.o. </w:t>
            </w:r>
          </w:p>
          <w:p w:rsidR="00B62C0E" w:rsidRPr="0078693D" w:rsidRDefault="00B62C0E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78693D">
              <w:rPr>
                <w:rFonts w:asciiTheme="minorHAnsi" w:hAnsiTheme="minorHAnsi" w:cs="Arial"/>
                <w:sz w:val="20"/>
                <w:szCs w:val="20"/>
              </w:rPr>
              <w:t>ul. Polna 11, 00-633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78693D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89,30</w:t>
            </w:r>
            <w:r w:rsidR="00B62C0E" w:rsidRPr="0078693D">
              <w:rPr>
                <w:rFonts w:cs="Tahoma"/>
                <w:sz w:val="20"/>
                <w:szCs w:val="20"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78693D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94,30</w:t>
            </w:r>
            <w:r w:rsidR="00B62C0E" w:rsidRPr="0078693D">
              <w:rPr>
                <w:rFonts w:cs="Tahoma"/>
                <w:sz w:val="20"/>
                <w:szCs w:val="20"/>
              </w:rPr>
              <w:t xml:space="preserve"> pkt</w:t>
            </w:r>
          </w:p>
        </w:tc>
      </w:tr>
    </w:tbl>
    <w:p w:rsidR="004F400D" w:rsidRPr="0078693D" w:rsidRDefault="004F400D" w:rsidP="004F400D">
      <w:pPr>
        <w:spacing w:after="0" w:line="240" w:lineRule="auto"/>
        <w:rPr>
          <w:b/>
          <w:sz w:val="20"/>
          <w:szCs w:val="20"/>
        </w:rPr>
      </w:pPr>
      <w:r w:rsidRPr="0078693D">
        <w:rPr>
          <w:b/>
          <w:sz w:val="20"/>
          <w:szCs w:val="20"/>
        </w:rPr>
        <w:t>Zadanie nr 36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4F400D" w:rsidRPr="0078693D" w:rsidTr="00C9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78693D" w:rsidRDefault="004F400D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78693D" w:rsidRDefault="004F400D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78693D" w:rsidRDefault="004F400D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D" w:rsidRPr="0078693D" w:rsidRDefault="007D50A3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78693D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78693D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78693D" w:rsidRDefault="004F400D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FE2875" w:rsidRPr="0078693D" w:rsidTr="00C912CF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5" w:rsidRPr="0078693D" w:rsidRDefault="00FE2875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5" w:rsidRPr="0078693D" w:rsidRDefault="00FE2875" w:rsidP="00C912C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8693D">
              <w:rPr>
                <w:rFonts w:asciiTheme="minorHAnsi" w:hAnsiTheme="minorHAnsi" w:cs="Arial"/>
                <w:sz w:val="20"/>
                <w:szCs w:val="20"/>
              </w:rPr>
              <w:t>Rovers</w:t>
            </w:r>
            <w:proofErr w:type="spellEnd"/>
            <w:r w:rsidRPr="0078693D">
              <w:rPr>
                <w:rFonts w:asciiTheme="minorHAnsi" w:hAnsiTheme="minorHAnsi" w:cs="Arial"/>
                <w:sz w:val="20"/>
                <w:szCs w:val="20"/>
              </w:rPr>
              <w:t xml:space="preserve"> Polska Sp. z o.o. </w:t>
            </w:r>
          </w:p>
          <w:p w:rsidR="00FE2875" w:rsidRPr="0078693D" w:rsidRDefault="00FE2875" w:rsidP="00C912C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8693D">
              <w:rPr>
                <w:rFonts w:asciiTheme="minorHAnsi" w:hAnsiTheme="minorHAnsi" w:cs="Arial"/>
                <w:sz w:val="20"/>
                <w:szCs w:val="20"/>
              </w:rPr>
              <w:t>ul. Stołeczna 10, 05-501 Piaseczno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5" w:rsidRPr="0078693D" w:rsidRDefault="00FE2875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5" w:rsidRPr="0078693D" w:rsidRDefault="00FE2875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5" w:rsidRPr="0078693D" w:rsidRDefault="00FE2875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FE2875" w:rsidRPr="00220EB2" w:rsidTr="00C6694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5" w:rsidRPr="0078693D" w:rsidRDefault="00FE2875" w:rsidP="00C912C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8693D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5" w:rsidRPr="0078693D" w:rsidRDefault="00FE2875" w:rsidP="00C912C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8693D">
              <w:rPr>
                <w:rFonts w:asciiTheme="minorHAnsi" w:hAnsiTheme="minorHAnsi" w:cs="Arial"/>
                <w:sz w:val="20"/>
                <w:szCs w:val="20"/>
              </w:rPr>
              <w:t xml:space="preserve">Beryl </w:t>
            </w:r>
            <w:proofErr w:type="spellStart"/>
            <w:r w:rsidRPr="0078693D">
              <w:rPr>
                <w:rFonts w:asciiTheme="minorHAnsi" w:hAnsiTheme="minorHAnsi" w:cs="Arial"/>
                <w:sz w:val="20"/>
                <w:szCs w:val="20"/>
              </w:rPr>
              <w:t>Med</w:t>
            </w:r>
            <w:proofErr w:type="spellEnd"/>
            <w:r w:rsidRPr="0078693D">
              <w:rPr>
                <w:rFonts w:asciiTheme="minorHAnsi" w:hAnsiTheme="minorHAnsi" w:cs="Arial"/>
                <w:sz w:val="20"/>
                <w:szCs w:val="20"/>
              </w:rPr>
              <w:t xml:space="preserve"> Poland Sp. z o.o.</w:t>
            </w:r>
          </w:p>
          <w:p w:rsidR="00FE2875" w:rsidRPr="0078693D" w:rsidRDefault="00FE2875" w:rsidP="00C912CF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78693D">
              <w:rPr>
                <w:rFonts w:asciiTheme="minorHAnsi" w:hAnsiTheme="minorHAnsi" w:cs="Arial"/>
                <w:sz w:val="20"/>
                <w:szCs w:val="20"/>
              </w:rPr>
              <w:t>ul. Łopuszańska 36 bud. 14C, 02-220 Warszawa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75" w:rsidRPr="00FE2875" w:rsidRDefault="00FE2875" w:rsidP="00C912CF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78693D">
              <w:rPr>
                <w:rFonts w:cs="Tahoma"/>
                <w:sz w:val="16"/>
                <w:szCs w:val="16"/>
              </w:rPr>
              <w:t>Oferta odrzucona</w:t>
            </w:r>
          </w:p>
        </w:tc>
      </w:tr>
    </w:tbl>
    <w:p w:rsidR="00C40E1D" w:rsidRPr="00FE76E2" w:rsidRDefault="00C40E1D" w:rsidP="0078693D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3517" w:rsidRDefault="004D5879" w:rsidP="004D5879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1A28E9">
        <w:rPr>
          <w:rFonts w:asciiTheme="minorHAnsi" w:hAnsiTheme="minorHAnsi" w:cstheme="minorHAnsi"/>
          <w:sz w:val="20"/>
          <w:szCs w:val="20"/>
        </w:rPr>
        <w:t>Zamawiający działając na podstawie art. 253 ust. 1 pkt. 2) ustawy z dnia 11 września 2019 roku Prawo Zamówień Publicznych (</w:t>
      </w:r>
      <w:r w:rsidRPr="001A28E9">
        <w:rPr>
          <w:rFonts w:asciiTheme="minorHAnsi" w:hAnsiTheme="minorHAnsi" w:cstheme="minorHAnsi"/>
          <w:sz w:val="20"/>
          <w:szCs w:val="20"/>
          <w:lang w:eastAsia="ar-SA"/>
        </w:rPr>
        <w:t>tekst jednolity Dz. U. z 2021 r., poz. 1129</w:t>
      </w:r>
      <w:r w:rsidRPr="001A28E9">
        <w:rPr>
          <w:rFonts w:asciiTheme="minorHAnsi" w:hAnsiTheme="minorHAnsi" w:cstheme="minorHAnsi"/>
          <w:sz w:val="20"/>
          <w:szCs w:val="20"/>
        </w:rPr>
        <w:t xml:space="preserve">), zawiadamia o odrzuceniu oferty nr </w:t>
      </w:r>
      <w:r w:rsidR="00083517">
        <w:rPr>
          <w:rFonts w:asciiTheme="minorHAnsi" w:hAnsiTheme="minorHAnsi" w:cstheme="minorHAnsi"/>
          <w:sz w:val="20"/>
          <w:szCs w:val="20"/>
        </w:rPr>
        <w:t>10</w:t>
      </w:r>
      <w:r w:rsidRPr="001A28E9">
        <w:rPr>
          <w:rFonts w:asciiTheme="minorHAnsi" w:hAnsiTheme="minorHAnsi" w:cstheme="minorHAnsi"/>
          <w:sz w:val="20"/>
          <w:szCs w:val="20"/>
        </w:rPr>
        <w:t xml:space="preserve"> złożonej przez </w:t>
      </w:r>
      <w:r w:rsidR="00083517" w:rsidRPr="00083517">
        <w:rPr>
          <w:rFonts w:asciiTheme="minorHAnsi" w:hAnsiTheme="minorHAnsi" w:cs="Arial"/>
          <w:b/>
          <w:sz w:val="20"/>
          <w:szCs w:val="20"/>
        </w:rPr>
        <w:t xml:space="preserve">Beryl </w:t>
      </w:r>
      <w:proofErr w:type="spellStart"/>
      <w:r w:rsidR="00083517" w:rsidRPr="00083517">
        <w:rPr>
          <w:rFonts w:asciiTheme="minorHAnsi" w:hAnsiTheme="minorHAnsi" w:cs="Arial"/>
          <w:b/>
          <w:sz w:val="20"/>
          <w:szCs w:val="20"/>
        </w:rPr>
        <w:t>Med</w:t>
      </w:r>
      <w:proofErr w:type="spellEnd"/>
      <w:r w:rsidR="00083517" w:rsidRPr="00083517">
        <w:rPr>
          <w:rFonts w:asciiTheme="minorHAnsi" w:hAnsiTheme="minorHAnsi" w:cs="Arial"/>
          <w:b/>
          <w:sz w:val="20"/>
          <w:szCs w:val="20"/>
        </w:rPr>
        <w:t xml:space="preserve"> Poland</w:t>
      </w:r>
      <w:r w:rsidRPr="001A28E9">
        <w:rPr>
          <w:rFonts w:asciiTheme="minorHAnsi" w:hAnsiTheme="minorHAnsi" w:cstheme="minorHAnsi"/>
          <w:b/>
          <w:sz w:val="20"/>
          <w:szCs w:val="20"/>
        </w:rPr>
        <w:t xml:space="preserve"> Sp. z o.o., </w:t>
      </w:r>
      <w:r w:rsidR="00083517" w:rsidRPr="0078693D">
        <w:rPr>
          <w:rFonts w:asciiTheme="minorHAnsi" w:hAnsiTheme="minorHAnsi" w:cs="Arial"/>
          <w:sz w:val="20"/>
          <w:szCs w:val="20"/>
        </w:rPr>
        <w:t>ul. Łopuszańska 36 bud. 14C, 02-220 Warszawa</w:t>
      </w:r>
      <w:r w:rsidRPr="001A28E9">
        <w:rPr>
          <w:rFonts w:asciiTheme="minorHAnsi" w:hAnsiTheme="minorHAnsi" w:cstheme="minorHAnsi"/>
          <w:sz w:val="20"/>
          <w:szCs w:val="20"/>
        </w:rPr>
        <w:t xml:space="preserve"> w zakresie </w:t>
      </w:r>
      <w:r w:rsidRPr="001A28E9">
        <w:rPr>
          <w:rFonts w:asciiTheme="minorHAnsi" w:hAnsiTheme="minorHAnsi" w:cstheme="minorHAnsi"/>
          <w:b/>
          <w:sz w:val="20"/>
          <w:szCs w:val="20"/>
          <w:u w:val="single"/>
        </w:rPr>
        <w:t xml:space="preserve">zadania nr </w:t>
      </w:r>
      <w:r w:rsidR="00083517">
        <w:rPr>
          <w:rFonts w:asciiTheme="minorHAnsi" w:hAnsiTheme="minorHAnsi" w:cstheme="minorHAnsi"/>
          <w:b/>
          <w:sz w:val="20"/>
          <w:szCs w:val="20"/>
          <w:u w:val="single"/>
        </w:rPr>
        <w:t>36</w:t>
      </w:r>
      <w:r w:rsidRPr="001A28E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D5879" w:rsidRPr="001A28E9" w:rsidRDefault="004D5879" w:rsidP="00083517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28E9">
        <w:rPr>
          <w:rFonts w:asciiTheme="minorHAnsi" w:hAnsiTheme="minorHAnsi" w:cstheme="minorHAnsi"/>
          <w:i/>
          <w:sz w:val="20"/>
          <w:szCs w:val="20"/>
          <w:u w:val="single"/>
        </w:rPr>
        <w:t>Uzasadnienie faktyczne</w:t>
      </w:r>
      <w:r w:rsidRPr="001A28E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1A28E9">
        <w:rPr>
          <w:rFonts w:asciiTheme="minorHAnsi" w:hAnsiTheme="minorHAnsi" w:cstheme="minorHAnsi"/>
          <w:sz w:val="20"/>
          <w:szCs w:val="20"/>
        </w:rPr>
        <w:t xml:space="preserve">  </w:t>
      </w:r>
      <w:r w:rsidRPr="00160DA0">
        <w:rPr>
          <w:rFonts w:asciiTheme="minorHAnsi" w:hAnsiTheme="minorHAnsi" w:cstheme="minorHAnsi"/>
          <w:sz w:val="20"/>
          <w:szCs w:val="20"/>
        </w:rPr>
        <w:t xml:space="preserve">Zgodnie z opisem zawartym w SWZ (Formularz asortymentowo-cenowy), Zamawiający wymaga, aby </w:t>
      </w:r>
      <w:r w:rsidR="00083517" w:rsidRPr="00160DA0">
        <w:rPr>
          <w:rFonts w:asciiTheme="minorHAnsi" w:hAnsiTheme="minorHAnsi" w:cstheme="minorHAnsi"/>
          <w:sz w:val="20"/>
          <w:szCs w:val="20"/>
        </w:rPr>
        <w:t xml:space="preserve">odciągi chirurgiczne opisane w poz. 2 zadania nr 36 </w:t>
      </w:r>
      <w:r w:rsidR="00160DA0" w:rsidRPr="00160DA0">
        <w:rPr>
          <w:rFonts w:asciiTheme="minorHAnsi" w:hAnsiTheme="minorHAnsi" w:cstheme="minorHAnsi"/>
          <w:sz w:val="20"/>
          <w:szCs w:val="20"/>
        </w:rPr>
        <w:t>posiadały haczyk o</w:t>
      </w:r>
      <w:r w:rsidR="00083517" w:rsidRPr="00160DA0">
        <w:rPr>
          <w:rFonts w:asciiTheme="minorHAnsi" w:hAnsiTheme="minorHAnsi" w:cstheme="minorHAnsi"/>
          <w:sz w:val="20"/>
          <w:szCs w:val="20"/>
        </w:rPr>
        <w:t xml:space="preserve"> długoś</w:t>
      </w:r>
      <w:r w:rsidR="00160DA0" w:rsidRPr="00160DA0">
        <w:rPr>
          <w:rFonts w:asciiTheme="minorHAnsi" w:hAnsiTheme="minorHAnsi" w:cstheme="minorHAnsi"/>
          <w:sz w:val="20"/>
          <w:szCs w:val="20"/>
        </w:rPr>
        <w:t>ci</w:t>
      </w:r>
      <w:r w:rsidR="00083517" w:rsidRPr="00160DA0">
        <w:rPr>
          <w:rFonts w:asciiTheme="minorHAnsi" w:hAnsiTheme="minorHAnsi" w:cstheme="minorHAnsi"/>
          <w:sz w:val="20"/>
          <w:szCs w:val="20"/>
        </w:rPr>
        <w:t xml:space="preserve"> 5mm, były jednorazowego użytku, sterylne. </w:t>
      </w:r>
      <w:r w:rsidR="00083517" w:rsidRPr="00160DA0">
        <w:rPr>
          <w:rFonts w:asciiTheme="minorHAnsi" w:eastAsia="Times New Roman" w:hAnsiTheme="minorHAnsi"/>
          <w:color w:val="000000"/>
          <w:sz w:val="20"/>
          <w:szCs w:val="18"/>
          <w:lang w:eastAsia="pl-PL"/>
        </w:rPr>
        <w:t xml:space="preserve">Zamawiający użył określenia "długość haczyka 5 mm, ostre/tępe" opisując metalową część chwytną odciągu chirurgicznego, za pomocą której odciągana jest tkanka proktologiczna, uwidaczniając w ten sposób pole operacyjne. </w:t>
      </w:r>
      <w:r w:rsidR="00160DA0" w:rsidRPr="00160DA0">
        <w:rPr>
          <w:rFonts w:asciiTheme="minorHAnsi" w:eastAsia="Times New Roman" w:hAnsiTheme="minorHAnsi"/>
          <w:color w:val="000000"/>
          <w:sz w:val="20"/>
          <w:szCs w:val="18"/>
          <w:lang w:eastAsia="pl-PL"/>
        </w:rPr>
        <w:t>Wyk</w:t>
      </w:r>
      <w:r w:rsidR="00160DA0">
        <w:rPr>
          <w:rFonts w:asciiTheme="minorHAnsi" w:eastAsia="Times New Roman" w:hAnsiTheme="minorHAnsi"/>
          <w:color w:val="000000"/>
          <w:sz w:val="20"/>
          <w:szCs w:val="18"/>
          <w:lang w:eastAsia="pl-PL"/>
        </w:rPr>
        <w:t>o</w:t>
      </w:r>
      <w:r w:rsidR="00160DA0" w:rsidRPr="00160DA0">
        <w:rPr>
          <w:rFonts w:asciiTheme="minorHAnsi" w:eastAsia="Times New Roman" w:hAnsiTheme="minorHAnsi"/>
          <w:color w:val="000000"/>
          <w:sz w:val="20"/>
          <w:szCs w:val="18"/>
          <w:lang w:eastAsia="pl-PL"/>
        </w:rPr>
        <w:t xml:space="preserve">nawca nie potwierdził wymaganej długości haczyka tj. </w:t>
      </w:r>
      <w:r w:rsidR="00160DA0">
        <w:rPr>
          <w:rFonts w:asciiTheme="minorHAnsi" w:eastAsia="Times New Roman" w:hAnsiTheme="minorHAnsi"/>
          <w:color w:val="000000"/>
          <w:sz w:val="20"/>
          <w:szCs w:val="18"/>
          <w:lang w:eastAsia="pl-PL"/>
        </w:rPr>
        <w:t xml:space="preserve">                  </w:t>
      </w:r>
      <w:r w:rsidR="00160DA0" w:rsidRPr="00160DA0">
        <w:rPr>
          <w:rFonts w:asciiTheme="minorHAnsi" w:eastAsia="Times New Roman" w:hAnsiTheme="minorHAnsi"/>
          <w:color w:val="000000"/>
          <w:sz w:val="20"/>
          <w:szCs w:val="18"/>
          <w:lang w:eastAsia="pl-PL"/>
        </w:rPr>
        <w:t>5 mm, stanowiącego zakrzywioną (roboczą) częścią odciągu chirurgicznego.</w:t>
      </w:r>
      <w:r w:rsidR="00160DA0" w:rsidRPr="00160DA0">
        <w:rPr>
          <w:rFonts w:asciiTheme="minorHAnsi" w:hAnsiTheme="minorHAnsi" w:cstheme="minorHAnsi"/>
          <w:sz w:val="20"/>
          <w:szCs w:val="20"/>
        </w:rPr>
        <w:t xml:space="preserve"> </w:t>
      </w:r>
      <w:r w:rsidR="00160DA0" w:rsidRPr="00160DA0">
        <w:rPr>
          <w:rFonts w:asciiTheme="minorHAnsi" w:eastAsia="Times New Roman" w:hAnsiTheme="minorHAnsi"/>
          <w:color w:val="000000"/>
          <w:sz w:val="20"/>
          <w:szCs w:val="18"/>
          <w:lang w:eastAsia="pl-PL"/>
        </w:rPr>
        <w:t>W odniesieniu do sposobu pakowania  sterylnego odciągu chirurgicznego opisanego w poz. 2,  Zamawiający określił, że każdy odciąg chirurgiczny powinien być zapakowany pojedynczo, poprzez wskazanie w kolumnie „jednostka miary” całkowitą ilość zamówienia jako - sztuki. Wykonawca zaoferował produkt pakowany po dwie sztuki, nie zwracając się do Zamawiającego o dopuszczenie tego sposobu pakowania. Pakowanie po 2 szt. pociąga za sobą brak sterylności jednostkowej. Biorąc pod uwagę, że Zamawiający podał jednostkę miary jako „sztukę”, należy przyjąć, że opis dotyczy pojedynczej sztuki i sterylność winna być zachowana dla 1 sztuki</w:t>
      </w:r>
      <w:r w:rsidR="00160DA0">
        <w:rPr>
          <w:rFonts w:asciiTheme="minorHAnsi" w:eastAsia="Times New Roman" w:hAnsiTheme="minorHAnsi"/>
          <w:color w:val="000000"/>
          <w:sz w:val="20"/>
          <w:szCs w:val="18"/>
          <w:lang w:eastAsia="pl-PL"/>
        </w:rPr>
        <w:t>.</w:t>
      </w:r>
      <w:r w:rsidRPr="001A28E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1A28E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A28E9">
        <w:rPr>
          <w:rFonts w:asciiTheme="minorHAnsi" w:hAnsiTheme="minorHAnsi" w:cstheme="minorHAnsi"/>
          <w:i/>
          <w:sz w:val="20"/>
          <w:szCs w:val="20"/>
          <w:u w:val="single"/>
        </w:rPr>
        <w:lastRenderedPageBreak/>
        <w:t>Uzasadnienie prawne</w:t>
      </w:r>
      <w:r w:rsidRPr="001A28E9">
        <w:rPr>
          <w:rFonts w:asciiTheme="minorHAnsi" w:hAnsiTheme="minorHAnsi" w:cstheme="minorHAnsi"/>
          <w:sz w:val="20"/>
          <w:szCs w:val="20"/>
        </w:rPr>
        <w:t xml:space="preserve">: Na mocy art. 226 ust.1 pkt. 5) ustawy Prawo zamówień publicznych oferta </w:t>
      </w:r>
      <w:r w:rsidR="00160DA0">
        <w:rPr>
          <w:rFonts w:asciiTheme="minorHAnsi" w:hAnsiTheme="minorHAnsi" w:cstheme="minorHAnsi"/>
          <w:sz w:val="20"/>
          <w:szCs w:val="20"/>
        </w:rPr>
        <w:t xml:space="preserve">Beryl </w:t>
      </w:r>
      <w:proofErr w:type="spellStart"/>
      <w:r w:rsidR="00160DA0">
        <w:rPr>
          <w:rFonts w:asciiTheme="minorHAnsi" w:hAnsiTheme="minorHAnsi" w:cstheme="minorHAnsi"/>
          <w:sz w:val="20"/>
          <w:szCs w:val="20"/>
        </w:rPr>
        <w:t>Med</w:t>
      </w:r>
      <w:proofErr w:type="spellEnd"/>
      <w:r w:rsidRPr="001A28E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A28E9">
        <w:rPr>
          <w:rFonts w:asciiTheme="minorHAnsi" w:hAnsiTheme="minorHAnsi" w:cstheme="minorHAnsi"/>
          <w:sz w:val="20"/>
          <w:szCs w:val="20"/>
        </w:rPr>
        <w:t xml:space="preserve">Sp. z o.o. w zakresie zadania nr </w:t>
      </w:r>
      <w:r w:rsidR="00160DA0">
        <w:rPr>
          <w:rFonts w:asciiTheme="minorHAnsi" w:hAnsiTheme="minorHAnsi" w:cstheme="minorHAnsi"/>
          <w:sz w:val="20"/>
          <w:szCs w:val="20"/>
        </w:rPr>
        <w:t>36</w:t>
      </w:r>
      <w:r w:rsidRPr="001A28E9">
        <w:rPr>
          <w:rFonts w:asciiTheme="minorHAnsi" w:hAnsiTheme="minorHAnsi" w:cstheme="minorHAnsi"/>
          <w:sz w:val="20"/>
          <w:szCs w:val="20"/>
        </w:rPr>
        <w:t xml:space="preserve"> została odrzucona, ponieważ jej treść jest niezgodna z warunkami zamówienia. </w:t>
      </w:r>
    </w:p>
    <w:p w:rsidR="00C40E1D" w:rsidRPr="00AF2B3E" w:rsidRDefault="00C40E1D" w:rsidP="00AF2B3E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="Arial"/>
        </w:rPr>
      </w:pPr>
    </w:p>
    <w:p w:rsidR="00C40E1D" w:rsidRPr="00220EB2" w:rsidRDefault="00C40E1D" w:rsidP="00C40E1D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C40E1D" w:rsidRPr="00220EB2" w:rsidTr="002D3696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Default="00C40E1D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78693D" w:rsidRDefault="0078693D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160DA0" w:rsidRPr="009601A8" w:rsidRDefault="00160DA0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C40E1D" w:rsidRPr="00AB1353" w:rsidTr="002D3696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78693D" w:rsidRPr="0087145E" w:rsidRDefault="0078693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160DA0" w:rsidRPr="009601A8" w:rsidRDefault="00160DA0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C40E1D" w:rsidRDefault="00C40E1D" w:rsidP="00C40E1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sectPr w:rsidR="00C40E1D" w:rsidSect="00E95325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7F" w:rsidRDefault="0015357F">
      <w:pPr>
        <w:spacing w:after="0" w:line="240" w:lineRule="auto"/>
      </w:pPr>
      <w:r>
        <w:separator/>
      </w:r>
    </w:p>
  </w:endnote>
  <w:endnote w:type="continuationSeparator" w:id="0">
    <w:p w:rsidR="0015357F" w:rsidRDefault="001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7F" w:rsidRDefault="0015357F">
    <w:pPr>
      <w:pStyle w:val="Stopka"/>
      <w:jc w:val="center"/>
      <w:rPr>
        <w:b/>
        <w:sz w:val="16"/>
        <w:szCs w:val="16"/>
      </w:rPr>
    </w:pPr>
  </w:p>
  <w:p w:rsidR="0015357F" w:rsidRDefault="0015357F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57F" w:rsidRDefault="0015357F">
    <w:pPr>
      <w:pStyle w:val="Stopka"/>
      <w:rPr>
        <w:b/>
        <w:lang w:eastAsia="pl-PL"/>
      </w:rPr>
    </w:pPr>
  </w:p>
  <w:p w:rsidR="0015357F" w:rsidRDefault="0015357F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15357F" w:rsidRDefault="0015357F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5357F" w:rsidRDefault="0015357F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15357F" w:rsidRDefault="0015357F">
    <w:pPr>
      <w:pStyle w:val="Stopka"/>
      <w:rPr>
        <w:rFonts w:ascii="Century Gothic" w:hAnsi="Century Gothic"/>
        <w:color w:val="004685"/>
        <w:sz w:val="18"/>
        <w:szCs w:val="18"/>
      </w:rPr>
    </w:pPr>
  </w:p>
  <w:p w:rsidR="0015357F" w:rsidRDefault="0015357F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5357F" w:rsidRDefault="0015357F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7F" w:rsidRDefault="0015357F">
      <w:pPr>
        <w:spacing w:after="0" w:line="240" w:lineRule="auto"/>
      </w:pPr>
      <w:r>
        <w:separator/>
      </w:r>
    </w:p>
  </w:footnote>
  <w:footnote w:type="continuationSeparator" w:id="0">
    <w:p w:rsidR="0015357F" w:rsidRDefault="0015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7F" w:rsidRDefault="00E856F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15357F"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57F"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57F">
      <w:tab/>
    </w:r>
  </w:p>
  <w:p w:rsidR="0015357F" w:rsidRDefault="0015357F">
    <w:pPr>
      <w:pStyle w:val="Nagwek"/>
    </w:pPr>
    <w:r>
      <w:tab/>
    </w:r>
  </w:p>
  <w:p w:rsidR="0015357F" w:rsidRDefault="0015357F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57F" w:rsidRDefault="0015357F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9"/>
  </w:num>
  <w:num w:numId="9">
    <w:abstractNumId w:val="5"/>
  </w:num>
  <w:num w:numId="10">
    <w:abstractNumId w:val="16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10"/>
  </w:num>
  <w:num w:numId="17">
    <w:abstractNumId w:val="28"/>
  </w:num>
  <w:num w:numId="18">
    <w:abstractNumId w:val="23"/>
  </w:num>
  <w:num w:numId="19">
    <w:abstractNumId w:val="9"/>
  </w:num>
  <w:num w:numId="20">
    <w:abstractNumId w:val="0"/>
  </w:num>
  <w:num w:numId="21">
    <w:abstractNumId w:val="36"/>
  </w:num>
  <w:num w:numId="22">
    <w:abstractNumId w:val="17"/>
  </w:num>
  <w:num w:numId="23">
    <w:abstractNumId w:val="3"/>
  </w:num>
  <w:num w:numId="24">
    <w:abstractNumId w:val="27"/>
  </w:num>
  <w:num w:numId="25">
    <w:abstractNumId w:val="32"/>
  </w:num>
  <w:num w:numId="26">
    <w:abstractNumId w:val="21"/>
  </w:num>
  <w:num w:numId="27">
    <w:abstractNumId w:val="29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4"/>
  </w:num>
  <w:num w:numId="32">
    <w:abstractNumId w:val="35"/>
  </w:num>
  <w:num w:numId="33">
    <w:abstractNumId w:val="11"/>
  </w:num>
  <w:num w:numId="34">
    <w:abstractNumId w:val="22"/>
  </w:num>
  <w:num w:numId="35">
    <w:abstractNumId w:val="14"/>
  </w:num>
  <w:num w:numId="36">
    <w:abstractNumId w:val="26"/>
  </w:num>
  <w:num w:numId="37">
    <w:abstractNumId w:val="12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07E6C"/>
    <w:rsid w:val="00021D08"/>
    <w:rsid w:val="00023552"/>
    <w:rsid w:val="00026946"/>
    <w:rsid w:val="0004504F"/>
    <w:rsid w:val="000527BE"/>
    <w:rsid w:val="00056E6A"/>
    <w:rsid w:val="00070148"/>
    <w:rsid w:val="00083517"/>
    <w:rsid w:val="000855F6"/>
    <w:rsid w:val="0008787B"/>
    <w:rsid w:val="000A0B2B"/>
    <w:rsid w:val="000A2812"/>
    <w:rsid w:val="000A5A9B"/>
    <w:rsid w:val="000B6B2E"/>
    <w:rsid w:val="000C5C41"/>
    <w:rsid w:val="000D1771"/>
    <w:rsid w:val="000E11A4"/>
    <w:rsid w:val="000E7DFE"/>
    <w:rsid w:val="000F7C0F"/>
    <w:rsid w:val="00100CB3"/>
    <w:rsid w:val="00111F16"/>
    <w:rsid w:val="0014151F"/>
    <w:rsid w:val="00142B4A"/>
    <w:rsid w:val="00147E1D"/>
    <w:rsid w:val="0015357F"/>
    <w:rsid w:val="00160DA0"/>
    <w:rsid w:val="00170350"/>
    <w:rsid w:val="00171F13"/>
    <w:rsid w:val="001A0095"/>
    <w:rsid w:val="001A1788"/>
    <w:rsid w:val="001A4724"/>
    <w:rsid w:val="001B2991"/>
    <w:rsid w:val="001B692D"/>
    <w:rsid w:val="001C2A97"/>
    <w:rsid w:val="001E0741"/>
    <w:rsid w:val="001E2951"/>
    <w:rsid w:val="002023FD"/>
    <w:rsid w:val="002041E7"/>
    <w:rsid w:val="0022683A"/>
    <w:rsid w:val="00226DC7"/>
    <w:rsid w:val="00234271"/>
    <w:rsid w:val="00234B1F"/>
    <w:rsid w:val="0025399A"/>
    <w:rsid w:val="00256401"/>
    <w:rsid w:val="00280797"/>
    <w:rsid w:val="002847DA"/>
    <w:rsid w:val="00284E3E"/>
    <w:rsid w:val="00294729"/>
    <w:rsid w:val="002A4F00"/>
    <w:rsid w:val="002C05CC"/>
    <w:rsid w:val="002C5217"/>
    <w:rsid w:val="002D3696"/>
    <w:rsid w:val="002D5511"/>
    <w:rsid w:val="002F2402"/>
    <w:rsid w:val="0030105C"/>
    <w:rsid w:val="00305C82"/>
    <w:rsid w:val="00312755"/>
    <w:rsid w:val="003247E3"/>
    <w:rsid w:val="003250A8"/>
    <w:rsid w:val="00343A7C"/>
    <w:rsid w:val="00390E14"/>
    <w:rsid w:val="003A7AF4"/>
    <w:rsid w:val="003C2BEC"/>
    <w:rsid w:val="003D56CA"/>
    <w:rsid w:val="003D7098"/>
    <w:rsid w:val="003E697C"/>
    <w:rsid w:val="003F00A6"/>
    <w:rsid w:val="004127F6"/>
    <w:rsid w:val="0041305A"/>
    <w:rsid w:val="00413C94"/>
    <w:rsid w:val="00424C3B"/>
    <w:rsid w:val="00446647"/>
    <w:rsid w:val="004517FB"/>
    <w:rsid w:val="00455E11"/>
    <w:rsid w:val="0045772C"/>
    <w:rsid w:val="00463729"/>
    <w:rsid w:val="00463768"/>
    <w:rsid w:val="0046626F"/>
    <w:rsid w:val="00474BEE"/>
    <w:rsid w:val="004753C8"/>
    <w:rsid w:val="004936B2"/>
    <w:rsid w:val="00493D1B"/>
    <w:rsid w:val="00495B3A"/>
    <w:rsid w:val="004D4783"/>
    <w:rsid w:val="004D5879"/>
    <w:rsid w:val="004E47FF"/>
    <w:rsid w:val="004F400D"/>
    <w:rsid w:val="005043C4"/>
    <w:rsid w:val="0054301B"/>
    <w:rsid w:val="00543A96"/>
    <w:rsid w:val="0058112B"/>
    <w:rsid w:val="00582259"/>
    <w:rsid w:val="005B58DB"/>
    <w:rsid w:val="005C30D2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4134D"/>
    <w:rsid w:val="00643C11"/>
    <w:rsid w:val="00645C08"/>
    <w:rsid w:val="0066181C"/>
    <w:rsid w:val="00665062"/>
    <w:rsid w:val="00671EDC"/>
    <w:rsid w:val="00687869"/>
    <w:rsid w:val="006954FA"/>
    <w:rsid w:val="006B77CA"/>
    <w:rsid w:val="006D1C2D"/>
    <w:rsid w:val="006D61E2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8693D"/>
    <w:rsid w:val="00791946"/>
    <w:rsid w:val="00797633"/>
    <w:rsid w:val="007B1F18"/>
    <w:rsid w:val="007D50A3"/>
    <w:rsid w:val="00811284"/>
    <w:rsid w:val="00826C09"/>
    <w:rsid w:val="00855112"/>
    <w:rsid w:val="0087545A"/>
    <w:rsid w:val="00883442"/>
    <w:rsid w:val="00894A62"/>
    <w:rsid w:val="008A7364"/>
    <w:rsid w:val="008B3C3F"/>
    <w:rsid w:val="008D6F1D"/>
    <w:rsid w:val="008F7639"/>
    <w:rsid w:val="0090443D"/>
    <w:rsid w:val="00914B7A"/>
    <w:rsid w:val="0092205D"/>
    <w:rsid w:val="0092594D"/>
    <w:rsid w:val="009342CD"/>
    <w:rsid w:val="00944609"/>
    <w:rsid w:val="009564FF"/>
    <w:rsid w:val="009637C2"/>
    <w:rsid w:val="009746FA"/>
    <w:rsid w:val="00974B0B"/>
    <w:rsid w:val="00977A0D"/>
    <w:rsid w:val="0098494F"/>
    <w:rsid w:val="009A0898"/>
    <w:rsid w:val="009E6CE8"/>
    <w:rsid w:val="00A20287"/>
    <w:rsid w:val="00A256D5"/>
    <w:rsid w:val="00A31488"/>
    <w:rsid w:val="00A61D6B"/>
    <w:rsid w:val="00A64D2E"/>
    <w:rsid w:val="00A758C0"/>
    <w:rsid w:val="00A8156A"/>
    <w:rsid w:val="00A91715"/>
    <w:rsid w:val="00A957D1"/>
    <w:rsid w:val="00AA2C7F"/>
    <w:rsid w:val="00AA3D1A"/>
    <w:rsid w:val="00AD3D8A"/>
    <w:rsid w:val="00AE0580"/>
    <w:rsid w:val="00AE2BC9"/>
    <w:rsid w:val="00AF2B3E"/>
    <w:rsid w:val="00B013E0"/>
    <w:rsid w:val="00B17E21"/>
    <w:rsid w:val="00B27989"/>
    <w:rsid w:val="00B40BF5"/>
    <w:rsid w:val="00B62C0E"/>
    <w:rsid w:val="00B71385"/>
    <w:rsid w:val="00B86FCF"/>
    <w:rsid w:val="00B93F81"/>
    <w:rsid w:val="00BB0E23"/>
    <w:rsid w:val="00BB2C36"/>
    <w:rsid w:val="00BB2FE9"/>
    <w:rsid w:val="00BB3CF1"/>
    <w:rsid w:val="00BB3E94"/>
    <w:rsid w:val="00BB463C"/>
    <w:rsid w:val="00BB50AA"/>
    <w:rsid w:val="00BB6C7F"/>
    <w:rsid w:val="00BC56EC"/>
    <w:rsid w:val="00BD3C9C"/>
    <w:rsid w:val="00BD41CB"/>
    <w:rsid w:val="00BF4223"/>
    <w:rsid w:val="00C028B8"/>
    <w:rsid w:val="00C208A6"/>
    <w:rsid w:val="00C2163A"/>
    <w:rsid w:val="00C3206E"/>
    <w:rsid w:val="00C37C75"/>
    <w:rsid w:val="00C40E1D"/>
    <w:rsid w:val="00C62600"/>
    <w:rsid w:val="00CA3698"/>
    <w:rsid w:val="00CB3361"/>
    <w:rsid w:val="00CC14A7"/>
    <w:rsid w:val="00CC1F8D"/>
    <w:rsid w:val="00CD4499"/>
    <w:rsid w:val="00CE6587"/>
    <w:rsid w:val="00D01BDB"/>
    <w:rsid w:val="00D0786C"/>
    <w:rsid w:val="00D400B4"/>
    <w:rsid w:val="00D42AB3"/>
    <w:rsid w:val="00D54429"/>
    <w:rsid w:val="00D61860"/>
    <w:rsid w:val="00D7386C"/>
    <w:rsid w:val="00D768A2"/>
    <w:rsid w:val="00D81523"/>
    <w:rsid w:val="00D819AC"/>
    <w:rsid w:val="00DA02FA"/>
    <w:rsid w:val="00DA0A38"/>
    <w:rsid w:val="00DC1C6F"/>
    <w:rsid w:val="00DF750A"/>
    <w:rsid w:val="00E052FE"/>
    <w:rsid w:val="00E073BA"/>
    <w:rsid w:val="00E279F4"/>
    <w:rsid w:val="00E40E7D"/>
    <w:rsid w:val="00E44991"/>
    <w:rsid w:val="00E50E32"/>
    <w:rsid w:val="00E630CB"/>
    <w:rsid w:val="00E67C2A"/>
    <w:rsid w:val="00E849FA"/>
    <w:rsid w:val="00E856F4"/>
    <w:rsid w:val="00E95325"/>
    <w:rsid w:val="00EA233F"/>
    <w:rsid w:val="00EB644D"/>
    <w:rsid w:val="00EC2765"/>
    <w:rsid w:val="00ED45DA"/>
    <w:rsid w:val="00ED7FBA"/>
    <w:rsid w:val="00EE5AD4"/>
    <w:rsid w:val="00F104A6"/>
    <w:rsid w:val="00F1070E"/>
    <w:rsid w:val="00F26FFA"/>
    <w:rsid w:val="00F466DF"/>
    <w:rsid w:val="00F5146F"/>
    <w:rsid w:val="00F613CC"/>
    <w:rsid w:val="00F63846"/>
    <w:rsid w:val="00F829DD"/>
    <w:rsid w:val="00F846F6"/>
    <w:rsid w:val="00F92B48"/>
    <w:rsid w:val="00F938EE"/>
    <w:rsid w:val="00F939E9"/>
    <w:rsid w:val="00FB7D71"/>
    <w:rsid w:val="00FD0011"/>
    <w:rsid w:val="00FE2875"/>
    <w:rsid w:val="00FE76E2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FE7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FE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7189-6F67-4843-8E62-9D063A6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7</cp:revision>
  <cp:lastPrinted>2020-02-21T10:24:00Z</cp:lastPrinted>
  <dcterms:created xsi:type="dcterms:W3CDTF">2022-06-13T07:27:00Z</dcterms:created>
  <dcterms:modified xsi:type="dcterms:W3CDTF">2022-06-14T07:31:00Z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