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245" w:rsidRPr="001D6F66" w:rsidRDefault="004015E5" w:rsidP="004015E5">
      <w:pPr>
        <w:pStyle w:val="Greg-numer3"/>
        <w:numPr>
          <w:ilvl w:val="0"/>
          <w:numId w:val="0"/>
        </w:numPr>
        <w:jc w:val="center"/>
        <w:rPr>
          <w:rFonts w:ascii="Times New Roman" w:hAnsi="Times New Roman" w:cs="Times New Roman"/>
          <w:color w:val="auto"/>
          <w:szCs w:val="24"/>
        </w:rPr>
      </w:pPr>
      <w:bookmarkStart w:id="0" w:name="_Toc392790818"/>
      <w:bookmarkStart w:id="1" w:name="_Toc486592612"/>
      <w:r w:rsidRPr="001D6F66">
        <w:rPr>
          <w:rFonts w:ascii="Times New Roman" w:hAnsi="Times New Roman" w:cs="Times New Roman"/>
          <w:color w:val="auto"/>
          <w:szCs w:val="24"/>
        </w:rPr>
        <w:t xml:space="preserve">Załącznik nr 2 - </w:t>
      </w:r>
      <w:r w:rsidR="00C16245" w:rsidRPr="001D6F66">
        <w:rPr>
          <w:rFonts w:ascii="Times New Roman" w:hAnsi="Times New Roman" w:cs="Times New Roman"/>
          <w:color w:val="auto"/>
          <w:szCs w:val="24"/>
        </w:rPr>
        <w:t xml:space="preserve">Warunki dotyczące zaprojektowania i wykonania </w:t>
      </w:r>
      <w:proofErr w:type="spellStart"/>
      <w:r w:rsidR="00C16245" w:rsidRPr="001D6F66">
        <w:rPr>
          <w:rFonts w:ascii="Times New Roman" w:hAnsi="Times New Roman" w:cs="Times New Roman"/>
          <w:color w:val="auto"/>
          <w:szCs w:val="24"/>
        </w:rPr>
        <w:t>doświetleń</w:t>
      </w:r>
      <w:proofErr w:type="spellEnd"/>
      <w:r w:rsidR="00C16245" w:rsidRPr="001D6F66">
        <w:rPr>
          <w:rFonts w:ascii="Times New Roman" w:hAnsi="Times New Roman" w:cs="Times New Roman"/>
          <w:color w:val="auto"/>
          <w:szCs w:val="24"/>
        </w:rPr>
        <w:t xml:space="preserve"> przejść dla pieszych w ciągu dróg powiatowych w ramach zadania pn.: „Poprawa bezpieczeństwa na drogach Powiatu Gdańskiego poprzez modernizację dróg powiatowych położonych na terenie Powiatu Gdańskiego”</w:t>
      </w:r>
    </w:p>
    <w:p w:rsidR="00C16245" w:rsidRPr="001D6F66" w:rsidRDefault="00C16245" w:rsidP="004015E5">
      <w:pPr>
        <w:pStyle w:val="Greg-numer3"/>
        <w:numPr>
          <w:ilvl w:val="0"/>
          <w:numId w:val="12"/>
        </w:numPr>
        <w:rPr>
          <w:rFonts w:ascii="Times New Roman" w:hAnsi="Times New Roman" w:cs="Times New Roman"/>
          <w:color w:val="auto"/>
          <w:szCs w:val="24"/>
          <w:u w:val="single"/>
        </w:rPr>
      </w:pPr>
      <w:r w:rsidRPr="001D6F66">
        <w:rPr>
          <w:rFonts w:ascii="Times New Roman" w:hAnsi="Times New Roman" w:cs="Times New Roman"/>
          <w:color w:val="auto"/>
          <w:szCs w:val="24"/>
          <w:u w:val="single"/>
        </w:rPr>
        <w:t>Część projektowa – wymagania Zamawiającego</w:t>
      </w:r>
      <w:bookmarkEnd w:id="0"/>
      <w:bookmarkEnd w:id="1"/>
      <w:r w:rsidRPr="001D6F66">
        <w:rPr>
          <w:rFonts w:ascii="Times New Roman" w:hAnsi="Times New Roman" w:cs="Times New Roman"/>
          <w:color w:val="auto"/>
          <w:szCs w:val="24"/>
          <w:u w:val="single"/>
        </w:rPr>
        <w:t xml:space="preserve"> </w:t>
      </w:r>
    </w:p>
    <w:p w:rsidR="00C16245" w:rsidRPr="001D6F66" w:rsidRDefault="00C16245" w:rsidP="00C16245">
      <w:pPr>
        <w:pStyle w:val="Greg-tekst"/>
        <w:ind w:firstLine="0"/>
      </w:pPr>
      <w:r w:rsidRPr="001D6F66">
        <w:t xml:space="preserve">Zamówienie obejmuje wykonanie dokumentacji projektowej </w:t>
      </w:r>
      <w:proofErr w:type="spellStart"/>
      <w:r w:rsidRPr="001D6F66">
        <w:t>doświetleń</w:t>
      </w:r>
      <w:proofErr w:type="spellEnd"/>
      <w:r w:rsidRPr="001D6F66">
        <w:t xml:space="preserve"> przejść dla pieszych w ciągu dróg powiatowych w ramach zadania pn.: „Poprawa bezpieczeństwa na drogach Powiatu Gdańskiego poprzez modernizację dróg powiatowych położonych na terenie Powiatu Gdańskiego”, w skład której wchodzą następujące elementy składowe:</w:t>
      </w:r>
    </w:p>
    <w:p w:rsidR="00C16245" w:rsidRPr="001D6F66" w:rsidRDefault="00C16245" w:rsidP="00C16245">
      <w:pPr>
        <w:pStyle w:val="Greg-wypunkt"/>
        <w:ind w:left="284" w:hanging="284"/>
        <w:rPr>
          <w:szCs w:val="24"/>
        </w:rPr>
      </w:pPr>
      <w:r w:rsidRPr="001D6F66">
        <w:rPr>
          <w:szCs w:val="24"/>
        </w:rPr>
        <w:t>- uzyskanie warunków, opinii i uzgodnień wymaganych przepisami szczególnymi dla opracowanej dokumentacji projektowej,</w:t>
      </w:r>
    </w:p>
    <w:p w:rsidR="00C16245" w:rsidRPr="001D6F66" w:rsidRDefault="00C16245" w:rsidP="00C16245">
      <w:pPr>
        <w:pStyle w:val="Greg-wypunkt"/>
        <w:ind w:left="284" w:hanging="284"/>
        <w:rPr>
          <w:szCs w:val="24"/>
        </w:rPr>
      </w:pPr>
      <w:r w:rsidRPr="001D6F66">
        <w:rPr>
          <w:szCs w:val="24"/>
        </w:rPr>
        <w:t>- uzyskanie decyzji zezwalającej na rozpoczęcie robót budowlanych (pozwolenia na budowę lub zgłoszenia robót nie wymagających pozwolenia na budowę) dla zadań wymagających takiej decyzji,</w:t>
      </w:r>
    </w:p>
    <w:p w:rsidR="00C16245" w:rsidRPr="001D6F66" w:rsidRDefault="00C16245" w:rsidP="00C16245">
      <w:pPr>
        <w:pStyle w:val="Greg-wypunkt"/>
        <w:ind w:left="284" w:hanging="284"/>
        <w:rPr>
          <w:szCs w:val="24"/>
          <w:highlight w:val="yellow"/>
        </w:rPr>
      </w:pPr>
      <w:r w:rsidRPr="001D6F66">
        <w:rPr>
          <w:szCs w:val="24"/>
        </w:rPr>
        <w:t xml:space="preserve">- wykonanie </w:t>
      </w:r>
      <w:r w:rsidR="001D6F66">
        <w:rPr>
          <w:szCs w:val="24"/>
        </w:rPr>
        <w:t>dokumentacji projektowej</w:t>
      </w:r>
      <w:r w:rsidRPr="001D6F66">
        <w:rPr>
          <w:szCs w:val="24"/>
        </w:rPr>
        <w:t>, opracowanie specyfikacji technicznych wykonania i odbioru robót budowlanych dla wszystkich projektowanych branż, przygotowanie informacji dotyczącej bezpieczeństwa i ochrony zdrowia, opracowanie projektu tymczasowej organizacji ruchu drogowego na czas wykonywania robót budowlanych.</w:t>
      </w:r>
    </w:p>
    <w:p w:rsidR="00785796" w:rsidRPr="00CF4B13" w:rsidRDefault="00785796" w:rsidP="00785796">
      <w:pPr>
        <w:pStyle w:val="Greg-tekst"/>
        <w:ind w:firstLine="0"/>
      </w:pPr>
      <w:r w:rsidRPr="00CF4B13">
        <w:t>Rozwiązania architektoniczno-budowlane przyjęte w opracowanych projektach powinny być zgodne z obowiązującymi przepisami, normami standardami, instrukcjami i warunkami techni</w:t>
      </w:r>
      <w:r>
        <w:t>cznymi oraz wiedzą inżynierską.</w:t>
      </w:r>
    </w:p>
    <w:p w:rsidR="00C16245" w:rsidRPr="001D6F66" w:rsidRDefault="00C16245" w:rsidP="00C16245">
      <w:pPr>
        <w:pStyle w:val="Greg-tekst"/>
        <w:ind w:firstLine="0"/>
        <w:rPr>
          <w:bCs/>
        </w:rPr>
      </w:pPr>
      <w:r w:rsidRPr="001D6F66">
        <w:t xml:space="preserve">Dla wszystkich powyższych opracowań należy uzyskać wszystkie niezbędne warunki, uzgodnienia, opinie i pozwolenia umożliwiające rozpoczęcie robót budowlanych. W harmonogramie rzeczowym należy podać etapy prac projektowych z określeniem ich terminów wykonania </w:t>
      </w:r>
      <w:r w:rsidRPr="001D6F66">
        <w:rPr>
          <w:bCs/>
        </w:rPr>
        <w:t xml:space="preserve">z uwzględnieniem czasu na procedury administracyjne. </w:t>
      </w:r>
    </w:p>
    <w:p w:rsidR="00C16245" w:rsidRPr="001D6F66" w:rsidRDefault="00C16245" w:rsidP="00C16245">
      <w:pPr>
        <w:pStyle w:val="Greg-tekst"/>
        <w:ind w:firstLine="0"/>
      </w:pPr>
      <w:r w:rsidRPr="001D6F66">
        <w:t>Dokumentacja projektowa powinna by</w:t>
      </w:r>
      <w:r w:rsidRPr="001D6F66">
        <w:rPr>
          <w:rFonts w:eastAsia="TimesNewRoman"/>
        </w:rPr>
        <w:t xml:space="preserve">ć </w:t>
      </w:r>
      <w:r w:rsidRPr="001D6F66">
        <w:t>wykonana zgodnie z Rozporz</w:t>
      </w:r>
      <w:r w:rsidRPr="001D6F66">
        <w:rPr>
          <w:rFonts w:eastAsia="TimesNewRoman"/>
        </w:rPr>
        <w:t>ą</w:t>
      </w:r>
      <w:r w:rsidRPr="001D6F66">
        <w:t>dzeniem Ministra Infrastruktury z dnia 2 września 2004r. w sprawie szczegółowego zakresu i formy projektu budowlanego. Powinna obejmowa</w:t>
      </w:r>
      <w:r w:rsidRPr="001D6F66">
        <w:rPr>
          <w:rFonts w:eastAsia="TimesNewRoman"/>
        </w:rPr>
        <w:t xml:space="preserve">ć </w:t>
      </w:r>
      <w:r w:rsidRPr="001D6F66">
        <w:t>wszystkie przewidziane do realizacji bran</w:t>
      </w:r>
      <w:r w:rsidRPr="001D6F66">
        <w:rPr>
          <w:rFonts w:eastAsia="TimesNewRoman"/>
        </w:rPr>
        <w:t>ż</w:t>
      </w:r>
      <w:r w:rsidRPr="001D6F66">
        <w:t>e i by</w:t>
      </w:r>
      <w:r w:rsidRPr="001D6F66">
        <w:rPr>
          <w:rFonts w:eastAsia="TimesNewRoman"/>
        </w:rPr>
        <w:t xml:space="preserve">ć </w:t>
      </w:r>
      <w:r w:rsidRPr="001D6F66">
        <w:t>kompletna z punktu widzenia celu, któremu ma słu</w:t>
      </w:r>
      <w:r w:rsidRPr="001D6F66">
        <w:rPr>
          <w:rFonts w:eastAsia="TimesNewRoman"/>
        </w:rPr>
        <w:t>ż</w:t>
      </w:r>
      <w:r w:rsidRPr="001D6F66">
        <w:t>y</w:t>
      </w:r>
      <w:r w:rsidRPr="001D6F66">
        <w:rPr>
          <w:rFonts w:eastAsia="TimesNewRoman"/>
        </w:rPr>
        <w:t>ć</w:t>
      </w:r>
      <w:r w:rsidRPr="001D6F66">
        <w:t xml:space="preserve">. Zamawiający wymagać będzie opracowania jednej spójnej dokumentacji projektowej. </w:t>
      </w:r>
    </w:p>
    <w:p w:rsidR="00C16245" w:rsidRPr="001D6F66" w:rsidRDefault="004015E5" w:rsidP="00C16245">
      <w:pPr>
        <w:pStyle w:val="Greg-numer4"/>
        <w:numPr>
          <w:ilvl w:val="0"/>
          <w:numId w:val="0"/>
        </w:numPr>
        <w:ind w:left="57"/>
        <w:rPr>
          <w:rFonts w:ascii="Times New Roman" w:hAnsi="Times New Roman" w:cs="Times New Roman"/>
          <w:b w:val="0"/>
          <w:color w:val="auto"/>
          <w:szCs w:val="24"/>
        </w:rPr>
      </w:pPr>
      <w:r w:rsidRPr="001D6F66">
        <w:rPr>
          <w:rFonts w:ascii="Times New Roman" w:hAnsi="Times New Roman" w:cs="Times New Roman"/>
          <w:b w:val="0"/>
          <w:color w:val="auto"/>
          <w:szCs w:val="24"/>
        </w:rPr>
        <w:t>Zawartość projektów budowlanych:</w:t>
      </w:r>
    </w:p>
    <w:p w:rsidR="00C16245" w:rsidRPr="001D6F66" w:rsidRDefault="00C16245" w:rsidP="00C16245">
      <w:pPr>
        <w:pStyle w:val="Greg-wypunktlitera"/>
      </w:pPr>
      <w:r w:rsidRPr="001D6F66">
        <w:t>Wykonanie projektów zagospodarowania terenu w skali 1:500</w:t>
      </w:r>
    </w:p>
    <w:p w:rsidR="00C16245" w:rsidRPr="001D6F66" w:rsidRDefault="00C16245" w:rsidP="00C16245">
      <w:pPr>
        <w:pStyle w:val="Greg-wypunktlitera"/>
      </w:pPr>
      <w:r w:rsidRPr="001D6F66">
        <w:t xml:space="preserve">Wykonanie projektów </w:t>
      </w:r>
      <w:proofErr w:type="spellStart"/>
      <w:r w:rsidRPr="001D6F66">
        <w:t>architektoniczno</w:t>
      </w:r>
      <w:proofErr w:type="spellEnd"/>
      <w:r w:rsidRPr="001D6F66">
        <w:t xml:space="preserve"> – budowlanych obejmujących:</w:t>
      </w:r>
    </w:p>
    <w:p w:rsidR="00C16245" w:rsidRPr="001D6F66" w:rsidRDefault="00C16245" w:rsidP="00C16245">
      <w:pPr>
        <w:pStyle w:val="Greg-wypunktliterakropka"/>
      </w:pPr>
      <w:r w:rsidRPr="001D6F66">
        <w:t>budowę oświetlenia ulicznego w dostosowaniu do projektowanego układu zagospodarowania przestrzennego,</w:t>
      </w:r>
    </w:p>
    <w:p w:rsidR="00C16245" w:rsidRPr="001D6F66" w:rsidRDefault="00C16245" w:rsidP="00C16245">
      <w:pPr>
        <w:pStyle w:val="Greg-wypunktliterakropka"/>
      </w:pPr>
      <w:r w:rsidRPr="001D6F66">
        <w:t>opracowanie informacji BIOZ,</w:t>
      </w:r>
    </w:p>
    <w:p w:rsidR="00C16245" w:rsidRPr="001D6F66" w:rsidRDefault="00C16245" w:rsidP="00C16245">
      <w:pPr>
        <w:pStyle w:val="Greg-wypunktliterakropka"/>
      </w:pPr>
      <w:r w:rsidRPr="001D6F66">
        <w:t xml:space="preserve">wykonanie wszelkich opracowań niezbędnych do złożenia wniosków oraz uzyskania decyzji </w:t>
      </w:r>
      <w:r w:rsidR="001D6F66" w:rsidRPr="001D6F66">
        <w:t>zezwalającej na rozpoczęcie robót budowlanych (pozwolenia na budowę lub zgłoszenia robót nie wymagających pozwolenia na budowę)</w:t>
      </w:r>
      <w:r w:rsidRPr="001D6F66">
        <w:t>,</w:t>
      </w:r>
    </w:p>
    <w:p w:rsidR="00C16245" w:rsidRPr="001D6F66" w:rsidRDefault="00C16245" w:rsidP="00C16245">
      <w:pPr>
        <w:pStyle w:val="Greg-tekst"/>
        <w:ind w:firstLine="0"/>
      </w:pPr>
      <w:r w:rsidRPr="001D6F66">
        <w:t xml:space="preserve">Obowiązkiem Wykonawcy jest uzyskanie wszelkich warunków od gestorów sieci, itp. niezbędnych do opracowania projektów budowlanych. </w:t>
      </w:r>
    </w:p>
    <w:p w:rsidR="00C16245" w:rsidRPr="001D6F66" w:rsidRDefault="00C16245" w:rsidP="00C16245">
      <w:pPr>
        <w:pStyle w:val="Greg-tekst"/>
        <w:ind w:firstLine="0"/>
      </w:pPr>
      <w:r w:rsidRPr="001D6F66">
        <w:t xml:space="preserve">Projekty wykonawcze powinny zostać opracowane dla wskazanych branż odrębnie. </w:t>
      </w:r>
    </w:p>
    <w:p w:rsidR="004015E5" w:rsidRPr="001D6F66" w:rsidRDefault="004015E5" w:rsidP="00C16245">
      <w:pPr>
        <w:pStyle w:val="Greg-tekst"/>
        <w:ind w:firstLine="0"/>
      </w:pPr>
    </w:p>
    <w:p w:rsidR="00C16245" w:rsidRPr="001D6F66" w:rsidRDefault="00C16245" w:rsidP="004015E5">
      <w:pPr>
        <w:pStyle w:val="Greg-tekst"/>
        <w:ind w:firstLine="0"/>
      </w:pPr>
      <w:r w:rsidRPr="001D6F66">
        <w:lastRenderedPageBreak/>
        <w:t>Wszystkie opracowania należy wykonać w formie tradycyjnej (papierowej) oraz elektronicznej w formatach otwartych do edycji oraz dodatkowo całość opracowania w formacie pdf.  Należy dołączyć 2 egzemplarze w wersji elektronicznej.</w:t>
      </w:r>
    </w:p>
    <w:p w:rsidR="004015E5" w:rsidRPr="001D6F66" w:rsidRDefault="004015E5" w:rsidP="004015E5">
      <w:pPr>
        <w:pStyle w:val="Greg-tekst"/>
        <w:ind w:firstLine="0"/>
      </w:pPr>
    </w:p>
    <w:p w:rsidR="00C16245" w:rsidRPr="001D6F66" w:rsidRDefault="00C16245" w:rsidP="004015E5">
      <w:pPr>
        <w:pStyle w:val="Greg-tekst"/>
        <w:ind w:firstLine="0"/>
      </w:pPr>
      <w:r w:rsidRPr="001D6F66">
        <w:t>Należy wykonać następujące liczby egzemplarzy w formie tradycyjnej:</w:t>
      </w:r>
    </w:p>
    <w:p w:rsidR="00C16245" w:rsidRPr="001D6F66" w:rsidRDefault="00C16245" w:rsidP="00C16245">
      <w:pPr>
        <w:pStyle w:val="Greg-wypunktlitera"/>
        <w:numPr>
          <w:ilvl w:val="0"/>
          <w:numId w:val="4"/>
        </w:numPr>
      </w:pPr>
      <w:r w:rsidRPr="001D6F66">
        <w:t xml:space="preserve">Projekty budowlane </w:t>
      </w:r>
      <w:r w:rsidR="004015E5" w:rsidRPr="001D6F66">
        <w:t xml:space="preserve">/ wykonawcze </w:t>
      </w:r>
      <w:r w:rsidRPr="001D6F66">
        <w:t xml:space="preserve">– </w:t>
      </w:r>
      <w:r w:rsidR="00786A86">
        <w:t>3</w:t>
      </w:r>
      <w:r w:rsidRPr="001D6F66">
        <w:t xml:space="preserve"> egzemplarz</w:t>
      </w:r>
      <w:r w:rsidR="00786A86">
        <w:t>e</w:t>
      </w:r>
      <w:r w:rsidRPr="001D6F66">
        <w:t>,</w:t>
      </w:r>
    </w:p>
    <w:p w:rsidR="00C16245" w:rsidRPr="001D6F66" w:rsidRDefault="004015E5" w:rsidP="00C16245">
      <w:pPr>
        <w:pStyle w:val="Greg-wypunktlitera"/>
      </w:pPr>
      <w:r w:rsidRPr="001D6F66">
        <w:t>S</w:t>
      </w:r>
      <w:r w:rsidR="00C16245" w:rsidRPr="001D6F66">
        <w:t>pecyfikacje techniczne wykonania i odbioru robót</w:t>
      </w:r>
      <w:r w:rsidRPr="001D6F66">
        <w:t xml:space="preserve">, </w:t>
      </w:r>
      <w:r w:rsidR="00786A86">
        <w:t>i</w:t>
      </w:r>
      <w:r w:rsidR="00786A86" w:rsidRPr="001D6F66">
        <w:t xml:space="preserve">nformacje BIOZ </w:t>
      </w:r>
      <w:r w:rsidRPr="001D6F66">
        <w:t>przedmiary i kosztorysy</w:t>
      </w:r>
      <w:r w:rsidR="00C16245" w:rsidRPr="001D6F66">
        <w:t xml:space="preserve"> – 3 egzemplarze,</w:t>
      </w:r>
    </w:p>
    <w:p w:rsidR="00C16245" w:rsidRPr="001D6F66" w:rsidRDefault="00C16245" w:rsidP="004015E5">
      <w:pPr>
        <w:pStyle w:val="Greg-numer3"/>
        <w:numPr>
          <w:ilvl w:val="0"/>
          <w:numId w:val="12"/>
        </w:numPr>
        <w:rPr>
          <w:rFonts w:ascii="Times New Roman" w:hAnsi="Times New Roman" w:cs="Times New Roman"/>
          <w:color w:val="auto"/>
          <w:szCs w:val="24"/>
          <w:u w:val="single"/>
        </w:rPr>
      </w:pPr>
      <w:bookmarkStart w:id="2" w:name="_Toc392790820"/>
      <w:bookmarkStart w:id="3" w:name="_Toc466024613"/>
      <w:bookmarkStart w:id="4" w:name="_Toc486592614"/>
      <w:r w:rsidRPr="001D6F66">
        <w:rPr>
          <w:rFonts w:ascii="Times New Roman" w:hAnsi="Times New Roman" w:cs="Times New Roman"/>
          <w:color w:val="auto"/>
          <w:szCs w:val="24"/>
          <w:u w:val="single"/>
        </w:rPr>
        <w:t>Część roboty budowlane – wymagania Zamawiającego</w:t>
      </w:r>
      <w:bookmarkEnd w:id="2"/>
      <w:bookmarkEnd w:id="3"/>
      <w:bookmarkEnd w:id="4"/>
    </w:p>
    <w:p w:rsidR="00C16245" w:rsidRPr="001D6F66" w:rsidRDefault="00C16245" w:rsidP="004015E5">
      <w:pPr>
        <w:pStyle w:val="Greg-tekst"/>
        <w:ind w:firstLine="0"/>
      </w:pPr>
      <w:r w:rsidRPr="001D6F66">
        <w:t xml:space="preserve">W zakres robót budowlanych związanych z realizacja oświetlenia przejść dla pieszych wchodzą następujące elementy składowe: </w:t>
      </w:r>
    </w:p>
    <w:p w:rsidR="00C16245" w:rsidRPr="001D6F66" w:rsidRDefault="00C16245" w:rsidP="00C16245">
      <w:pPr>
        <w:pStyle w:val="Greg-wypunkt"/>
        <w:numPr>
          <w:ilvl w:val="0"/>
          <w:numId w:val="11"/>
        </w:numPr>
        <w:rPr>
          <w:szCs w:val="24"/>
        </w:rPr>
      </w:pPr>
      <w:r w:rsidRPr="001D6F66">
        <w:rPr>
          <w:szCs w:val="24"/>
        </w:rPr>
        <w:t>obsługa geodezyjna inwestycji,</w:t>
      </w:r>
      <w:bookmarkStart w:id="5" w:name="_Hlk504733644"/>
    </w:p>
    <w:p w:rsidR="00C16245" w:rsidRPr="001D6F66" w:rsidRDefault="00C16245" w:rsidP="00C16245">
      <w:pPr>
        <w:pStyle w:val="Greg-wypunkt"/>
        <w:numPr>
          <w:ilvl w:val="0"/>
          <w:numId w:val="11"/>
        </w:numPr>
        <w:rPr>
          <w:szCs w:val="24"/>
        </w:rPr>
      </w:pPr>
      <w:r w:rsidRPr="001D6F66">
        <w:rPr>
          <w:szCs w:val="24"/>
        </w:rPr>
        <w:t>rozbiórka istniejących nawierzchni jezdni, chodników i zjazdów,</w:t>
      </w:r>
    </w:p>
    <w:bookmarkEnd w:id="5"/>
    <w:p w:rsidR="00C16245" w:rsidRPr="001D6F66" w:rsidRDefault="00C16245" w:rsidP="00C16245">
      <w:pPr>
        <w:pStyle w:val="Greg-wypunkt"/>
        <w:numPr>
          <w:ilvl w:val="0"/>
          <w:numId w:val="11"/>
        </w:numPr>
        <w:rPr>
          <w:szCs w:val="24"/>
        </w:rPr>
      </w:pPr>
      <w:r w:rsidRPr="001D6F66">
        <w:rPr>
          <w:szCs w:val="24"/>
        </w:rPr>
        <w:t>odbudowa fragmentów zjazdów, chodników o nawierzchni z kostki betonowej i asfaltobetonowej (w zakresie odtworzenia nawierzchni),</w:t>
      </w:r>
    </w:p>
    <w:p w:rsidR="00C16245" w:rsidRPr="001D6F66" w:rsidRDefault="00C16245" w:rsidP="00C16245">
      <w:pPr>
        <w:pStyle w:val="Greg-wypunkt"/>
        <w:numPr>
          <w:ilvl w:val="0"/>
          <w:numId w:val="11"/>
        </w:numPr>
        <w:rPr>
          <w:szCs w:val="24"/>
        </w:rPr>
      </w:pPr>
      <w:r w:rsidRPr="001D6F66">
        <w:rPr>
          <w:szCs w:val="24"/>
        </w:rPr>
        <w:t>budowa oświetlenia przejść dla pieszych,</w:t>
      </w:r>
    </w:p>
    <w:p w:rsidR="00C16245" w:rsidRPr="001D6F66" w:rsidRDefault="00C16245" w:rsidP="00C16245">
      <w:pPr>
        <w:pStyle w:val="Greg-wypunkt"/>
        <w:numPr>
          <w:ilvl w:val="0"/>
          <w:numId w:val="11"/>
        </w:numPr>
        <w:rPr>
          <w:szCs w:val="24"/>
        </w:rPr>
      </w:pPr>
      <w:r w:rsidRPr="001D6F66">
        <w:rPr>
          <w:szCs w:val="24"/>
        </w:rPr>
        <w:t>przebudowie sieci energetycznej zasilającej,</w:t>
      </w:r>
    </w:p>
    <w:p w:rsidR="00C16245" w:rsidRPr="001D6F66" w:rsidRDefault="00C16245" w:rsidP="00C16245">
      <w:pPr>
        <w:pStyle w:val="Greg-wypunkt"/>
        <w:numPr>
          <w:ilvl w:val="0"/>
          <w:numId w:val="11"/>
        </w:numPr>
        <w:rPr>
          <w:szCs w:val="24"/>
        </w:rPr>
      </w:pPr>
      <w:r w:rsidRPr="001D6F66">
        <w:rPr>
          <w:szCs w:val="24"/>
        </w:rPr>
        <w:t xml:space="preserve">zabezpieczeniu istniejących sieci uzbrojenia podziemnego, </w:t>
      </w:r>
    </w:p>
    <w:p w:rsidR="00C16245" w:rsidRPr="001D6F66" w:rsidRDefault="00C16245" w:rsidP="00C16245">
      <w:pPr>
        <w:pStyle w:val="Greg-wypunkt"/>
        <w:numPr>
          <w:ilvl w:val="0"/>
          <w:numId w:val="11"/>
        </w:numPr>
        <w:rPr>
          <w:szCs w:val="24"/>
        </w:rPr>
      </w:pPr>
      <w:r w:rsidRPr="001D6F66">
        <w:rPr>
          <w:szCs w:val="24"/>
        </w:rPr>
        <w:t>wykonaniu organizacji ruchu drogowego na czas budowy,</w:t>
      </w:r>
    </w:p>
    <w:p w:rsidR="00C16245" w:rsidRPr="001D6F66" w:rsidRDefault="00C16245" w:rsidP="00C16245">
      <w:pPr>
        <w:pStyle w:val="Greg-wypunkt"/>
        <w:numPr>
          <w:ilvl w:val="0"/>
          <w:numId w:val="11"/>
        </w:numPr>
        <w:rPr>
          <w:szCs w:val="24"/>
        </w:rPr>
      </w:pPr>
      <w:r w:rsidRPr="001D6F66">
        <w:rPr>
          <w:szCs w:val="24"/>
        </w:rPr>
        <w:t>wykonaniu (odtworzenie po robotach ziemnych) zieleni,</w:t>
      </w:r>
    </w:p>
    <w:p w:rsidR="00C16245" w:rsidRPr="001D6F66" w:rsidRDefault="00C16245" w:rsidP="00C16245">
      <w:pPr>
        <w:pStyle w:val="Greg-wypunkt"/>
        <w:numPr>
          <w:ilvl w:val="0"/>
          <w:numId w:val="11"/>
        </w:numPr>
        <w:rPr>
          <w:szCs w:val="24"/>
        </w:rPr>
      </w:pPr>
      <w:r w:rsidRPr="001D6F66">
        <w:rPr>
          <w:szCs w:val="24"/>
        </w:rPr>
        <w:t>sporządzeniu operatu kolaudacyjnego z kompletem wymaganych dokumentów, w tym geodezyjnej inwentaryzacji powykonawczej.</w:t>
      </w:r>
    </w:p>
    <w:p w:rsidR="00C16245" w:rsidRPr="001D6F66" w:rsidRDefault="00C16245" w:rsidP="00C16245">
      <w:pPr>
        <w:pStyle w:val="Greg-tekst"/>
      </w:pPr>
    </w:p>
    <w:p w:rsidR="00C16245" w:rsidRPr="001D6F66" w:rsidRDefault="00C16245" w:rsidP="004015E5">
      <w:pPr>
        <w:pStyle w:val="Greg-numer2"/>
        <w:numPr>
          <w:ilvl w:val="0"/>
          <w:numId w:val="0"/>
        </w:numPr>
        <w:ind w:left="57"/>
        <w:rPr>
          <w:rFonts w:ascii="Times New Roman" w:hAnsi="Times New Roman" w:cs="Times New Roman"/>
          <w:color w:val="auto"/>
          <w:sz w:val="24"/>
          <w:szCs w:val="24"/>
        </w:rPr>
      </w:pPr>
      <w:bookmarkStart w:id="6" w:name="_Toc505515209"/>
      <w:r w:rsidRPr="001D6F66">
        <w:rPr>
          <w:rFonts w:ascii="Times New Roman" w:hAnsi="Times New Roman" w:cs="Times New Roman"/>
          <w:color w:val="auto"/>
          <w:sz w:val="24"/>
          <w:szCs w:val="24"/>
        </w:rPr>
        <w:t>Charakterystyczne parametry określające wielkość obiektu, zakres robót budowlanych</w:t>
      </w:r>
      <w:bookmarkEnd w:id="6"/>
      <w:r w:rsidRPr="001D6F66">
        <w:rPr>
          <w:rFonts w:ascii="Times New Roman" w:hAnsi="Times New Roman" w:cs="Times New Roman"/>
          <w:color w:val="auto"/>
          <w:sz w:val="24"/>
          <w:szCs w:val="24"/>
        </w:rPr>
        <w:t xml:space="preserve"> </w:t>
      </w:r>
    </w:p>
    <w:p w:rsidR="00C16245" w:rsidRPr="001D6F66" w:rsidRDefault="00C16245" w:rsidP="004015E5">
      <w:pPr>
        <w:pStyle w:val="Greg-tekst"/>
        <w:ind w:firstLine="0"/>
      </w:pPr>
      <w:r w:rsidRPr="001D6F66">
        <w:t xml:space="preserve">Przejścia dla pieszych objęte </w:t>
      </w:r>
      <w:r w:rsidR="004015E5" w:rsidRPr="001D6F66">
        <w:t xml:space="preserve">przedmiotowym </w:t>
      </w:r>
      <w:r w:rsidRPr="001D6F66">
        <w:t xml:space="preserve">zadaniem zlokalizowane są w różnych </w:t>
      </w:r>
      <w:r w:rsidR="004015E5" w:rsidRPr="001D6F66">
        <w:t>częściach Powiatu Gdańskiego</w:t>
      </w:r>
      <w:r w:rsidRPr="001D6F66">
        <w:t xml:space="preserve">. </w:t>
      </w:r>
      <w:r w:rsidR="004015E5" w:rsidRPr="001D6F66">
        <w:t>L</w:t>
      </w:r>
      <w:r w:rsidRPr="001D6F66">
        <w:t xml:space="preserve">okalizację przejść dla pieszych na których planuje się zamontować oświetlenie </w:t>
      </w:r>
      <w:r w:rsidR="004015E5" w:rsidRPr="001D6F66">
        <w:t xml:space="preserve">określono </w:t>
      </w:r>
      <w:r w:rsidRPr="001D6F66">
        <w:t>w załączniku nr 1.</w:t>
      </w:r>
    </w:p>
    <w:p w:rsidR="00C16245" w:rsidRPr="001D6F66" w:rsidRDefault="00C16245" w:rsidP="00F607E0">
      <w:pPr>
        <w:pStyle w:val="Greg-tekst"/>
        <w:ind w:firstLine="0"/>
      </w:pPr>
      <w:r w:rsidRPr="001D6F66">
        <w:t>Obecnie w pobliżu przejść dla pieszych</w:t>
      </w:r>
      <w:r w:rsidR="004015E5" w:rsidRPr="001D6F66">
        <w:t>,</w:t>
      </w:r>
      <w:r w:rsidRPr="001D6F66">
        <w:t xml:space="preserve"> które mają być objęte systemem doświetlenia zlokalizowane</w:t>
      </w:r>
      <w:r w:rsidR="00786A86">
        <w:t xml:space="preserve"> jest</w:t>
      </w:r>
      <w:r w:rsidRPr="001D6F66">
        <w:t xml:space="preserve"> oświetleni</w:t>
      </w:r>
      <w:r w:rsidR="00F607E0" w:rsidRPr="001D6F66">
        <w:t>e</w:t>
      </w:r>
      <w:r w:rsidRPr="001D6F66">
        <w:t xml:space="preserve"> uliczne </w:t>
      </w:r>
      <w:r w:rsidR="00F607E0" w:rsidRPr="001D6F66">
        <w:t xml:space="preserve">bądź sieci energetyczne. </w:t>
      </w:r>
    </w:p>
    <w:p w:rsidR="00C16245" w:rsidRPr="001D6F66" w:rsidRDefault="00C16245" w:rsidP="00F607E0">
      <w:pPr>
        <w:pStyle w:val="Greg-numer3"/>
        <w:numPr>
          <w:ilvl w:val="1"/>
          <w:numId w:val="12"/>
        </w:numPr>
        <w:rPr>
          <w:rFonts w:ascii="Times New Roman" w:hAnsi="Times New Roman" w:cs="Times New Roman"/>
          <w:color w:val="auto"/>
          <w:szCs w:val="24"/>
        </w:rPr>
      </w:pPr>
      <w:r w:rsidRPr="001D6F66">
        <w:rPr>
          <w:rFonts w:ascii="Times New Roman" w:hAnsi="Times New Roman" w:cs="Times New Roman"/>
          <w:color w:val="auto"/>
          <w:szCs w:val="24"/>
        </w:rPr>
        <w:t>Zakres branży drogowej</w:t>
      </w:r>
    </w:p>
    <w:p w:rsidR="00C16245" w:rsidRPr="001D6F66" w:rsidRDefault="00C16245" w:rsidP="00F607E0">
      <w:pPr>
        <w:pStyle w:val="Greg-tekst"/>
        <w:ind w:firstLine="0"/>
      </w:pPr>
      <w:r w:rsidRPr="001D6F66">
        <w:t xml:space="preserve">Zakres branży drogowej w niniejszym zadaniu inwestycyjnym związany jest z przeprowadzeniem odbudowy nawierzchni istniejących w dotychczasowej jej technologii wykonania w miejscach gdzie dokonywano podczas realizacji wykopów otwartych pod lokalizację kabli energetycznych, złączy pomiarowych lub fundamentów słupów oświetleniowych. </w:t>
      </w:r>
      <w:r w:rsidR="00377D38">
        <w:t>W ramach branży drogowej niniejszego zamówienia należy również odtworzyć oznakowanie poziome w rejonie doświetlanych przejść dla pieszych.</w:t>
      </w:r>
    </w:p>
    <w:p w:rsidR="00C16245" w:rsidRPr="001D6F66" w:rsidRDefault="00C16245" w:rsidP="00C16245">
      <w:pPr>
        <w:pStyle w:val="Greg-tekst"/>
      </w:pPr>
    </w:p>
    <w:p w:rsidR="00C16245" w:rsidRPr="001D6F66" w:rsidRDefault="00C16245" w:rsidP="00F607E0">
      <w:pPr>
        <w:pStyle w:val="Greg-numer3"/>
        <w:numPr>
          <w:ilvl w:val="1"/>
          <w:numId w:val="12"/>
        </w:numPr>
        <w:rPr>
          <w:rFonts w:ascii="Times New Roman" w:hAnsi="Times New Roman" w:cs="Times New Roman"/>
          <w:color w:val="auto"/>
          <w:szCs w:val="24"/>
        </w:rPr>
      </w:pPr>
      <w:r w:rsidRPr="001D6F66">
        <w:rPr>
          <w:rFonts w:ascii="Times New Roman" w:hAnsi="Times New Roman" w:cs="Times New Roman"/>
          <w:color w:val="auto"/>
          <w:szCs w:val="24"/>
        </w:rPr>
        <w:t>Zakres branży elektrycznej</w:t>
      </w:r>
    </w:p>
    <w:p w:rsidR="00C16245" w:rsidRPr="001D6F66" w:rsidRDefault="00C16245" w:rsidP="00F607E0">
      <w:pPr>
        <w:pStyle w:val="Greg-tekst"/>
        <w:ind w:firstLine="0"/>
      </w:pPr>
      <w:r w:rsidRPr="001D6F66">
        <w:t xml:space="preserve">W każdej z </w:t>
      </w:r>
      <w:r w:rsidR="00F607E0" w:rsidRPr="001D6F66">
        <w:t>8</w:t>
      </w:r>
      <w:r w:rsidRPr="001D6F66">
        <w:t xml:space="preserve"> wskazanych lokalizacji przejść dla pieszych należy wybudować nowe oświetlenie drogowe – oświetlenie przejścia i jego najbliższego otoczenia w sposób zapewniający odpowiednie oświetlenie pieszego.</w:t>
      </w:r>
    </w:p>
    <w:p w:rsidR="00C16245" w:rsidRPr="001D6F66" w:rsidRDefault="00C16245" w:rsidP="00C16245">
      <w:pPr>
        <w:pStyle w:val="Greg-tekst"/>
      </w:pPr>
    </w:p>
    <w:p w:rsidR="00C16245" w:rsidRPr="001D6F66" w:rsidRDefault="00C16245" w:rsidP="00C60E88">
      <w:pPr>
        <w:pStyle w:val="Greg-tekst"/>
        <w:ind w:firstLine="0"/>
      </w:pPr>
      <w:r w:rsidRPr="001D6F66">
        <w:t xml:space="preserve">W obszarze </w:t>
      </w:r>
      <w:r w:rsidR="00B34A43" w:rsidRPr="001D6F66">
        <w:t xml:space="preserve">wytypowanych lokalizacji </w:t>
      </w:r>
      <w:r w:rsidRPr="001D6F66">
        <w:t>przejś</w:t>
      </w:r>
      <w:r w:rsidR="00B34A43" w:rsidRPr="001D6F66">
        <w:t>ć</w:t>
      </w:r>
      <w:r w:rsidRPr="001D6F66">
        <w:t xml:space="preserve"> dla pieszych zakłada się konieczność budowy oświetleni</w:t>
      </w:r>
      <w:r w:rsidR="00C60E88" w:rsidRPr="001D6F66">
        <w:t>a</w:t>
      </w:r>
      <w:r w:rsidRPr="001D6F66">
        <w:t xml:space="preserve"> drogowego doświetlającego na słup</w:t>
      </w:r>
      <w:r w:rsidR="00B34A43" w:rsidRPr="001D6F66">
        <w:t>ach</w:t>
      </w:r>
      <w:r w:rsidR="00C60E88" w:rsidRPr="001D6F66">
        <w:t xml:space="preserve"> </w:t>
      </w:r>
      <w:r w:rsidRPr="001D6F66">
        <w:t>stalowy</w:t>
      </w:r>
      <w:r w:rsidR="00786A86">
        <w:t>ch</w:t>
      </w:r>
      <w:r w:rsidR="00C60E88" w:rsidRPr="001D6F66">
        <w:t xml:space="preserve"> </w:t>
      </w:r>
      <w:r w:rsidRPr="001D6F66">
        <w:t>ocynkowany</w:t>
      </w:r>
      <w:r w:rsidR="00786A86">
        <w:t>ch</w:t>
      </w:r>
      <w:r w:rsidR="00B34A43" w:rsidRPr="001D6F66">
        <w:t xml:space="preserve"> </w:t>
      </w:r>
      <w:r w:rsidR="00706614">
        <w:rPr>
          <w:rFonts w:ascii="ArialNarrow" w:hAnsi="ArialNarrow"/>
          <w:color w:val="000000"/>
        </w:rPr>
        <w:t xml:space="preserve">(w żółto – czarne </w:t>
      </w:r>
      <w:r w:rsidR="00706614">
        <w:rPr>
          <w:rFonts w:ascii="ArialNarrow" w:hAnsi="ArialNarrow"/>
          <w:color w:val="000000"/>
        </w:rPr>
        <w:lastRenderedPageBreak/>
        <w:t xml:space="preserve">pasy) </w:t>
      </w:r>
      <w:r w:rsidR="00B34A43" w:rsidRPr="001D6F66">
        <w:t>o grubości ścianki min 3 mm, z wysięgnikiem</w:t>
      </w:r>
      <w:r w:rsidRPr="001D6F66">
        <w:t xml:space="preserve">. Słupy należy posadowić na fundamentach prefabrykowanych </w:t>
      </w:r>
      <w:r w:rsidR="00C60E88" w:rsidRPr="001D6F66">
        <w:t>dostosowanych</w:t>
      </w:r>
      <w:r w:rsidRPr="001D6F66">
        <w:t xml:space="preserve"> d</w:t>
      </w:r>
      <w:r w:rsidR="00C60E88" w:rsidRPr="001D6F66">
        <w:t>o</w:t>
      </w:r>
      <w:r w:rsidRPr="001D6F66">
        <w:t xml:space="preserve"> występujących lokalnie parametrów gruntowych.</w:t>
      </w:r>
    </w:p>
    <w:p w:rsidR="00C16245" w:rsidRPr="001D6F66" w:rsidRDefault="00C16245" w:rsidP="00C60E88">
      <w:pPr>
        <w:pStyle w:val="Greg-tekst"/>
        <w:ind w:firstLine="0"/>
      </w:pPr>
      <w:r w:rsidRPr="001D6F66">
        <w:t>Instalowane oświetlenie powinno zapewniać oświetlenie pieszych i rowerzystów znajdujących się na przejściu lub obok niego</w:t>
      </w:r>
      <w:r w:rsidR="00B34A43" w:rsidRPr="001D6F66">
        <w:t>.</w:t>
      </w:r>
    </w:p>
    <w:p w:rsidR="00C16245" w:rsidRPr="001D6F66" w:rsidRDefault="00C16245" w:rsidP="00B34A43">
      <w:pPr>
        <w:pStyle w:val="Greg-tekst"/>
        <w:ind w:firstLine="0"/>
        <w:rPr>
          <w:highlight w:val="yellow"/>
        </w:rPr>
      </w:pPr>
      <w:r w:rsidRPr="001D6F66">
        <w:t>Wykonawca przed przystąpieniem do prac projektowych winien dokonać pomiarów kontrolnych na każdym z przejść dla pieszych w celu określenia poziomu oświetlenia ulicy we wskazanej lokalizacji, która umożliwi  zaprojektowanie odpowiednich opraw oświetleniowych</w:t>
      </w:r>
      <w:r w:rsidR="00B34A43" w:rsidRPr="001D6F66">
        <w:t>, odpowiedniej wysokości słupów.</w:t>
      </w:r>
    </w:p>
    <w:p w:rsidR="00C16245" w:rsidRPr="001D6F66" w:rsidRDefault="00C16245" w:rsidP="00C16245">
      <w:pPr>
        <w:pStyle w:val="Greg-tekst"/>
        <w:ind w:firstLine="0"/>
      </w:pPr>
      <w:r w:rsidRPr="001D6F66">
        <w:t>Wykonawca zobowiązany jest do szczegółowej analizy miejsca instalacji dodatkowego oświetlenia przejścia dla pieszych poprzez przeprowadzenie weryfikacji pomiarowej przyszłej instalacji. W realizowanym procesie projektowym i realizacyjnym Wykonawca winien przeprowadzić pomiary i oględziny miejsca instalacji przed jego doborem ponieważ oprócz występującej luminacji jezdni oraz pomiarów natężenia oświetlenia musi wziąć pod uwagę inne jasne obiekty w tle przejścia, w jego najbliższym otoczeniu jak doświetlone ściany, źle zlokalizowane obiekty prywatne, reklamy itd. W przypadku gdy przeprowadzone pomiary weryfikacyjne przez Wykonawcę po instalacji wykażą, że zainstalowane oprawy oświetleniowe LED do oświetlenia przejścia są za słabe należy dokonać ich wymiany  oraz zapewnić właściwy zapas mocy opraw regulowany ich poziomem ściemnienia lub rozjaśnienia.</w:t>
      </w:r>
    </w:p>
    <w:p w:rsidR="00C16245" w:rsidRPr="001D6F66" w:rsidRDefault="00C16245" w:rsidP="00C16245">
      <w:pPr>
        <w:pStyle w:val="Greg-tekst"/>
        <w:ind w:firstLine="0"/>
      </w:pPr>
    </w:p>
    <w:p w:rsidR="00C16245" w:rsidRPr="001D6F66" w:rsidRDefault="00C16245" w:rsidP="001D6F66">
      <w:pPr>
        <w:pStyle w:val="Greg-tekst"/>
        <w:ind w:firstLine="0"/>
      </w:pPr>
      <w:r w:rsidRPr="001D6F66">
        <w:t xml:space="preserve">Oprawy LED powinny  </w:t>
      </w:r>
      <w:r w:rsidR="00B34A43" w:rsidRPr="001D6F66">
        <w:t xml:space="preserve">być wykonane z odlewu aluminium lub tożsamego </w:t>
      </w:r>
      <w:r w:rsidRPr="001D6F66">
        <w:t xml:space="preserve">stopu zapewniającego optymalne odprowadzenie ciepła, malowanego proszkowo, </w:t>
      </w:r>
      <w:r w:rsidR="00B34A43" w:rsidRPr="001D6F66">
        <w:t>z kloszem ze szkła hartowanego, wyposażone</w:t>
      </w:r>
      <w:r w:rsidRPr="001D6F66">
        <w:t xml:space="preserve"> w uniwersalny uchwyt pozwalający na montaż bezpośrednio na słupie, a także pozwalający na zmianę kąta nachylenia oprawy</w:t>
      </w:r>
      <w:r w:rsidR="00B34A43" w:rsidRPr="001D6F66">
        <w:t>. Parametry tj. m</w:t>
      </w:r>
      <w:r w:rsidRPr="001D6F66">
        <w:t>oc maksymalna</w:t>
      </w:r>
      <w:r w:rsidR="00B34A43" w:rsidRPr="001D6F66">
        <w:t>, minimalny strumień świetlny źródeł światła czy zakres temperatury barwowej dobrany</w:t>
      </w:r>
      <w:r w:rsidRPr="001D6F66">
        <w:t xml:space="preserve"> </w:t>
      </w:r>
      <w:r w:rsidR="00B34A43" w:rsidRPr="001D6F66">
        <w:t xml:space="preserve">zostanie </w:t>
      </w:r>
      <w:r w:rsidRPr="001D6F66">
        <w:t xml:space="preserve">indywidualnie </w:t>
      </w:r>
      <w:r w:rsidR="00B34A43" w:rsidRPr="001D6F66">
        <w:t>dla każdej lokaliza</w:t>
      </w:r>
      <w:r w:rsidR="00786A86">
        <w:t>cji przez projektanta Wykonawcy</w:t>
      </w:r>
      <w:r w:rsidR="00B34A43" w:rsidRPr="001D6F66">
        <w:t>. Skuteczność</w:t>
      </w:r>
      <w:r w:rsidRPr="001D6F66">
        <w:t xml:space="preserve"> świetlna projektowanych opraw </w:t>
      </w:r>
      <w:r w:rsidR="00B34A43" w:rsidRPr="001D6F66">
        <w:t xml:space="preserve">powinna być </w:t>
      </w:r>
      <w:r w:rsidRPr="001D6F66">
        <w:t>nie mniejsza niż 100Lm/W dla całej oprawy</w:t>
      </w:r>
      <w:r w:rsidR="00B34A43" w:rsidRPr="001D6F66">
        <w:t xml:space="preserve">. Oprawy winny </w:t>
      </w:r>
      <w:r w:rsidRPr="001D6F66">
        <w:t>posiada</w:t>
      </w:r>
      <w:r w:rsidR="00B34A43" w:rsidRPr="001D6F66">
        <w:t>ć</w:t>
      </w:r>
      <w:r w:rsidRPr="001D6F66">
        <w:t xml:space="preserve"> deklarację zgodności WE i certyfikat akredytowanego ośrodka badawczego potwierdzający deklarowane zgodności ENEC dla każdej z dostarczanych opraw </w:t>
      </w:r>
      <w:r w:rsidR="001D6F66" w:rsidRPr="001D6F66">
        <w:t xml:space="preserve">oraz </w:t>
      </w:r>
      <w:r w:rsidR="00786A86">
        <w:t xml:space="preserve">spełniać </w:t>
      </w:r>
      <w:r w:rsidRPr="001D6F66">
        <w:t>wymagania normy PN – EN 62471 „Bezpieczeństwo fotobiologiczne lamp i systemów la</w:t>
      </w:r>
      <w:r w:rsidR="001D6F66" w:rsidRPr="001D6F66">
        <w:t>mpowych”.</w:t>
      </w:r>
    </w:p>
    <w:p w:rsidR="001D6F66" w:rsidRPr="001D6F66" w:rsidRDefault="001D6F66" w:rsidP="001D6F66">
      <w:pPr>
        <w:pStyle w:val="Greg-tekst"/>
        <w:ind w:firstLine="0"/>
        <w:rPr>
          <w:highlight w:val="green"/>
        </w:rPr>
      </w:pPr>
    </w:p>
    <w:p w:rsidR="00C16245" w:rsidRPr="001D6F66" w:rsidRDefault="00C16245" w:rsidP="00C16245">
      <w:pPr>
        <w:pStyle w:val="Greg-tekst"/>
        <w:ind w:firstLine="0"/>
      </w:pPr>
      <w:r w:rsidRPr="001D6F66">
        <w:t>Połączenie słupów wykonać kablami typu YKY o przekroju wynikającym z obliczeń</w:t>
      </w:r>
      <w:r w:rsidR="00045DF3">
        <w:t>.</w:t>
      </w:r>
      <w:bookmarkStart w:id="7" w:name="_GoBack"/>
      <w:bookmarkEnd w:id="7"/>
    </w:p>
    <w:p w:rsidR="00E57CD9" w:rsidRPr="001D6F66" w:rsidRDefault="00E57CD9">
      <w:pPr>
        <w:rPr>
          <w:rFonts w:ascii="Times New Roman" w:hAnsi="Times New Roman"/>
          <w:sz w:val="24"/>
        </w:rPr>
      </w:pPr>
    </w:p>
    <w:sectPr w:rsidR="00E57CD9" w:rsidRPr="001D6F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Narrow">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C1335"/>
    <w:multiLevelType w:val="hybridMultilevel"/>
    <w:tmpl w:val="BC46684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7AC1101"/>
    <w:multiLevelType w:val="hybridMultilevel"/>
    <w:tmpl w:val="7F42AEFC"/>
    <w:lvl w:ilvl="0" w:tplc="6CF0C70E">
      <w:start w:val="1"/>
      <w:numFmt w:val="bullet"/>
      <w:pStyle w:val="Greg-wypunktliterakropka"/>
      <w:lvlText w:val=""/>
      <w:lvlJc w:val="left"/>
      <w:pPr>
        <w:ind w:left="1077" w:hanging="360"/>
      </w:pPr>
      <w:rPr>
        <w:rFonts w:ascii="Symbol" w:hAnsi="Symbol" w:hint="default"/>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 w15:restartNumberingAfterBreak="0">
    <w:nsid w:val="08914934"/>
    <w:multiLevelType w:val="hybridMultilevel"/>
    <w:tmpl w:val="0218A7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2AC5E58"/>
    <w:multiLevelType w:val="hybridMultilevel"/>
    <w:tmpl w:val="3C38A8C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5137A5C"/>
    <w:multiLevelType w:val="multilevel"/>
    <w:tmpl w:val="AA309DD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64308D3"/>
    <w:multiLevelType w:val="multilevel"/>
    <w:tmpl w:val="A09645D6"/>
    <w:lvl w:ilvl="0">
      <w:start w:val="1"/>
      <w:numFmt w:val="decimal"/>
      <w:pStyle w:val="Greg-numer"/>
      <w:lvlText w:val="%1."/>
      <w:lvlJc w:val="left"/>
      <w:pPr>
        <w:ind w:left="142" w:hanging="85"/>
      </w:pPr>
      <w:rPr>
        <w:rFonts w:hint="default"/>
      </w:rPr>
    </w:lvl>
    <w:lvl w:ilvl="1">
      <w:start w:val="1"/>
      <w:numFmt w:val="decimal"/>
      <w:pStyle w:val="Greg-numer2"/>
      <w:lvlText w:val="%1.%2."/>
      <w:lvlJc w:val="left"/>
      <w:pPr>
        <w:ind w:left="142" w:hanging="85"/>
      </w:pPr>
      <w:rPr>
        <w:rFonts w:hint="default"/>
      </w:rPr>
    </w:lvl>
    <w:lvl w:ilvl="2">
      <w:start w:val="1"/>
      <w:numFmt w:val="decimal"/>
      <w:pStyle w:val="Greg-numer3"/>
      <w:lvlText w:val="%1.%2.%3."/>
      <w:lvlJc w:val="left"/>
      <w:pPr>
        <w:ind w:left="85" w:hanging="85"/>
      </w:pPr>
      <w:rPr>
        <w:rFonts w:hint="default"/>
      </w:rPr>
    </w:lvl>
    <w:lvl w:ilvl="3">
      <w:start w:val="1"/>
      <w:numFmt w:val="decimal"/>
      <w:pStyle w:val="Greg-numer4"/>
      <w:lvlText w:val="%1.%2.%3.%4."/>
      <w:lvlJc w:val="left"/>
      <w:pPr>
        <w:ind w:left="142" w:hanging="85"/>
      </w:pPr>
      <w:rPr>
        <w:rFonts w:hint="default"/>
      </w:rPr>
    </w:lvl>
    <w:lvl w:ilvl="4">
      <w:start w:val="1"/>
      <w:numFmt w:val="decimal"/>
      <w:pStyle w:val="12111"/>
      <w:lvlText w:val="%1.%2.%3.%4.%5."/>
      <w:lvlJc w:val="left"/>
      <w:pPr>
        <w:ind w:left="142" w:hanging="85"/>
      </w:pPr>
      <w:rPr>
        <w:rFonts w:hint="default"/>
      </w:rPr>
    </w:lvl>
    <w:lvl w:ilvl="5">
      <w:start w:val="1"/>
      <w:numFmt w:val="decimal"/>
      <w:pStyle w:val="Poziom6"/>
      <w:lvlText w:val="%1.%2.%3.%4.%5.%6."/>
      <w:lvlJc w:val="left"/>
      <w:pPr>
        <w:ind w:left="142" w:hanging="85"/>
      </w:pPr>
      <w:rPr>
        <w:rFonts w:hint="default"/>
      </w:rPr>
    </w:lvl>
    <w:lvl w:ilvl="6">
      <w:start w:val="1"/>
      <w:numFmt w:val="decimal"/>
      <w:lvlText w:val="%1.%2.%3.%4.%5.%6.%7."/>
      <w:lvlJc w:val="left"/>
      <w:pPr>
        <w:ind w:left="142" w:hanging="85"/>
      </w:pPr>
      <w:rPr>
        <w:rFonts w:hint="default"/>
      </w:rPr>
    </w:lvl>
    <w:lvl w:ilvl="7">
      <w:start w:val="1"/>
      <w:numFmt w:val="decimal"/>
      <w:lvlText w:val="%1.%2.%3.%4.%5.%6.%7.%8."/>
      <w:lvlJc w:val="left"/>
      <w:pPr>
        <w:ind w:left="142" w:hanging="85"/>
      </w:pPr>
      <w:rPr>
        <w:rFonts w:hint="default"/>
      </w:rPr>
    </w:lvl>
    <w:lvl w:ilvl="8">
      <w:start w:val="1"/>
      <w:numFmt w:val="decimal"/>
      <w:lvlText w:val="%1.%2.%3.%4.%5.%6.%7.%8.%9."/>
      <w:lvlJc w:val="left"/>
      <w:pPr>
        <w:ind w:left="142" w:hanging="85"/>
      </w:pPr>
      <w:rPr>
        <w:rFonts w:hint="default"/>
      </w:rPr>
    </w:lvl>
  </w:abstractNum>
  <w:abstractNum w:abstractNumId="6" w15:restartNumberingAfterBreak="0">
    <w:nsid w:val="30DC2DEF"/>
    <w:multiLevelType w:val="hybridMultilevel"/>
    <w:tmpl w:val="EAB25554"/>
    <w:lvl w:ilvl="0" w:tplc="04150005">
      <w:start w:val="5"/>
      <w:numFmt w:val="bullet"/>
      <w:pStyle w:val="Greg-wypunktkreska"/>
      <w:lvlText w:val=""/>
      <w:lvlJc w:val="left"/>
      <w:pPr>
        <w:ind w:left="1437" w:hanging="360"/>
      </w:pPr>
      <w:rPr>
        <w:rFonts w:ascii="Symbol" w:hAnsi="Symbol" w:hint="default"/>
      </w:rPr>
    </w:lvl>
    <w:lvl w:ilvl="1" w:tplc="04150003">
      <w:start w:val="1"/>
      <w:numFmt w:val="bullet"/>
      <w:pStyle w:val="Greg-wypunktkreskapodciecie"/>
      <w:lvlText w:val=""/>
      <w:lvlJc w:val="left"/>
      <w:pPr>
        <w:ind w:left="2157" w:hanging="360"/>
      </w:pPr>
      <w:rPr>
        <w:rFonts w:ascii="Wingdings" w:hAnsi="Wingdings" w:hint="default"/>
      </w:rPr>
    </w:lvl>
    <w:lvl w:ilvl="2" w:tplc="04150005">
      <w:start w:val="1"/>
      <w:numFmt w:val="lowerRoman"/>
      <w:lvlText w:val="%3."/>
      <w:lvlJc w:val="right"/>
      <w:pPr>
        <w:ind w:left="2877" w:hanging="180"/>
      </w:pPr>
    </w:lvl>
    <w:lvl w:ilvl="3" w:tplc="04150001">
      <w:start w:val="1"/>
      <w:numFmt w:val="decimal"/>
      <w:lvlText w:val="%4."/>
      <w:lvlJc w:val="left"/>
      <w:pPr>
        <w:ind w:left="3597" w:hanging="360"/>
      </w:pPr>
    </w:lvl>
    <w:lvl w:ilvl="4" w:tplc="04150003">
      <w:start w:val="1"/>
      <w:numFmt w:val="lowerLetter"/>
      <w:lvlText w:val="%5."/>
      <w:lvlJc w:val="left"/>
      <w:pPr>
        <w:ind w:left="4317" w:hanging="360"/>
      </w:pPr>
    </w:lvl>
    <w:lvl w:ilvl="5" w:tplc="04150005" w:tentative="1">
      <w:start w:val="1"/>
      <w:numFmt w:val="lowerRoman"/>
      <w:lvlText w:val="%6."/>
      <w:lvlJc w:val="right"/>
      <w:pPr>
        <w:ind w:left="5037" w:hanging="180"/>
      </w:pPr>
    </w:lvl>
    <w:lvl w:ilvl="6" w:tplc="04150001" w:tentative="1">
      <w:start w:val="1"/>
      <w:numFmt w:val="decimal"/>
      <w:lvlText w:val="%7."/>
      <w:lvlJc w:val="left"/>
      <w:pPr>
        <w:ind w:left="5757" w:hanging="360"/>
      </w:pPr>
    </w:lvl>
    <w:lvl w:ilvl="7" w:tplc="04150003" w:tentative="1">
      <w:start w:val="1"/>
      <w:numFmt w:val="lowerLetter"/>
      <w:lvlText w:val="%8."/>
      <w:lvlJc w:val="left"/>
      <w:pPr>
        <w:ind w:left="6477" w:hanging="360"/>
      </w:pPr>
    </w:lvl>
    <w:lvl w:ilvl="8" w:tplc="04150005" w:tentative="1">
      <w:start w:val="1"/>
      <w:numFmt w:val="lowerRoman"/>
      <w:lvlText w:val="%9."/>
      <w:lvlJc w:val="right"/>
      <w:pPr>
        <w:ind w:left="7197" w:hanging="180"/>
      </w:pPr>
    </w:lvl>
  </w:abstractNum>
  <w:abstractNum w:abstractNumId="7" w15:restartNumberingAfterBreak="0">
    <w:nsid w:val="447329FE"/>
    <w:multiLevelType w:val="hybridMultilevel"/>
    <w:tmpl w:val="431280AE"/>
    <w:lvl w:ilvl="0" w:tplc="04150001">
      <w:start w:val="1"/>
      <w:numFmt w:val="bullet"/>
      <w:lvlText w:val=""/>
      <w:lvlJc w:val="left"/>
      <w:pPr>
        <w:ind w:left="1429" w:hanging="360"/>
      </w:pPr>
      <w:rPr>
        <w:rFonts w:ascii="Symbol" w:hAnsi="Symbo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55F840D9"/>
    <w:multiLevelType w:val="hybridMultilevel"/>
    <w:tmpl w:val="28721E9E"/>
    <w:lvl w:ilvl="0" w:tplc="04150005">
      <w:start w:val="1"/>
      <w:numFmt w:val="lowerLetter"/>
      <w:pStyle w:val="Greg-wypunktlitera"/>
      <w:lvlText w:val="%1)"/>
      <w:lvlJc w:val="left"/>
      <w:pPr>
        <w:ind w:left="1077"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03" w:tentative="1">
      <w:start w:val="1"/>
      <w:numFmt w:val="lowerLetter"/>
      <w:lvlText w:val="%2."/>
      <w:lvlJc w:val="left"/>
      <w:pPr>
        <w:ind w:left="1797" w:hanging="360"/>
      </w:pPr>
    </w:lvl>
    <w:lvl w:ilvl="2" w:tplc="04150005" w:tentative="1">
      <w:start w:val="1"/>
      <w:numFmt w:val="lowerRoman"/>
      <w:lvlText w:val="%3."/>
      <w:lvlJc w:val="right"/>
      <w:pPr>
        <w:ind w:left="2517" w:hanging="180"/>
      </w:pPr>
    </w:lvl>
    <w:lvl w:ilvl="3" w:tplc="04150001" w:tentative="1">
      <w:start w:val="1"/>
      <w:numFmt w:val="decimal"/>
      <w:lvlText w:val="%4."/>
      <w:lvlJc w:val="left"/>
      <w:pPr>
        <w:ind w:left="3237" w:hanging="360"/>
      </w:pPr>
    </w:lvl>
    <w:lvl w:ilvl="4" w:tplc="04150003" w:tentative="1">
      <w:start w:val="1"/>
      <w:numFmt w:val="lowerLetter"/>
      <w:lvlText w:val="%5."/>
      <w:lvlJc w:val="left"/>
      <w:pPr>
        <w:ind w:left="3957" w:hanging="360"/>
      </w:pPr>
    </w:lvl>
    <w:lvl w:ilvl="5" w:tplc="04150005" w:tentative="1">
      <w:start w:val="1"/>
      <w:numFmt w:val="lowerRoman"/>
      <w:lvlText w:val="%6."/>
      <w:lvlJc w:val="right"/>
      <w:pPr>
        <w:ind w:left="4677" w:hanging="180"/>
      </w:pPr>
    </w:lvl>
    <w:lvl w:ilvl="6" w:tplc="04150001" w:tentative="1">
      <w:start w:val="1"/>
      <w:numFmt w:val="decimal"/>
      <w:lvlText w:val="%7."/>
      <w:lvlJc w:val="left"/>
      <w:pPr>
        <w:ind w:left="5397" w:hanging="360"/>
      </w:pPr>
    </w:lvl>
    <w:lvl w:ilvl="7" w:tplc="04150003" w:tentative="1">
      <w:start w:val="1"/>
      <w:numFmt w:val="lowerLetter"/>
      <w:lvlText w:val="%8."/>
      <w:lvlJc w:val="left"/>
      <w:pPr>
        <w:ind w:left="6117" w:hanging="360"/>
      </w:pPr>
    </w:lvl>
    <w:lvl w:ilvl="8" w:tplc="04150005" w:tentative="1">
      <w:start w:val="1"/>
      <w:numFmt w:val="lowerRoman"/>
      <w:lvlText w:val="%9."/>
      <w:lvlJc w:val="right"/>
      <w:pPr>
        <w:ind w:left="6837" w:hanging="180"/>
      </w:pPr>
    </w:lvl>
  </w:abstractNum>
  <w:abstractNum w:abstractNumId="9" w15:restartNumberingAfterBreak="0">
    <w:nsid w:val="647F1A42"/>
    <w:multiLevelType w:val="hybridMultilevel"/>
    <w:tmpl w:val="02C46D4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B86165C"/>
    <w:multiLevelType w:val="hybridMultilevel"/>
    <w:tmpl w:val="045CB986"/>
    <w:lvl w:ilvl="0" w:tplc="04150003">
      <w:start w:val="1"/>
      <w:numFmt w:val="bullet"/>
      <w:lvlText w:val="o"/>
      <w:lvlJc w:val="left"/>
      <w:pPr>
        <w:ind w:left="1495"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8"/>
    <w:lvlOverride w:ilvl="0">
      <w:startOverride w:val="1"/>
    </w:lvlOverride>
  </w:num>
  <w:num w:numId="5">
    <w:abstractNumId w:val="1"/>
  </w:num>
  <w:num w:numId="6">
    <w:abstractNumId w:val="3"/>
  </w:num>
  <w:num w:numId="7">
    <w:abstractNumId w:val="9"/>
  </w:num>
  <w:num w:numId="8">
    <w:abstractNumId w:val="10"/>
  </w:num>
  <w:num w:numId="9">
    <w:abstractNumId w:val="0"/>
  </w:num>
  <w:num w:numId="10">
    <w:abstractNumId w:val="7"/>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245"/>
    <w:rsid w:val="00045DF3"/>
    <w:rsid w:val="000D2B88"/>
    <w:rsid w:val="001D6F66"/>
    <w:rsid w:val="00377D38"/>
    <w:rsid w:val="004015E5"/>
    <w:rsid w:val="00706614"/>
    <w:rsid w:val="00785796"/>
    <w:rsid w:val="00786A86"/>
    <w:rsid w:val="00B34A43"/>
    <w:rsid w:val="00C16245"/>
    <w:rsid w:val="00C60E88"/>
    <w:rsid w:val="00DD0AD8"/>
    <w:rsid w:val="00DE7070"/>
    <w:rsid w:val="00E57CD9"/>
    <w:rsid w:val="00F60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02F5F-7613-49CD-88D7-20A3B73A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6245"/>
    <w:pPr>
      <w:spacing w:after="0" w:line="240" w:lineRule="auto"/>
      <w:jc w:val="both"/>
    </w:pPr>
    <w:rPr>
      <w:rFonts w:ascii="Arial" w:eastAsia="Times New Roman" w:hAnsi="Arial" w:cs="Times New Roman"/>
      <w:sz w:val="20"/>
      <w:szCs w:val="24"/>
      <w:lang w:val="pl-PL" w:eastAsia="pl-PL"/>
    </w:rPr>
  </w:style>
  <w:style w:type="paragraph" w:styleId="Nagwek1">
    <w:name w:val="heading 1"/>
    <w:basedOn w:val="Normalny"/>
    <w:next w:val="Normalny"/>
    <w:link w:val="Nagwek1Znak"/>
    <w:uiPriority w:val="9"/>
    <w:qFormat/>
    <w:rsid w:val="00C1624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5">
    <w:name w:val="heading 5"/>
    <w:basedOn w:val="Normalny"/>
    <w:next w:val="Normalny"/>
    <w:link w:val="Nagwek5Znak"/>
    <w:uiPriority w:val="9"/>
    <w:semiHidden/>
    <w:unhideWhenUsed/>
    <w:qFormat/>
    <w:rsid w:val="00C16245"/>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16245"/>
    <w:pPr>
      <w:ind w:left="720"/>
      <w:contextualSpacing/>
    </w:pPr>
  </w:style>
  <w:style w:type="table" w:styleId="Tabela-Siatka">
    <w:name w:val="Table Grid"/>
    <w:basedOn w:val="Standardowy"/>
    <w:uiPriority w:val="39"/>
    <w:rsid w:val="00C1624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eg-numer">
    <w:name w:val="Greg - numer"/>
    <w:basedOn w:val="Nagwek1"/>
    <w:qFormat/>
    <w:rsid w:val="00C16245"/>
    <w:pPr>
      <w:numPr>
        <w:numId w:val="1"/>
      </w:numPr>
      <w:tabs>
        <w:tab w:val="num" w:pos="360"/>
      </w:tabs>
      <w:spacing w:before="120" w:after="120"/>
      <w:ind w:left="0" w:firstLine="0"/>
    </w:pPr>
    <w:rPr>
      <w:b/>
      <w:bCs/>
      <w:sz w:val="28"/>
      <w:szCs w:val="28"/>
    </w:rPr>
  </w:style>
  <w:style w:type="paragraph" w:customStyle="1" w:styleId="Greg-numer2">
    <w:name w:val="Greg - numer 2"/>
    <w:basedOn w:val="Nagwek1"/>
    <w:link w:val="Greg-numer2Znak"/>
    <w:qFormat/>
    <w:rsid w:val="00C16245"/>
    <w:pPr>
      <w:numPr>
        <w:ilvl w:val="1"/>
        <w:numId w:val="1"/>
      </w:numPr>
      <w:tabs>
        <w:tab w:val="left" w:pos="851"/>
      </w:tabs>
      <w:spacing w:before="0" w:after="80"/>
      <w:jc w:val="left"/>
      <w:outlineLvl w:val="1"/>
    </w:pPr>
    <w:rPr>
      <w:b/>
      <w:bCs/>
      <w:sz w:val="28"/>
      <w:szCs w:val="28"/>
    </w:rPr>
  </w:style>
  <w:style w:type="paragraph" w:customStyle="1" w:styleId="Greg-numer3">
    <w:name w:val="Greg - numer 3"/>
    <w:basedOn w:val="Greg-numer2"/>
    <w:link w:val="Greg-numer3Znak"/>
    <w:qFormat/>
    <w:rsid w:val="00C16245"/>
    <w:pPr>
      <w:numPr>
        <w:ilvl w:val="2"/>
      </w:numPr>
      <w:tabs>
        <w:tab w:val="clear" w:pos="851"/>
        <w:tab w:val="left" w:pos="709"/>
      </w:tabs>
      <w:spacing w:before="240"/>
      <w:ind w:left="851" w:hanging="795"/>
      <w:outlineLvl w:val="2"/>
    </w:pPr>
    <w:rPr>
      <w:sz w:val="24"/>
    </w:rPr>
  </w:style>
  <w:style w:type="paragraph" w:customStyle="1" w:styleId="Greg-tekst">
    <w:name w:val="Greg - tekst"/>
    <w:basedOn w:val="Normalny"/>
    <w:qFormat/>
    <w:rsid w:val="00C16245"/>
    <w:pPr>
      <w:ind w:firstLine="567"/>
    </w:pPr>
    <w:rPr>
      <w:rFonts w:ascii="Times New Roman" w:hAnsi="Times New Roman"/>
      <w:sz w:val="24"/>
    </w:rPr>
  </w:style>
  <w:style w:type="paragraph" w:customStyle="1" w:styleId="Greg-wypunkt">
    <w:name w:val="Greg - wypunkt"/>
    <w:basedOn w:val="Akapitzlist"/>
    <w:qFormat/>
    <w:rsid w:val="00C16245"/>
    <w:pPr>
      <w:spacing w:line="264" w:lineRule="auto"/>
      <w:ind w:left="0"/>
    </w:pPr>
    <w:rPr>
      <w:rFonts w:ascii="Times New Roman" w:hAnsi="Times New Roman"/>
      <w:sz w:val="24"/>
      <w:szCs w:val="22"/>
    </w:rPr>
  </w:style>
  <w:style w:type="paragraph" w:customStyle="1" w:styleId="Greg-wypunktkreska">
    <w:name w:val="Greg - wypunkt kreska"/>
    <w:basedOn w:val="Greg-wypunkt"/>
    <w:qFormat/>
    <w:rsid w:val="00C16245"/>
    <w:pPr>
      <w:numPr>
        <w:numId w:val="2"/>
      </w:numPr>
      <w:spacing w:line="240" w:lineRule="auto"/>
      <w:ind w:left="1134" w:hanging="357"/>
    </w:pPr>
  </w:style>
  <w:style w:type="paragraph" w:customStyle="1" w:styleId="Gregwyszczegolnieniepodkres">
    <w:name w:val="Greg wyszczegolnienie podkres"/>
    <w:basedOn w:val="Normalny"/>
    <w:qFormat/>
    <w:rsid w:val="00C16245"/>
    <w:rPr>
      <w:rFonts w:ascii="Times New Roman" w:hAnsi="Times New Roman"/>
      <w:b/>
      <w:sz w:val="24"/>
      <w:u w:val="single"/>
    </w:rPr>
  </w:style>
  <w:style w:type="paragraph" w:customStyle="1" w:styleId="Greg-wypunktlitera">
    <w:name w:val="Greg - wypunkt litera"/>
    <w:basedOn w:val="Greg-tekst"/>
    <w:qFormat/>
    <w:rsid w:val="00C16245"/>
    <w:pPr>
      <w:numPr>
        <w:numId w:val="3"/>
      </w:numPr>
      <w:spacing w:line="300" w:lineRule="auto"/>
    </w:pPr>
  </w:style>
  <w:style w:type="paragraph" w:customStyle="1" w:styleId="Greg-numer4">
    <w:name w:val="Greg - numer 4"/>
    <w:basedOn w:val="Greg-numer3"/>
    <w:link w:val="Greg-numer4Znak"/>
    <w:qFormat/>
    <w:rsid w:val="00C16245"/>
    <w:pPr>
      <w:numPr>
        <w:ilvl w:val="3"/>
      </w:numPr>
    </w:pPr>
  </w:style>
  <w:style w:type="paragraph" w:customStyle="1" w:styleId="Greg-wypunktliterakropka">
    <w:name w:val="Greg - wypunkt litera kropka"/>
    <w:basedOn w:val="Greg-wypunktlitera"/>
    <w:qFormat/>
    <w:rsid w:val="00C16245"/>
    <w:pPr>
      <w:numPr>
        <w:numId w:val="5"/>
      </w:numPr>
      <w:spacing w:line="264" w:lineRule="auto"/>
      <w:ind w:left="1418"/>
    </w:pPr>
  </w:style>
  <w:style w:type="paragraph" w:customStyle="1" w:styleId="12111">
    <w:name w:val="1.2.1.1.1."/>
    <w:basedOn w:val="Nagwek5"/>
    <w:qFormat/>
    <w:rsid w:val="00C16245"/>
    <w:pPr>
      <w:keepLines w:val="0"/>
      <w:numPr>
        <w:ilvl w:val="4"/>
        <w:numId w:val="1"/>
      </w:numPr>
      <w:tabs>
        <w:tab w:val="num" w:pos="360"/>
      </w:tabs>
      <w:spacing w:before="0"/>
      <w:ind w:left="0" w:firstLine="0"/>
    </w:pPr>
    <w:rPr>
      <w:rFonts w:eastAsia="Times New Roman" w:cs="Times New Roman"/>
      <w:b/>
      <w:bCs/>
      <w:sz w:val="24"/>
    </w:rPr>
  </w:style>
  <w:style w:type="character" w:customStyle="1" w:styleId="Greg-numer2Znak">
    <w:name w:val="Greg - numer 2 Znak"/>
    <w:basedOn w:val="Nagwek1Znak"/>
    <w:link w:val="Greg-numer2"/>
    <w:rsid w:val="00C16245"/>
    <w:rPr>
      <w:rFonts w:asciiTheme="majorHAnsi" w:eastAsiaTheme="majorEastAsia" w:hAnsiTheme="majorHAnsi" w:cstheme="majorBidi"/>
      <w:b/>
      <w:bCs/>
      <w:color w:val="2E74B5" w:themeColor="accent1" w:themeShade="BF"/>
      <w:sz w:val="28"/>
      <w:szCs w:val="28"/>
      <w:lang w:val="pl-PL" w:eastAsia="pl-PL"/>
    </w:rPr>
  </w:style>
  <w:style w:type="character" w:customStyle="1" w:styleId="Greg-numer3Znak">
    <w:name w:val="Greg - numer 3 Znak"/>
    <w:basedOn w:val="Greg-numer2Znak"/>
    <w:link w:val="Greg-numer3"/>
    <w:rsid w:val="00C16245"/>
    <w:rPr>
      <w:rFonts w:asciiTheme="majorHAnsi" w:eastAsiaTheme="majorEastAsia" w:hAnsiTheme="majorHAnsi" w:cstheme="majorBidi"/>
      <w:b/>
      <w:bCs/>
      <w:color w:val="2E74B5" w:themeColor="accent1" w:themeShade="BF"/>
      <w:sz w:val="24"/>
      <w:szCs w:val="28"/>
      <w:lang w:val="pl-PL" w:eastAsia="pl-PL"/>
    </w:rPr>
  </w:style>
  <w:style w:type="character" w:customStyle="1" w:styleId="Greg-numer4Znak">
    <w:name w:val="Greg - numer 4 Znak"/>
    <w:basedOn w:val="Greg-numer3Znak"/>
    <w:link w:val="Greg-numer4"/>
    <w:rsid w:val="00C16245"/>
    <w:rPr>
      <w:rFonts w:asciiTheme="majorHAnsi" w:eastAsiaTheme="majorEastAsia" w:hAnsiTheme="majorHAnsi" w:cstheme="majorBidi"/>
      <w:b/>
      <w:bCs/>
      <w:color w:val="2E74B5" w:themeColor="accent1" w:themeShade="BF"/>
      <w:sz w:val="24"/>
      <w:szCs w:val="28"/>
      <w:lang w:val="pl-PL" w:eastAsia="pl-PL"/>
    </w:rPr>
  </w:style>
  <w:style w:type="paragraph" w:customStyle="1" w:styleId="Poziom6">
    <w:name w:val="Poziom 6"/>
    <w:basedOn w:val="12111"/>
    <w:qFormat/>
    <w:rsid w:val="00C16245"/>
    <w:pPr>
      <w:numPr>
        <w:ilvl w:val="5"/>
      </w:numPr>
      <w:tabs>
        <w:tab w:val="num" w:pos="360"/>
      </w:tabs>
      <w:ind w:left="793"/>
    </w:pPr>
  </w:style>
  <w:style w:type="paragraph" w:customStyle="1" w:styleId="Greg-wypunktkreskapodciecie">
    <w:name w:val="Greg - wypunkt kreska podciecie"/>
    <w:basedOn w:val="Greg-wypunktkreska"/>
    <w:qFormat/>
    <w:rsid w:val="00C16245"/>
    <w:pPr>
      <w:numPr>
        <w:ilvl w:val="1"/>
      </w:numPr>
    </w:pPr>
  </w:style>
  <w:style w:type="paragraph" w:customStyle="1" w:styleId="Gregwyszczegolnieniekursywa">
    <w:name w:val="Greg wyszczegolnienie kursywa"/>
    <w:basedOn w:val="Normalny"/>
    <w:qFormat/>
    <w:rsid w:val="00C16245"/>
    <w:pPr>
      <w:ind w:left="567"/>
    </w:pPr>
    <w:rPr>
      <w:rFonts w:ascii="Times New Roman" w:hAnsi="Times New Roman"/>
      <w:b/>
      <w:i/>
      <w:sz w:val="24"/>
    </w:rPr>
  </w:style>
  <w:style w:type="character" w:customStyle="1" w:styleId="Nagwek1Znak">
    <w:name w:val="Nagłówek 1 Znak"/>
    <w:basedOn w:val="Domylnaczcionkaakapitu"/>
    <w:link w:val="Nagwek1"/>
    <w:uiPriority w:val="9"/>
    <w:rsid w:val="00C16245"/>
    <w:rPr>
      <w:rFonts w:asciiTheme="majorHAnsi" w:eastAsiaTheme="majorEastAsia" w:hAnsiTheme="majorHAnsi" w:cstheme="majorBidi"/>
      <w:color w:val="2E74B5" w:themeColor="accent1" w:themeShade="BF"/>
      <w:sz w:val="32"/>
      <w:szCs w:val="32"/>
      <w:lang w:val="pl-PL" w:eastAsia="pl-PL"/>
    </w:rPr>
  </w:style>
  <w:style w:type="character" w:customStyle="1" w:styleId="Nagwek5Znak">
    <w:name w:val="Nagłówek 5 Znak"/>
    <w:basedOn w:val="Domylnaczcionkaakapitu"/>
    <w:link w:val="Nagwek5"/>
    <w:uiPriority w:val="9"/>
    <w:semiHidden/>
    <w:rsid w:val="00C16245"/>
    <w:rPr>
      <w:rFonts w:asciiTheme="majorHAnsi" w:eastAsiaTheme="majorEastAsia" w:hAnsiTheme="majorHAnsi" w:cstheme="majorBidi"/>
      <w:color w:val="2E74B5" w:themeColor="accent1" w:themeShade="BF"/>
      <w:sz w:val="20"/>
      <w:szCs w:val="24"/>
      <w:lang w:val="pl-PL" w:eastAsia="pl-PL"/>
    </w:rPr>
  </w:style>
  <w:style w:type="paragraph" w:styleId="Tekstdymka">
    <w:name w:val="Balloon Text"/>
    <w:basedOn w:val="Normalny"/>
    <w:link w:val="TekstdymkaZnak"/>
    <w:uiPriority w:val="99"/>
    <w:semiHidden/>
    <w:unhideWhenUsed/>
    <w:rsid w:val="00045DF3"/>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5DF3"/>
    <w:rPr>
      <w:rFonts w:ascii="Segoe UI" w:eastAsia="Times New Roman" w:hAnsi="Segoe UI" w:cs="Segoe UI"/>
      <w:sz w:val="18"/>
      <w:szCs w:val="18"/>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1172</Words>
  <Characters>6683</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Bobkowska</dc:creator>
  <cp:keywords/>
  <dc:description/>
  <cp:lastModifiedBy>Sabina Bobkowska</cp:lastModifiedBy>
  <cp:revision>9</cp:revision>
  <cp:lastPrinted>2020-03-09T13:58:00Z</cp:lastPrinted>
  <dcterms:created xsi:type="dcterms:W3CDTF">2020-03-06T10:48:00Z</dcterms:created>
  <dcterms:modified xsi:type="dcterms:W3CDTF">2020-03-09T13:58:00Z</dcterms:modified>
</cp:coreProperties>
</file>