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2640EC7B" w:rsidR="003A20C1" w:rsidRPr="003A20C1" w:rsidRDefault="00D24E44" w:rsidP="00423DA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D</w:t>
            </w:r>
            <w:r w:rsid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ostawa, </w:t>
            </w:r>
            <w:r w:rsidR="00423DA1" w:rsidRP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instalacja i uruchomienie 3 szt. ap</w:t>
            </w:r>
            <w:r w:rsidR="00423DA1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aratów do znieczulenia ogólnego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4D3D85DF" w:rsidR="009B7D3B" w:rsidRPr="009337E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>W kolumnie „Lokalizacja w materiałach firmowych potwierdzenia parametru [</w:t>
      </w:r>
      <w:proofErr w:type="spellStart"/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>str</w:t>
      </w:r>
      <w:proofErr w:type="spellEnd"/>
      <w:r w:rsidRPr="009337E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 xml:space="preserve"> w ofercie, plik]” wykonawca ma obowiązek w tej kolumnie wskazania, gdzie w materiałach firmowych znajduje się parametr zadeklarowany w kolumnie "parametr oferowany".</w:t>
      </w:r>
    </w:p>
    <w:p w14:paraId="177C3B97" w14:textId="77777777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2D2FB3D4" w:rsidR="009B7D3B" w:rsidRPr="00423DA1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</w:t>
      </w:r>
      <w:r w:rsidR="00423DA1" w:rsidRPr="00423DA1">
        <w:rPr>
          <w:rFonts w:ascii="Garamond" w:eastAsia="Lucida Sans Unicode" w:hAnsi="Garamond" w:cs="Times New Roman"/>
          <w:kern w:val="3"/>
          <w:lang w:eastAsia="zh-CN" w:bidi="hi-IN"/>
        </w:rPr>
        <w:t>rok produkcji: 2024</w:t>
      </w: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2B60F05F" w:rsidR="00E42F85" w:rsidRPr="00423DA1" w:rsidRDefault="009B7D3B" w:rsidP="003A20C1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23DA1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40F24082" w14:textId="77777777" w:rsidR="003A20C1" w:rsidRPr="003A20C1" w:rsidRDefault="003A20C1" w:rsidP="00423DA1">
      <w:pPr>
        <w:suppressAutoHyphens/>
        <w:autoSpaceDN w:val="0"/>
        <w:spacing w:after="120" w:line="288" w:lineRule="auto"/>
        <w:ind w:left="720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5F5498CD" w:rsidR="009B7D3B" w:rsidRPr="009B7D3B" w:rsidRDefault="00423DA1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57AFF811" w14:textId="6B2FCDA5" w:rsidR="003A20C1" w:rsidRDefault="009B7D3B" w:rsidP="00535E2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23F12F7A" w14:textId="77777777" w:rsidR="00535E20" w:rsidRPr="00535E20" w:rsidRDefault="00535E20" w:rsidP="00535E2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28B4BFCB" w14:textId="36E536F1" w:rsidR="00423DA1" w:rsidRDefault="00423DA1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2797B2B" w14:textId="77777777" w:rsidR="009337E9" w:rsidRDefault="009337E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4B76D420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2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0"/>
        <w:gridCol w:w="3794"/>
        <w:gridCol w:w="4081"/>
        <w:gridCol w:w="3758"/>
      </w:tblGrid>
      <w:tr w:rsidR="00423DA1" w:rsidRPr="009B7D3B" w14:paraId="0CE0EEBA" w14:textId="77777777" w:rsidTr="007248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54FC9" w14:textId="77777777" w:rsidR="00423DA1" w:rsidRPr="009B7D3B" w:rsidRDefault="00423DA1" w:rsidP="00724803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28905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F44BB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C9174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4C89C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423DA1" w:rsidRPr="009B7D3B" w14:paraId="1618F038" w14:textId="77777777" w:rsidTr="00724803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3182F" w14:textId="77777777" w:rsidR="00423DA1" w:rsidRPr="009B7D3B" w:rsidRDefault="00423DA1" w:rsidP="00724803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388E8" w14:textId="43D5EE72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Aparat do znieczulenia ogólnego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81136" w14:textId="29177E3B" w:rsidR="00423DA1" w:rsidRPr="009B7D3B" w:rsidRDefault="00423DA1" w:rsidP="0072480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1CB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608" w14:textId="77777777" w:rsidR="00423DA1" w:rsidRPr="009B7D3B" w:rsidRDefault="00423DA1" w:rsidP="00724803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D24E44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D24E44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D24E44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D24E44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D24E44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D24E44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D24E44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53297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53297B" w14:paraId="74AA2DB6" w14:textId="77777777" w:rsidTr="00D24E44">
        <w:tc>
          <w:tcPr>
            <w:tcW w:w="709" w:type="dxa"/>
            <w:vAlign w:val="center"/>
            <w:hideMark/>
          </w:tcPr>
          <w:p w14:paraId="143FE51E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hAnsi="Garamond" w:cstheme="minorHAnsi"/>
                <w:b/>
                <w:bCs/>
                <w:kern w:val="2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F80295" w:rsidRPr="009E34EE" w14:paraId="5D7A2FD0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8849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7A5EEBE6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do znieczulania ogólnego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066AEED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86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CED" w14:textId="4F58C73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71D0588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9381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39E263" w14:textId="1BDFED37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jezdny  wyposażony w 4 koła z hamulcem centralnym minimum dwóch kół przednich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789C151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8F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DA8" w14:textId="16E229D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7451FC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A018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6AE035" w14:textId="77777777" w:rsidR="00F80295" w:rsidRPr="00F80295" w:rsidRDefault="00F80295" w:rsidP="00F80295">
            <w:pPr>
              <w:jc w:val="both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Wymiary:</w:t>
            </w:r>
          </w:p>
          <w:p w14:paraId="40C9910D" w14:textId="082854AF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Wysokość max. 149 cm, szerokość max. 95 cm, głębokość max. 82 cm, </w:t>
            </w:r>
            <w:r w:rsidRPr="00F80295">
              <w:rPr>
                <w:rFonts w:ascii="Garamond" w:hAnsi="Garamond" w:cs="Times New Roman"/>
                <w:color w:val="000000" w:themeColor="text1"/>
              </w:rPr>
              <w:t xml:space="preserve">masa  maks. – 161 kg </w:t>
            </w:r>
            <w:r w:rsidRPr="00F80295">
              <w:rPr>
                <w:rFonts w:ascii="Garamond" w:hAnsi="Garamond" w:cs="Times New Roman"/>
              </w:rPr>
              <w:t>( bez parowników i butli)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0E4561C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95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BC8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</w:p>
          <w:p w14:paraId="343A2FB6" w14:textId="0867876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CAE18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0D3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298C3A" w14:textId="06C1AF7E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Indywidualne, automatyczne bezpieczniki wbudowanych  gniazd elektrycznych – minimum 3 gniazda 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4F76360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FA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AD5" w14:textId="0503D92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7EC577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BFF3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7FAD8301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Transformator separacyjny gniazd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3E87AA2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C8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4C9" w14:textId="37CBEAD0" w:rsidR="00057FD5" w:rsidRPr="00F80295" w:rsidRDefault="00057FD5" w:rsidP="00057FD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 xml:space="preserve">tak – </w:t>
            </w:r>
            <w:r w:rsidRPr="00066DE5">
              <w:rPr>
                <w:rFonts w:ascii="Garamond" w:hAnsi="Garamond" w:cs="Times New Roman"/>
                <w:color w:val="000000" w:themeColor="text1"/>
              </w:rPr>
              <w:t>3 pkt</w:t>
            </w:r>
          </w:p>
          <w:p w14:paraId="19CE3C4F" w14:textId="03B65D63" w:rsidR="00F80295" w:rsidRPr="00F80295" w:rsidRDefault="00057FD5" w:rsidP="00057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6759DC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3ABD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43775A" w14:textId="6A33D8D2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Zasilanie awaryjne zapewniające pracę aparatu przy zaniku napięcia sieci elektroenergetycznej przez co najmniej 30 </w:t>
            </w:r>
            <w:r w:rsidRPr="00F80295">
              <w:rPr>
                <w:rFonts w:ascii="Garamond" w:hAnsi="Garamond" w:cs="Times New Roman"/>
              </w:rPr>
              <w:lastRenderedPageBreak/>
              <w:t>min. w warunkach ekstremalnych i co najmniej 90 min. w warunkach standardowych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2857444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A1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342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</w:p>
          <w:p w14:paraId="55ADC544" w14:textId="1A0993C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5CB22C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3314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BF6B4BA" w14:textId="7C7834F4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Zasilanie w gazy (O2, N2O, powietrze) z centralnej sieci szpitalnej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365" w14:textId="2A945CC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9FB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11B" w14:textId="18B89DC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26A98D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2CBB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E22FE" w14:textId="7D8ABB4D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Awaryjne zasilanie gazowe z 10 l butli (O2 i N2O)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940" w14:textId="4E40868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67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AC3" w14:textId="1C752E1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553E00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76A9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5B98B7" w14:textId="56756A9D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Węże wysokociśnieniowe ( O2, N2O, powietrze) kodowane odpowiednimi kolorami o dł. min. 5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A62" w14:textId="7187EF7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DA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3D9" w14:textId="06FA675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71FFBA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732D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4F5A8C88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Elektroniczne przepływomierze tlenu, podtlenku azotu i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8C2" w14:textId="5FCE0BC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B2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DA" w14:textId="7EA6D15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35EF24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5584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60BA0711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Kalibracja przepływomierzy dostosowana do znieczulania                             z niskimi i minimalnymi przepływami gazów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45" w14:textId="5BADF8C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4A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61C" w14:textId="3C2EEAA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CA6FE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2041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6EEDC1A4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Wbudowany przepływomierz tlenu, niezależny od układu okrężnego, z regulowanym przepływem tlenu minimum do 10l/min.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0C6" w14:textId="322AA5C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97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ACD" w14:textId="29262D5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0337A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3919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A633FA" w14:textId="77777777" w:rsidR="00F80295" w:rsidRPr="00F80295" w:rsidRDefault="00F80295" w:rsidP="00F80295">
            <w:pPr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Elektroniczny mieszalnik gazów w 2 aparatach</w:t>
            </w:r>
          </w:p>
          <w:p w14:paraId="1F6508D4" w14:textId="5B24E1B3" w:rsidR="00F80295" w:rsidRPr="00F80295" w:rsidRDefault="00F80295" w:rsidP="00F8029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Pneumatyczny mieszalnik gazów w 1 aparacie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E9F" w14:textId="30F36EB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E8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FFF" w14:textId="05EC12E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E5AA29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A456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C63EF1" w14:textId="5AD18C1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System automatycznego utrzymywania stężenia tlenu                                      w mieszaninie z podtlenkie</w:t>
            </w:r>
            <w:r w:rsidR="001919F9">
              <w:rPr>
                <w:rFonts w:ascii="Garamond" w:hAnsi="Garamond" w:cs="Times New Roman"/>
              </w:rPr>
              <w:t>m azotu na poziomie minimum 25%</w:t>
            </w:r>
            <w:r w:rsidRPr="00F80295">
              <w:rPr>
                <w:rFonts w:ascii="Garamond" w:hAnsi="Garamond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CF3" w14:textId="75FE1A1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9B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6C1" w14:textId="303CBDE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038B19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B501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E7705B" w14:textId="254EFC73" w:rsidR="00F80295" w:rsidRPr="00F80295" w:rsidRDefault="00F80295" w:rsidP="00F80295">
            <w:pPr>
              <w:spacing w:after="160" w:line="288" w:lineRule="auto"/>
              <w:jc w:val="both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Wbudowana regulowana zastawka nadciśnieniowa APL wentylacji ręcznej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CC0" w14:textId="623788F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7A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BC3" w14:textId="078E469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E8998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2520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111A9A" w14:textId="783801E6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Aparat wyposażony w blat do pisania i minimum jedną szufladę na akcesoria, wbudowane oświetlenie LED blatu z regulacją natężenia światła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3CB" w14:textId="17ADC0F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85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1D2" w14:textId="7FD10A5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F8C6C9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70D8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AF28C5" w14:textId="11877FE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F80295">
              <w:rPr>
                <w:rFonts w:ascii="Garamond" w:hAnsi="Garamond" w:cs="Times New Roman"/>
              </w:rPr>
              <w:t xml:space="preserve">Kompatybilność modułów gazowych z posiadanymi przez Zamawiającego aparatami </w:t>
            </w:r>
            <w:proofErr w:type="spellStart"/>
            <w:r w:rsidRPr="00F80295">
              <w:rPr>
                <w:rFonts w:ascii="Garamond" w:hAnsi="Garamond" w:cs="Times New Roman"/>
              </w:rPr>
              <w:t>Carestation</w:t>
            </w:r>
            <w:proofErr w:type="spellEnd"/>
            <w:r w:rsidRPr="00F80295">
              <w:rPr>
                <w:rFonts w:ascii="Garamond" w:hAnsi="Garamond" w:cs="Times New Roman"/>
              </w:rPr>
              <w:t xml:space="preserve"> 750 i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BE7" w14:textId="1643A7E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6F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59C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383CCCE0" w14:textId="091D107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51F4725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A891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ADF" w14:textId="3B0D29BA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  <w:b/>
              </w:rPr>
              <w:t>Układ oddechowy</w:t>
            </w:r>
          </w:p>
        </w:tc>
        <w:tc>
          <w:tcPr>
            <w:tcW w:w="1559" w:type="dxa"/>
          </w:tcPr>
          <w:p w14:paraId="61109FB1" w14:textId="04C26EBF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</w:tcPr>
          <w:p w14:paraId="6E54BF2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43575C9" w14:textId="2ED0365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5C79842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44B8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62498B" w14:textId="665A6D53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Kompaktowy układ oddechowy okrężny do wentylacji</w:t>
            </w:r>
            <w:r w:rsidR="00646F9E">
              <w:rPr>
                <w:rFonts w:ascii="Garamond" w:hAnsi="Garamond"/>
              </w:rPr>
              <w:t xml:space="preserve"> dzieci </w:t>
            </w:r>
            <w:r w:rsidRPr="00F80295">
              <w:rPr>
                <w:rFonts w:ascii="Garamond" w:hAnsi="Garamond"/>
              </w:rPr>
              <w:t xml:space="preserve">i dorosłych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89E" w14:textId="2F627A8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2E69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30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F48" w14:textId="7003F00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F4C649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F440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70958E" w14:textId="3A2885AF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F80295">
              <w:rPr>
                <w:rFonts w:ascii="Garamond" w:hAnsi="Garamond"/>
              </w:rPr>
              <w:t>Układ oddechowy o prostej budowie, do łatwej wymiany                               i s</w:t>
            </w:r>
            <w:r w:rsidR="001919F9">
              <w:rPr>
                <w:rFonts w:ascii="Garamond" w:hAnsi="Garamond"/>
              </w:rPr>
              <w:t>terylizacji, pozbawiony lateksu</w:t>
            </w:r>
            <w:r w:rsidRPr="00F80295">
              <w:rPr>
                <w:rFonts w:ascii="Garamond" w:hAnsi="Garamond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575" w14:textId="46DE9A9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07F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D8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D20" w14:textId="64DDFD6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3F77F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CB98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261609" w14:textId="1048148B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/>
              </w:rPr>
              <w:t>Możliwość podłączenia układów bezzastawkowych bez ing</w:t>
            </w:r>
            <w:r w:rsidR="001919F9">
              <w:rPr>
                <w:rFonts w:ascii="Garamond" w:hAnsi="Garamond"/>
              </w:rPr>
              <w:t>erencji w układ okrężny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E45" w14:textId="60DD098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2CF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0B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2DD" w14:textId="1AC2629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063A9B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A8B6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E4E2F8D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Obejście tlenowe: minimum:  od 35 l/min. do 50 l/min.</w:t>
            </w:r>
          </w:p>
          <w:p w14:paraId="4CF40474" w14:textId="19F1479E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BF8" w14:textId="0882FA2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6ED2B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67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3F3" w14:textId="61A0316A" w:rsidR="00F80295" w:rsidRPr="00F80295" w:rsidRDefault="00057FD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066DE5">
              <w:rPr>
                <w:rFonts w:ascii="Garamond" w:hAnsi="Garamond" w:cs="Times New Roman"/>
                <w:color w:val="000000" w:themeColor="text1"/>
              </w:rPr>
              <w:t xml:space="preserve">największy zakres – 3 pkt, wymagany – 0, </w:t>
            </w:r>
            <w:r w:rsidRPr="00F80295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F80295" w:rsidRPr="009E34EE" w14:paraId="3FA812B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35D9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6D9A6CB" w14:textId="7EE26084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 xml:space="preserve">Pochłaniacz dwutlenku węgla, wielokrotnego użytku, o budowie przeziernej i pojemności maksymalnej  do 1,5 l.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425" w14:textId="4D9DABF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5F69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57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A58" w14:textId="34DB71C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62B435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2813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833407" w14:textId="0B092E86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Możliwość używania zamiennie pochłaniacz</w:t>
            </w:r>
            <w:r w:rsidR="00B104D3">
              <w:rPr>
                <w:rFonts w:ascii="Garamond" w:hAnsi="Garamond" w:cs="Times New Roman"/>
              </w:rPr>
              <w:t>y wielorazowych i jednorazowych</w:t>
            </w:r>
            <w:r w:rsidRPr="00F80295">
              <w:rPr>
                <w:rFonts w:ascii="Garamond" w:hAnsi="Garamond" w:cs="Times New Roman"/>
              </w:rPr>
              <w:t xml:space="preserve">, </w:t>
            </w:r>
            <w:r w:rsidR="004555C1">
              <w:rPr>
                <w:rFonts w:ascii="Garamond" w:hAnsi="Garamond" w:cs="Times New Roman"/>
              </w:rPr>
              <w:t>wymiana bez stosowania narzędzi</w:t>
            </w:r>
            <w:r w:rsidRPr="00F80295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AB7" w14:textId="0359928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68714" w14:textId="77777777" w:rsidR="00F80295" w:rsidRPr="00F80295" w:rsidRDefault="00F80295" w:rsidP="00F8029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9F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D25" w14:textId="1E56379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F800B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30D7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E946AE" w14:textId="2BE9DBBD" w:rsidR="00F80295" w:rsidRPr="00F80295" w:rsidRDefault="00F80295" w:rsidP="00F80295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F80295">
              <w:rPr>
                <w:rFonts w:ascii="Garamond" w:hAnsi="Garamond" w:cs="Times New Roman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BFD" w14:textId="2B8FC1D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0762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E5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8AE" w14:textId="450C443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 xml:space="preserve"> - - -</w:t>
            </w:r>
          </w:p>
        </w:tc>
      </w:tr>
      <w:tr w:rsidR="00F80295" w:rsidRPr="009E34EE" w14:paraId="67CA6CE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FDCE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0A1F6D" w14:textId="02A226DD" w:rsidR="00F80295" w:rsidRPr="00F80295" w:rsidRDefault="00F80295" w:rsidP="00F80295">
            <w:pPr>
              <w:spacing w:line="288" w:lineRule="auto"/>
              <w:jc w:val="both"/>
              <w:rPr>
                <w:rFonts w:ascii="Garamond" w:hAnsi="Garamond"/>
                <w:b/>
              </w:rPr>
            </w:pPr>
            <w:r w:rsidRPr="00F80295">
              <w:rPr>
                <w:rFonts w:ascii="Garamond" w:hAnsi="Garamond" w:cs="Times New Roman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BD5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  <w:p w14:paraId="1B645119" w14:textId="14D7F9A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7DDE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57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D8F" w14:textId="66362FE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711135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1D95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BB3073" w14:textId="2509AFF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</w:rPr>
              <w:t>Ekonomizer znieczulania: funkcja optymalnego doboru przepływu świeżych gazów i</w:t>
            </w:r>
            <w:r w:rsidR="0024186C">
              <w:rPr>
                <w:rFonts w:ascii="Garamond" w:hAnsi="Garamond" w:cs="Times New Roman"/>
              </w:rPr>
              <w:t xml:space="preserve"> oszczędzania środków wziewnych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9D0" w14:textId="6B7DD4C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C8D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45C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30A" w14:textId="5558662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CAF30D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0530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E7D54" w14:textId="212E403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Zapobieganie pows</w:t>
            </w:r>
            <w:r w:rsidR="0024186C">
              <w:rPr>
                <w:rFonts w:ascii="Garamond" w:hAnsi="Garamond"/>
              </w:rPr>
              <w:t xml:space="preserve">tawaniu mieszaniny </w:t>
            </w:r>
            <w:proofErr w:type="spellStart"/>
            <w:r w:rsidR="0024186C">
              <w:rPr>
                <w:rFonts w:ascii="Garamond" w:hAnsi="Garamond"/>
              </w:rPr>
              <w:t>hipoksycznej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90F" w14:textId="3C63AF7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A617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D8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ADB" w14:textId="5750042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768DD21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1ADC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A486EE" w14:textId="1BD1E77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Układ oddechowy kompaktowy pozbawiony lateksu. Nadający s</w:t>
            </w:r>
            <w:r w:rsidR="0024186C">
              <w:rPr>
                <w:rFonts w:ascii="Garamond" w:hAnsi="Garamond"/>
              </w:rPr>
              <w:t>ię do sterylizacji w autoklawie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7EB" w14:textId="38A807D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31BF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A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E2F" w14:textId="2141031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00EA8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7FC7A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4B8" w14:textId="56216B1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Respirator anestetyczny</w:t>
            </w:r>
          </w:p>
        </w:tc>
        <w:tc>
          <w:tcPr>
            <w:tcW w:w="1559" w:type="dxa"/>
          </w:tcPr>
          <w:p w14:paraId="7AC4FCDC" w14:textId="388F877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71D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218D30E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409ADC9F" w14:textId="69673CAC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59458C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380E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542909" w14:textId="4511102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 wentyl</w:t>
            </w:r>
            <w:r w:rsidR="0024186C">
              <w:rPr>
                <w:rFonts w:ascii="Garamond" w:hAnsi="Garamond"/>
              </w:rPr>
              <w:t>acji ciśnieniowo – zmienny (PC)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3F5" w14:textId="7F892C0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15D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31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6C3" w14:textId="4C6BA5B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16EBDB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B417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5FC6DBF" w14:textId="5091BB0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 wentyla</w:t>
            </w:r>
            <w:r w:rsidR="0024186C">
              <w:rPr>
                <w:rFonts w:ascii="Garamond" w:hAnsi="Garamond"/>
              </w:rPr>
              <w:t>cji objętościowo – zmienny (VC)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C3D" w14:textId="0F16BE8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5AE4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7D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014" w14:textId="7697CBE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C3200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3A3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9F1ABB" w14:textId="38766A1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Tryby z gwarantowaną objętością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111" w14:textId="31D0899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9E77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B1B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740" w14:textId="283A1C4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D7E081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1A43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C50A33" w14:textId="4A758FB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przerywana wentylacja wymuszona (SIMV) w trybie objętościowo – zmiennym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B6A" w14:textId="6E7F58D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F6DC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4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BBA" w14:textId="2680258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A9D8F6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5B78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DF3E50" w14:textId="15F4FA2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</w:t>
            </w:r>
            <w:r>
              <w:rPr>
                <w:rFonts w:ascii="Garamond" w:hAnsi="Garamond"/>
              </w:rPr>
              <w:t xml:space="preserve">ana wentylacja wymuszona (SIMV) </w:t>
            </w:r>
            <w:r w:rsidRPr="00F80295">
              <w:rPr>
                <w:rFonts w:ascii="Garamond" w:hAnsi="Garamond"/>
              </w:rPr>
              <w:t>w trybie ciśnieniowo – zmiennym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5B5" w14:textId="427D1D8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E50C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30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73B" w14:textId="54E231D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FD0A66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5D9C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F2F9448" w14:textId="489B30A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Synchronizowana przerywana wentylacja wymuszona (SIMV) w trybie ciśnieniowo zmiennym z gwarantowaną objętością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FD3" w14:textId="574FE6F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C8A4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03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5F3" w14:textId="2F5D1CA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9D4293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287E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220001E" w14:textId="2DD72E02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 xml:space="preserve">Tryb wentylacji wspomaganej ciśnieniem (tzw. </w:t>
            </w:r>
            <w:proofErr w:type="spellStart"/>
            <w:r w:rsidRPr="00F80295">
              <w:rPr>
                <w:rFonts w:ascii="Garamond" w:hAnsi="Garamond"/>
              </w:rPr>
              <w:t>Pressure</w:t>
            </w:r>
            <w:proofErr w:type="spellEnd"/>
            <w:r w:rsidRPr="00F80295">
              <w:rPr>
                <w:rFonts w:ascii="Garamond" w:hAnsi="Garamond"/>
              </w:rPr>
              <w:t xml:space="preserve"> </w:t>
            </w:r>
            <w:proofErr w:type="spellStart"/>
            <w:r w:rsidRPr="00F80295">
              <w:rPr>
                <w:rFonts w:ascii="Garamond" w:hAnsi="Garamond"/>
              </w:rPr>
              <w:t>Support</w:t>
            </w:r>
            <w:proofErr w:type="spellEnd"/>
            <w:r w:rsidRPr="00F80295">
              <w:rPr>
                <w:rFonts w:ascii="Garamond" w:hAnsi="Garamond"/>
              </w:rPr>
              <w:t>) z automatycznym włączeniem wentylacji zapasowej po wystąpien</w:t>
            </w:r>
            <w:r w:rsidR="00D60D9A">
              <w:rPr>
                <w:rFonts w:ascii="Garamond" w:hAnsi="Garamond"/>
              </w:rPr>
              <w:t>iu alarmu bezdechu respiratora</w:t>
            </w:r>
          </w:p>
          <w:p w14:paraId="40B13825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 xml:space="preserve">Lub </w:t>
            </w:r>
          </w:p>
          <w:p w14:paraId="69C3B496" w14:textId="77777777" w:rsidR="00F80295" w:rsidRPr="004F466A" w:rsidRDefault="00F80295" w:rsidP="00F80295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4F466A">
              <w:rPr>
                <w:rFonts w:ascii="Garamond" w:hAnsi="Garamond"/>
                <w:color w:val="000000" w:themeColor="text1"/>
              </w:rPr>
              <w:t>Podanie oddechu wymuszonego nastąpi jeżeli pacjent nie wykona w ciągu 1 minuty ilości oddechów określonych przez parametr RR min ustawiony przez lekarza</w:t>
            </w:r>
          </w:p>
          <w:p w14:paraId="29E3D812" w14:textId="13F3D3D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Czułość wyzwalania przepływowego mieszcząca się w zakresie 0,3-10 l/min.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4C1" w14:textId="0C12571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42E4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B7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A83" w14:textId="36A3D67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0937A9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37A3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F43D3BD" w14:textId="0E2BE739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Tryb wentylacji CPAP+PSV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1FF" w14:textId="272CBF84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B29C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6B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8C9" w14:textId="7ABBF25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E58348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2237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1A71081" w14:textId="7DF9CB1C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Tryb wentylacji ręczny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5E6" w14:textId="15C96E2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09BD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26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200" w14:textId="6B93D9A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8C6B13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38DB5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43DAD2" w14:textId="47DC950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Pauza w przepływie gazów do 1 min. w trybie we</w:t>
            </w:r>
            <w:r w:rsidR="00D60D9A">
              <w:rPr>
                <w:rFonts w:ascii="Garamond" w:hAnsi="Garamond"/>
              </w:rPr>
              <w:t>ntylacji ręcznej i mechanicznej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CF0" w14:textId="4BA72E0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BC41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24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4C7" w14:textId="679DA9F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A88DCB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090D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B080A4" w14:textId="268D75DE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Automatyczna wielostopniowa rekrutacja pęcherzyków płucnych programowana i obrazowana na ekranie respiratora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777" w14:textId="1BEF8E0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50AA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A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CDD" w14:textId="50288E3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6D21CF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F8D3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A39" w14:textId="3EE4AE7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1D" w14:textId="660701C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8852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C75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290" w14:textId="35DCC9C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  <w:bookmarkStart w:id="0" w:name="_GoBack"/>
        <w:bookmarkEnd w:id="0"/>
      </w:tr>
      <w:tr w:rsidR="00F80295" w:rsidRPr="009E34EE" w14:paraId="7F73D34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96A6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05BE" w14:textId="7235828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Przełączanie wentylacji ręcznej na mechaniczną i wentylacji mechanicznej na ręczną przy pomocy dźwigni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9A0" w14:textId="09DD477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565D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72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700" w14:textId="090B729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F558E9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54D1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F6C7" w14:textId="1737632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stosunku wdechu do wydechu: minimum 2:1 ÷ 1:4.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E55" w14:textId="42E351F1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1C0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6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2E9" w14:textId="25CB59A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97174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9A7E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D338" w14:textId="053C147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częstości oddechu w trybie wentylacji ciśnieniowo-zmiennej i objętościowo-zmiennej: minimum 4 ÷ 100 oddechów /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D96" w14:textId="6CEB0D0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A2DB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6E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711" w14:textId="105F849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9F9B6D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04EBA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639" w14:textId="3B6D32A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objętości oddechowej w trybie wentylacji objętościowo-zmiennej: minimum 20 ÷ 1500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DD4" w14:textId="673CD5D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36EA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9A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B90" w14:textId="23E429D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4885E8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7B21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FDD0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Zakres objętości oddechowej w trybie wentylacji ciśnieniowo-zmiennej lub objętościowo zmiennej: minimum 5 ÷ 1500 ml</w:t>
            </w:r>
          </w:p>
          <w:p w14:paraId="3D29C198" w14:textId="77777777" w:rsidR="00F80295" w:rsidRPr="00F80295" w:rsidRDefault="00F80295" w:rsidP="00F80295">
            <w:pPr>
              <w:jc w:val="both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lub</w:t>
            </w:r>
          </w:p>
          <w:p w14:paraId="16B76489" w14:textId="2FCC574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</w:rPr>
              <w:t xml:space="preserve">aparat z regulacją objętości od 10 ml do 1500 ml w </w:t>
            </w:r>
            <w:r>
              <w:rPr>
                <w:rFonts w:ascii="Garamond" w:hAnsi="Garamond" w:cs="Times New Roman"/>
              </w:rPr>
              <w:t xml:space="preserve">trybie VC, </w:t>
            </w:r>
            <w:r w:rsidRPr="00F80295">
              <w:rPr>
                <w:rFonts w:ascii="Garamond" w:hAnsi="Garamond" w:cs="Times New Roman"/>
              </w:rPr>
              <w:t xml:space="preserve">w którym parametrem regulowanym jest </w:t>
            </w:r>
            <w:proofErr w:type="spellStart"/>
            <w:r w:rsidRPr="00F80295">
              <w:rPr>
                <w:rFonts w:ascii="Garamond" w:hAnsi="Garamond" w:cs="Times New Roman"/>
              </w:rPr>
              <w:t>Pinsp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953" w14:textId="1A20832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4888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7A4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664" w14:textId="6C537AA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BB77DD4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98F0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913A" w14:textId="5995479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dodatniego ciśnienia końcowo-wydechowego (PEEP): minimum 4÷25 cm H2O.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2D1" w14:textId="4EE7328F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A401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74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D5E" w14:textId="168B6A3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EE0B3A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F66A3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3B47" w14:textId="7D76D11D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Zakres regulacji Plateau wdechu: minimum 5 ÷ 60 % czasu wdechu.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840" w14:textId="52413F8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F60A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ED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DF9" w14:textId="2C2EA01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E5B04A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B47E0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725" w14:textId="13BF825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Alarmy</w:t>
            </w:r>
          </w:p>
        </w:tc>
        <w:tc>
          <w:tcPr>
            <w:tcW w:w="1559" w:type="dxa"/>
          </w:tcPr>
          <w:p w14:paraId="7533506C" w14:textId="60AC30B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13459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5F62109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5022B3DD" w14:textId="3A4E15E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3DFEA01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BD3E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FCDFE4" w14:textId="34F83F7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niskiej objętości minutowej (MV)  i  objętości oddechowej (TV).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6A7" w14:textId="32A7756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E2E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B4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27E" w14:textId="5D4E9FBE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54886A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408F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196A56" w14:textId="2C531AE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Alarmy TV z regulowanymi progami górnym i dolnym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77A" w14:textId="0B3B284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FCBD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91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5B9" w14:textId="7785971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2873A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DB0E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175ED1" w14:textId="5B014E8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minimalnego i maksymalnego ciśnienia wdechowego.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871" w14:textId="5C2D70E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FA0D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10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544" w14:textId="5651E13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BF34CB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3984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34474C9" w14:textId="55EC54BF" w:rsidR="00F80295" w:rsidRPr="00F80295" w:rsidRDefault="00D60D9A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Alarm </w:t>
            </w:r>
            <w:proofErr w:type="spellStart"/>
            <w:r>
              <w:rPr>
                <w:rFonts w:ascii="Garamond" w:hAnsi="Garamond"/>
              </w:rPr>
              <w:t>Apnea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34D" w14:textId="1C66BD9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FAA5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B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64" w14:textId="2C83F83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8134482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3A86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4FFA91" w14:textId="4B87360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b/>
              </w:rPr>
            </w:pPr>
            <w:r w:rsidRPr="00F80295">
              <w:rPr>
                <w:rFonts w:ascii="Garamond" w:hAnsi="Garamond"/>
              </w:rPr>
              <w:t xml:space="preserve">Alarm braku </w:t>
            </w:r>
            <w:r w:rsidR="00D60D9A">
              <w:rPr>
                <w:rFonts w:ascii="Garamond" w:hAnsi="Garamond"/>
              </w:rPr>
              <w:t>zasilania w energię elektryczną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847" w14:textId="1C35150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803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74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5A7" w14:textId="3B75487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73B9661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519E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6EDF4D" w14:textId="1D6A1F0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Alarm braku zasilania w gazy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B8A" w14:textId="0B34231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3C5D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21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224" w14:textId="6A31CB0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53334D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C7822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76B" w14:textId="1347419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Pomiary i obrazowanie</w:t>
            </w:r>
          </w:p>
        </w:tc>
        <w:tc>
          <w:tcPr>
            <w:tcW w:w="1559" w:type="dxa"/>
          </w:tcPr>
          <w:p w14:paraId="0E9CF043" w14:textId="538E658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9EC6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8AE9F0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1E18B70D" w14:textId="494E152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1424675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D879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D8455D" w14:textId="2FACC4A1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Pomiar stężenia tlenu w gazach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484" w14:textId="12002ED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503F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ED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4C7" w14:textId="2C123D4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1E3E98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7748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0E5713" w14:textId="141B413F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</w:t>
            </w:r>
            <w:r w:rsidR="00724803">
              <w:rPr>
                <w:rFonts w:ascii="Garamond" w:hAnsi="Garamond"/>
              </w:rPr>
              <w:t>omiar objętości oddechowej (TV)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3A7" w14:textId="0AB1F4A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4C24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9B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6EA" w14:textId="6803D0D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1EC02D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52F80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AC18B7" w14:textId="266A55B9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objętości minutowej (MV)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ECE" w14:textId="72B10F8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DC50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53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FD0" w14:textId="0DADA0C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46F3EE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9EDE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2847ED" w14:textId="0EFC3A29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częstości oddechu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1ED" w14:textId="7F584AE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4415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43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09E" w14:textId="793DE03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1D6937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3AC1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EE91E7" w14:textId="015FE7D7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szczytowego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BB1" w14:textId="1FAB357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327CB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66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ADB" w14:textId="062FAD4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B9CFB8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B004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A6AABD" w14:textId="5D2B8676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średniego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3AA" w14:textId="7BDCC2E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0CD3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9E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1F7" w14:textId="5F2F0C16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763C75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32D1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165A26" w14:textId="40F9AA62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Plateau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883" w14:textId="428B0C1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8191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F4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EA5" w14:textId="6B5B6A4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59AD2BB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597CE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8DD88CF" w14:textId="35D4ED0B" w:rsidR="00F80295" w:rsidRPr="00F80295" w:rsidRDefault="00724803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Pomiar ciśnienia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845" w14:textId="7414DC71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3E8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9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D70" w14:textId="5F59CD1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809584C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CC4C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258192" w14:textId="60BFB7E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b/>
              </w:rPr>
            </w:pPr>
            <w:r w:rsidRPr="00F80295">
              <w:rPr>
                <w:rFonts w:ascii="Garamond" w:hAnsi="Garamond"/>
              </w:rPr>
              <w:t>Pomiar stężenia wdechowego i wydechowego tlenu w gazach odd</w:t>
            </w:r>
            <w:r w:rsidR="00724803">
              <w:rPr>
                <w:rFonts w:ascii="Garamond" w:hAnsi="Garamond"/>
              </w:rPr>
              <w:t>echowych metodą paramagnetyczną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D3C" w14:textId="7AC94250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A9F8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C6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4EF" w14:textId="1601E955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63DB3EED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90CE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0FB8B" w14:textId="2DF3DD4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Pomiar stężenia gazów i środków anestetycznych (podtlenku azotu, </w:t>
            </w:r>
            <w:proofErr w:type="spellStart"/>
            <w:r w:rsidRPr="00F80295">
              <w:rPr>
                <w:rFonts w:ascii="Garamond" w:hAnsi="Garamond"/>
              </w:rPr>
              <w:t>sevofluranu</w:t>
            </w:r>
            <w:proofErr w:type="spellEnd"/>
            <w:r w:rsidRPr="00F80295">
              <w:rPr>
                <w:rFonts w:ascii="Garamond" w:hAnsi="Garamond"/>
              </w:rPr>
              <w:t xml:space="preserve">, </w:t>
            </w:r>
            <w:proofErr w:type="spellStart"/>
            <w:r w:rsidRPr="00F80295">
              <w:rPr>
                <w:rFonts w:ascii="Garamond" w:hAnsi="Garamond"/>
              </w:rPr>
              <w:t>desfluranu</w:t>
            </w:r>
            <w:proofErr w:type="spellEnd"/>
            <w:r w:rsidRPr="00F80295">
              <w:rPr>
                <w:rFonts w:ascii="Garamond" w:hAnsi="Garamond"/>
              </w:rPr>
              <w:t xml:space="preserve">, </w:t>
            </w:r>
            <w:proofErr w:type="spellStart"/>
            <w:r w:rsidRPr="00F80295">
              <w:rPr>
                <w:rFonts w:ascii="Garamond" w:hAnsi="Garamond"/>
              </w:rPr>
              <w:t>isofluranu</w:t>
            </w:r>
            <w:proofErr w:type="spellEnd"/>
            <w:r w:rsidRPr="00F80295">
              <w:rPr>
                <w:rFonts w:ascii="Garamond" w:hAnsi="Garamond"/>
              </w:rPr>
              <w:t>) w mie</w:t>
            </w:r>
            <w:r w:rsidR="00724803">
              <w:rPr>
                <w:rFonts w:ascii="Garamond" w:hAnsi="Garamond"/>
              </w:rPr>
              <w:t>szaninie wdechowej i wydechowej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67A" w14:textId="4182D57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CAE2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A0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705" w14:textId="5344541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782C46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CEADA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FAB39E" w14:textId="4F41A99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Automatyczna identyfikacja anestetyku wziewnego i analiza MAC </w:t>
            </w:r>
            <w:r w:rsidR="00724803">
              <w:rPr>
                <w:rFonts w:ascii="Garamond" w:hAnsi="Garamond"/>
              </w:rPr>
              <w:t>z uwzględnieniem wieku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925" w14:textId="6F5009B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F14A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33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D01" w14:textId="6C92142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BF299C3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3DCC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97E48" w14:textId="0F1EDDC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kolorowy LCD, dotykowy, do nastaw i prezentacji p</w:t>
            </w:r>
            <w:r w:rsidR="00724803">
              <w:rPr>
                <w:rFonts w:ascii="Garamond" w:hAnsi="Garamond"/>
              </w:rPr>
              <w:t>arametrów wentylacji i krzywych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EA3" w14:textId="2666A68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7654A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E5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227" w14:textId="4B106037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D169E3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553F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2839E" w14:textId="4E47F48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Przekątna ekranu: minimum 15".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548" w14:textId="397C8AA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30FA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57E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DDA" w14:textId="79DFF79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0648CD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5AEE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2DBE1" w14:textId="202959C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Rozdzielczość: minimum 1024 x 768 pikseli.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764" w14:textId="6D661AE8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19C8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84F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16A" w14:textId="01231A8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2E1226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8EB0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C3983" w14:textId="3ABDD51C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główny respiratora niewbudowany w korpus aparatu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09D" w14:textId="1FA556C3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6A1C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18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371" w14:textId="24FE2FA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8B647B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812C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5839D" w14:textId="46764DEA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Ekran umieszczony na ruchomym wysięgniku z regulacją przesuwu w poziomie i kąta pochylenia.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24D" w14:textId="4397F1B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8DA8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BE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1FF" w14:textId="3720959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5155082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1179D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DE45" w14:textId="78172D0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Możliwość konfigurowania i zapamiętania minimum 3-ech niezależnych stron ekranu respiratora.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6D6" w14:textId="2C272C5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D0B4E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87D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759" w14:textId="75DD4532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214C136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9A71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C032F" w14:textId="44B47A7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wartości numerycznych i krzywej dynamicznej prężności CO2 w strumieniu wdechowym i wydechowym.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24" w14:textId="5ACADEE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BBA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19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6D" w14:textId="33D61C2F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29B491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003A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7F0F6" w14:textId="38040FDD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koncentracji anestetyku wziewnego na wdechu                           i wydechu. Możliwość obrazowania krzywej.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D0E" w14:textId="0EE1747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E7B1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AB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0BF" w14:textId="7A3ECC2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AD1778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EBB4C2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5317" w14:textId="5629FD55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krzywej przepływu w drogach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050" w14:textId="23E87CB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DB76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CB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7B" w14:textId="29058CB1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14CDAE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0C0E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66B0A" w14:textId="54F320B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Prezentacja pętli: ciśnienie / objętość; przepływ / objętość.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CC8" w14:textId="0E3AF21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3DFCF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1F0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E56" w14:textId="0665F529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4CAC9F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54089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C9CB7F" w14:textId="107ADE1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Prezentacja podatności układu oddechowego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298" w14:textId="54A6FB0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48153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828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98D" w14:textId="24F96A9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B51366C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C08A4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F7A6F3C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Możliwość zapisania minimum jednej pętli spirometrycznej                          i jednej pętli wzorcowej</w:t>
            </w:r>
          </w:p>
          <w:p w14:paraId="6709FE80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59146BBF" w14:textId="05756D10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Możliwość zapisania jednej pętli wzorcowej (referencyjnej) oraz jednoczasowej prezentacji na ekranie pięciu kolejnych pętli oddechowych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13" w14:textId="04E5BC42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AC02C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502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C4B" w14:textId="7C73E15A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4E9032E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503DB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F1DBB9" w14:textId="3250FE00" w:rsidR="00F80295" w:rsidRPr="00066DE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color w:val="000000" w:themeColor="text1"/>
              </w:rPr>
            </w:pPr>
            <w:r w:rsidRPr="00066DE5">
              <w:rPr>
                <w:rFonts w:ascii="Garamond" w:hAnsi="Garamond"/>
                <w:color w:val="000000" w:themeColor="text1"/>
              </w:rPr>
              <w:t xml:space="preserve">Prezentacja wartości ciśnienia gazów w instalacji szpitalnej                           i w butlach rezerwowych na ekranie </w:t>
            </w:r>
            <w:r w:rsidR="00057FD5" w:rsidRPr="00066DE5">
              <w:rPr>
                <w:rFonts w:ascii="Garamond" w:hAnsi="Garamond"/>
                <w:color w:val="000000" w:themeColor="text1"/>
              </w:rPr>
              <w:t xml:space="preserve">głównym </w:t>
            </w:r>
            <w:r w:rsidRPr="00066DE5">
              <w:rPr>
                <w:rFonts w:ascii="Garamond" w:hAnsi="Garamond"/>
                <w:color w:val="000000" w:themeColor="text1"/>
              </w:rPr>
              <w:t xml:space="preserve">respiratora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917" w14:textId="0397322B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02BE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605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6EE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3653B8E5" w14:textId="06E9F1D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C1A6EF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C3EFC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A917ED" w14:textId="354AC1E9" w:rsidR="00F80295" w:rsidRPr="00066DE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color w:val="000000" w:themeColor="text1"/>
              </w:rPr>
            </w:pPr>
            <w:r w:rsidRPr="00066DE5">
              <w:rPr>
                <w:rFonts w:ascii="Garamond" w:hAnsi="Garamond"/>
                <w:color w:val="000000" w:themeColor="text1"/>
              </w:rPr>
              <w:t xml:space="preserve">Manometr pomiaru ciśnienia w układzie na ekranie </w:t>
            </w:r>
            <w:r w:rsidR="00057FD5" w:rsidRPr="00066DE5">
              <w:rPr>
                <w:rFonts w:ascii="Garamond" w:hAnsi="Garamond"/>
                <w:color w:val="000000" w:themeColor="text1"/>
              </w:rPr>
              <w:t xml:space="preserve">głównym </w:t>
            </w:r>
            <w:r w:rsidRPr="00066DE5">
              <w:rPr>
                <w:rFonts w:ascii="Garamond" w:hAnsi="Garamond"/>
                <w:color w:val="000000" w:themeColor="text1"/>
              </w:rPr>
              <w:t xml:space="preserve">respiratora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26D" w14:textId="2E3328FD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92356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5583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DE2" w14:textId="77777777" w:rsidR="00F80295" w:rsidRPr="00F80295" w:rsidRDefault="00F80295" w:rsidP="00F80295">
            <w:pPr>
              <w:jc w:val="center"/>
              <w:rPr>
                <w:rFonts w:ascii="Garamond" w:hAnsi="Garamond" w:cs="Times New Roman"/>
              </w:rPr>
            </w:pPr>
            <w:r w:rsidRPr="00F80295">
              <w:rPr>
                <w:rFonts w:ascii="Garamond" w:hAnsi="Garamond" w:cs="Times New Roman"/>
              </w:rPr>
              <w:t>tak – 2 pkt</w:t>
            </w:r>
          </w:p>
          <w:p w14:paraId="4C665011" w14:textId="662B0E5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nie – 0 pkt</w:t>
            </w:r>
          </w:p>
        </w:tc>
      </w:tr>
      <w:tr w:rsidR="00F80295" w:rsidRPr="009E34EE" w14:paraId="019F95E8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DD6A8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FC0BD4E" w14:textId="1CD240EE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Automatyczna kalkulacja parametrów wentylacji po wprowadzeniu masy pacjenta lub masy należnej pacjenta lub wzrostu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C0" w14:textId="4911A0B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0FC0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77A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97E" w14:textId="444F2D13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13A7C8C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C945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9100C8" w14:textId="2C810C44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Uchwyt dla minimum 2-ch parowników.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2A5" w14:textId="6DC068C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8F131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1FB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855" w14:textId="0980F04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0AD3BDD0" w14:textId="77777777" w:rsidTr="0072480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E5FD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7AE9F2E" w14:textId="328F17B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 xml:space="preserve">Możliwość podłączenia parownika do </w:t>
            </w:r>
            <w:proofErr w:type="spellStart"/>
            <w:r w:rsidRPr="00F80295">
              <w:rPr>
                <w:rFonts w:ascii="Garamond" w:hAnsi="Garamond"/>
              </w:rPr>
              <w:t>sevofluranu</w:t>
            </w:r>
            <w:proofErr w:type="spellEnd"/>
            <w:r w:rsidRPr="00F80295">
              <w:rPr>
                <w:rFonts w:ascii="Garamond" w:hAnsi="Garamond"/>
              </w:rPr>
              <w:t xml:space="preserve"> i </w:t>
            </w:r>
            <w:proofErr w:type="spellStart"/>
            <w:r w:rsidRPr="00F80295">
              <w:rPr>
                <w:rFonts w:ascii="Garamond" w:hAnsi="Garamond"/>
              </w:rPr>
              <w:t>desfluranu</w:t>
            </w:r>
            <w:proofErr w:type="spellEnd"/>
            <w:r w:rsidRPr="00F80295">
              <w:rPr>
                <w:rFonts w:ascii="Garamond" w:hAnsi="Garamond"/>
              </w:rPr>
              <w:t>.  Zabezpieczenie przed podaniem dwóch środków wziewnych równocześnie.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1C6" w14:textId="368E3A6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86F82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B5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BD6" w14:textId="0963304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32F39B02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28B87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4AC" w14:textId="3D3ECEE2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Ssak</w:t>
            </w:r>
          </w:p>
        </w:tc>
        <w:tc>
          <w:tcPr>
            <w:tcW w:w="1559" w:type="dxa"/>
          </w:tcPr>
          <w:p w14:paraId="73E19106" w14:textId="00785496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58B8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146160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68C6F00A" w14:textId="3077D6C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031C0FC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ADB5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938074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Aparat wyposażony w wbudowany ssak inżektorowy z regulacją podciśnienia, z pojemnikami 1,0 l do wymiennych wkładów.</w:t>
            </w:r>
          </w:p>
          <w:p w14:paraId="0EB3BF81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2C2D5E37" w14:textId="20C677C8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Aparat ze zintegrowanym fabrycznie ssakiem inżektorowym, z dwoma wielorazowymi butlami o pojemności łącznej 1400 ml, z możliwością stosowania wkładów jednorazowych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401" w14:textId="78EDE4C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BE3E7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114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624" w14:textId="596FB90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486D359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C8C76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C4571E5" w14:textId="2E1A4E0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Wymienne wkłady: minimum 5 szt. (zestaw startowy).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EBE" w14:textId="423078D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0EC9D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8B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AB0" w14:textId="589904E8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732E4D30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3410F" w14:textId="77777777" w:rsidR="00F80295" w:rsidRPr="009E34EE" w:rsidRDefault="00F80295" w:rsidP="00F80295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5BB" w14:textId="015E1D97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 w:cs="Times New Roman"/>
                <w:b/>
              </w:rPr>
              <w:t>System testowania aparatu</w:t>
            </w:r>
          </w:p>
        </w:tc>
        <w:tc>
          <w:tcPr>
            <w:tcW w:w="1559" w:type="dxa"/>
          </w:tcPr>
          <w:p w14:paraId="6779C322" w14:textId="69BB9599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FE52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</w:tcPr>
          <w:p w14:paraId="3F465E3C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</w:tcPr>
          <w:p w14:paraId="0999FA91" w14:textId="2F479F6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F80295" w:rsidRPr="009E34EE" w14:paraId="110D81EF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7A2A1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E484" w14:textId="12A1CD2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Automatyczny lub automatyczny z interakcją z personelem test kontrolny aparatu, sprawdzający jego działanie.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054" w14:textId="6447F37C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B7F15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6ED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B2F" w14:textId="3754C8BB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2BE6CE47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0680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86A6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Dziennik testów kontrolnych prezentowany na ekranie aparatu</w:t>
            </w:r>
          </w:p>
          <w:p w14:paraId="4B2B6A8B" w14:textId="77777777" w:rsidR="00F80295" w:rsidRPr="00F80295" w:rsidRDefault="00F80295" w:rsidP="00F80295">
            <w:pPr>
              <w:jc w:val="both"/>
              <w:rPr>
                <w:rFonts w:ascii="Garamond" w:hAnsi="Garamond"/>
              </w:rPr>
            </w:pPr>
            <w:r w:rsidRPr="00F80295">
              <w:rPr>
                <w:rFonts w:ascii="Garamond" w:hAnsi="Garamond"/>
              </w:rPr>
              <w:t>lub</w:t>
            </w:r>
          </w:p>
          <w:p w14:paraId="07A4CB1D" w14:textId="5BA320F9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Aparat z prezentacją wyników ostatniego testu na ekranie aparatu   z możliwością eksportu wyników każdego z testów do pamięci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BD6" w14:textId="1C34DF6E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8ADD8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F237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B0A" w14:textId="336C32D0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DA11705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E46E7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2C2D8" w14:textId="58E623B6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Menu w języku polskim.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16A" w14:textId="0FF4E845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C6B24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9E6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647" w14:textId="417F48CD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  <w:tr w:rsidR="00F80295" w:rsidRPr="009E34EE" w14:paraId="42012FEA" w14:textId="77777777" w:rsidTr="0072480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5D56F" w14:textId="77777777" w:rsidR="00F80295" w:rsidRPr="009E34EE" w:rsidRDefault="00F80295" w:rsidP="00F8029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9D287" w14:textId="4B18C0FB" w:rsidR="00F80295" w:rsidRPr="00F80295" w:rsidRDefault="00F80295" w:rsidP="00F8029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</w:rPr>
            </w:pPr>
            <w:r w:rsidRPr="00F80295">
              <w:rPr>
                <w:rFonts w:ascii="Garamond" w:hAnsi="Garamond"/>
              </w:rPr>
              <w:t>Niezbędne elementy w tym uchwyt do montażu posiadanych przez Zamawiającego kardiomonitorów Philips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84B" w14:textId="0FB0353A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F80295">
              <w:rPr>
                <w:rFonts w:ascii="Garamond" w:hAnsi="Garamond" w:cs="Times New Roma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27860" w14:textId="77777777" w:rsidR="00F80295" w:rsidRPr="00F80295" w:rsidRDefault="00F80295" w:rsidP="00F8029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0A1" w14:textId="77777777" w:rsidR="00F80295" w:rsidRPr="00F80295" w:rsidRDefault="00F80295" w:rsidP="00F8029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DBC" w14:textId="75F6B5F4" w:rsidR="00F80295" w:rsidRPr="00F80295" w:rsidRDefault="00F80295" w:rsidP="00F8029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F80295">
              <w:rPr>
                <w:rFonts w:ascii="Garamond" w:hAnsi="Garamond" w:cs="Times New Roman"/>
              </w:rPr>
              <w:t>- - -</w:t>
            </w:r>
          </w:p>
        </w:tc>
      </w:tr>
    </w:tbl>
    <w:p w14:paraId="7F67EFF0" w14:textId="0A04F13D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3BFE0A3" w14:textId="77777777" w:rsidR="004C1369" w:rsidRDefault="004C1369">
      <w: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D24E44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15FE9C53" w:rsidR="009B7D3B" w:rsidRPr="0053297B" w:rsidRDefault="009B7D3B" w:rsidP="00D24E4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53297B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D24E44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53297B" w:rsidRDefault="009B7D3B" w:rsidP="00D24E44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53297B" w:rsidRDefault="009B7D3B" w:rsidP="00D24E44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53297B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F15ED0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6CA70AA7" w:rsidR="00F15ED0" w:rsidRPr="00A14857" w:rsidRDefault="00F15ED0" w:rsidP="00F15ED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14857">
              <w:rPr>
                <w:rFonts w:ascii="Garamond" w:eastAsia="Times New Roman" w:hAnsi="Garamond"/>
                <w:b/>
                <w:bCs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F15ED0" w:rsidRPr="00A14857" w:rsidRDefault="00F15ED0" w:rsidP="00F15ED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A14857" w:rsidRPr="009B7D3B" w14:paraId="24324BEA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3AA9" w14:textId="77777777" w:rsidR="00A14857" w:rsidRPr="00A14857" w:rsidRDefault="00A14857" w:rsidP="00A14857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A14857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A14857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14:paraId="7FFF63D8" w14:textId="79A3272E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będzie 5 lat.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959" w14:textId="0322FBFD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BBC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4B1" w14:textId="77777777" w:rsidR="00C74783" w:rsidRDefault="00C74783" w:rsidP="00A14857">
            <w:pPr>
              <w:spacing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najdłuższy okres – 5 pkt,</w:t>
            </w:r>
            <w:r w:rsidR="00A14857" w:rsidRPr="004F466A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</w:t>
            </w:r>
          </w:p>
          <w:p w14:paraId="27B34A33" w14:textId="0D9DB717" w:rsidR="00A14857" w:rsidRPr="00A14857" w:rsidRDefault="00A14857" w:rsidP="00A14857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F466A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inne </w:t>
            </w:r>
            <w:r w:rsidRPr="00A1485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proporcjonalnie mniej, względem najdłuższego okresu</w:t>
            </w:r>
          </w:p>
        </w:tc>
      </w:tr>
      <w:tr w:rsidR="00A14857" w:rsidRPr="009B7D3B" w14:paraId="5ABFE755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088" w14:textId="0B8AA68F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Gwarancja dostępności części zamiennych [liczba lat] – min. 8 lat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0615" w14:textId="61248634" w:rsidR="00A14857" w:rsidRPr="00A14857" w:rsidRDefault="00A14857" w:rsidP="00A14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1B4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2F4" w14:textId="7777777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9ADA93" w14:textId="38A44138" w:rsidR="00A14857" w:rsidRPr="00A14857" w:rsidRDefault="00A14857" w:rsidP="00A14857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A14857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75F4B67F" w:rsidR="00A14857" w:rsidRPr="00A14857" w:rsidRDefault="00A14857" w:rsidP="00A14857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A14857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A14857" w:rsidRPr="009B7D3B" w14:paraId="7C418AA8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7B4" w14:textId="239E0877" w:rsidR="00A14857" w:rsidRPr="00A14857" w:rsidRDefault="00A14857" w:rsidP="00A14857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AC" w14:textId="00B781F2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1EF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3AF" w14:textId="77777777" w:rsidR="00A14857" w:rsidRPr="00A14857" w:rsidRDefault="00A14857" w:rsidP="00A14857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 – 5 pkt</w:t>
            </w:r>
          </w:p>
          <w:p w14:paraId="745BAE7B" w14:textId="075FCED8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A14857" w:rsidRPr="009B7D3B" w14:paraId="3E185DD6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452" w14:textId="018EF147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>Czas na naprawę usterki – do 5 dni, a w przypadku potrzeby sprowadzenia części zamiennych do - 10 dni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EE8" w14:textId="63CAE07C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67D7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675E" w14:textId="7912D344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2CA9E0B2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E5D" w14:textId="623FE012" w:rsidR="00A14857" w:rsidRPr="00A14857" w:rsidRDefault="00A14857" w:rsidP="00A14857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 xml:space="preserve">W ramach ceny: przeglądy w okresie gwarancji (zgodnie z wymogami producenta)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923F" w14:textId="478402DB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podać ilość wszystkich przeglądów w okresie gwarancji lub brak wymogu producenta wykonywania przeglądów </w:t>
            </w: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lastRenderedPageBreak/>
              <w:t>(obowiązek dokonania wpisu                     w paszporcie)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5A46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BC0" w14:textId="2E6E701D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58A9814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E" w14:textId="795FECE0" w:rsidR="00A14857" w:rsidRPr="00A14857" w:rsidRDefault="00A14857" w:rsidP="00A14857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>Ilość przeglądów okresowych koniecznych do wykonywania po upływie okresu gwarancyjnego w celu zapewnienia sprawnej pracy aparatów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14857">
              <w:rPr>
                <w:rFonts w:ascii="Garamond" w:hAnsi="Garamond"/>
                <w:sz w:val="22"/>
                <w:szCs w:val="22"/>
              </w:rPr>
              <w:t>(w okresie 1 roku)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2BA5" w14:textId="09CD9E54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3CD1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2300" w14:textId="303FB39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w roku, lub brak wymogu producenta wykonywania przeglądów (obowiązek dokonania wpisu w paszporcie)  – 5 pkt,  więcej niż 1– 0 pkt</w:t>
            </w:r>
          </w:p>
        </w:tc>
      </w:tr>
      <w:tr w:rsidR="00A14857" w:rsidRPr="009B7D3B" w14:paraId="30340D52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76D" w14:textId="362D901B" w:rsidR="00A14857" w:rsidRPr="00A14857" w:rsidRDefault="00A14857" w:rsidP="00A14857">
            <w:pPr>
              <w:pStyle w:val="Lista-kontynuacja24"/>
              <w:tabs>
                <w:tab w:val="left" w:pos="1260"/>
              </w:tabs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14857">
              <w:rPr>
                <w:rFonts w:ascii="Garamond" w:hAnsi="Garamond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DB3" w14:textId="0CFE3128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F259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FD67" w14:textId="0EB07ABD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7715848A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D099" w14:textId="47123490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</w:rPr>
              <w:t xml:space="preserve">Aparaty są lub będą pozbawione, po zakończeniu gwarancji, wszelkich blokad, kodów serwisowych, itp. które po upływie gwarancji utrudniałyby właścicielowi dostęp do opcji serwisowych lub naprawę aparatu przez inny niż Wykonawca </w:t>
            </w:r>
            <w:r>
              <w:rPr>
                <w:rFonts w:ascii="Garamond" w:hAnsi="Garamond" w:cs="Times New Roman"/>
              </w:rPr>
              <w:t xml:space="preserve">podmiot </w:t>
            </w:r>
            <w:r w:rsidRPr="00A14857">
              <w:rPr>
                <w:rFonts w:ascii="Garamond" w:hAnsi="Garamond" w:cs="Times New Roman"/>
              </w:rPr>
              <w:t>w przypadku nie korzystania przez Zamawiającego                                                       z serwisu pogwarancyjnego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2ED" w14:textId="6AFD2BAD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23AA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B3B" w14:textId="0D816B16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14857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0331E6AE" w:rsidR="00A14857" w:rsidRPr="00A14857" w:rsidRDefault="00A14857" w:rsidP="00A14857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A14857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A14857" w:rsidRPr="00A14857" w:rsidRDefault="00A14857" w:rsidP="00A1485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A14857" w:rsidRPr="009B7D3B" w14:paraId="31234CA4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7F8A" w14:textId="700F5598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F466A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Szkolenie dla personelu medycznego i technicznego. Dodatkowe </w:t>
            </w:r>
            <w:r w:rsidRPr="00A14857">
              <w:rPr>
                <w:rFonts w:ascii="Garamond" w:eastAsia="Calibri" w:hAnsi="Garamond" w:cs="Times New Roman"/>
                <w:lang w:eastAsia="ar-SA"/>
              </w:rPr>
              <w:t>szkolenie dla personelu medycznego w przypadku wyrażenia takiej potrzeby przez personel medyczny i techniczny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A0A" w14:textId="4E6FC6FD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415C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417" w14:textId="3131B772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A14857" w:rsidRPr="00A14857" w:rsidRDefault="00A14857" w:rsidP="00A14857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4C8920F7" w:rsidR="00A14857" w:rsidRPr="00A14857" w:rsidRDefault="00A14857" w:rsidP="00A14857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A14857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A14857" w:rsidRPr="009B7D3B" w14:paraId="1E33AB7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40" w14:textId="69D51ADD" w:rsidR="00A14857" w:rsidRPr="00A14857" w:rsidRDefault="00A14857" w:rsidP="00A14857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Instrukcje obsługi w języku polskim i angielskim w formie elektronicznej i drukowanej (przekazane w momencie dostawy dla każdego egzemplarza.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485" w14:textId="2F747909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4D18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F0D" w14:textId="22542590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14857" w:rsidRPr="009B7D3B" w14:paraId="21DEE4D1" w14:textId="77777777" w:rsidTr="007248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A14857" w:rsidRPr="00A14857" w:rsidRDefault="00A14857" w:rsidP="00A14857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4F3" w14:textId="1131D03E" w:rsidR="00A14857" w:rsidRPr="00A14857" w:rsidRDefault="00A14857" w:rsidP="00A14857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 xml:space="preserve">Z aparatami wykonawca dostarczy paszporty techniczny zawierający co najmniej takie dane jak: nazwa, typ (model), producent, rok produkcji, numer seryjny (fabryczny),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EE44" w14:textId="3F0EA693" w:rsidR="00A14857" w:rsidRPr="00A14857" w:rsidRDefault="00A14857" w:rsidP="00A14857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4DF7" w14:textId="77777777" w:rsidR="00A14857" w:rsidRPr="00A14857" w:rsidRDefault="00A14857" w:rsidP="00A14857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DD77" w14:textId="30193D41" w:rsidR="00A14857" w:rsidRPr="00A14857" w:rsidRDefault="00A14857" w:rsidP="00A14857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A1485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028C8FCD" w14:textId="77777777" w:rsidR="00122A30" w:rsidRPr="009B7D3B" w:rsidRDefault="00122A30" w:rsidP="00413432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9B47" w14:textId="77777777" w:rsidR="007A2223" w:rsidRDefault="007A2223" w:rsidP="005A1349">
      <w:pPr>
        <w:spacing w:after="0" w:line="240" w:lineRule="auto"/>
      </w:pPr>
      <w:r>
        <w:separator/>
      </w:r>
    </w:p>
  </w:endnote>
  <w:endnote w:type="continuationSeparator" w:id="0">
    <w:p w14:paraId="2A226D5F" w14:textId="77777777" w:rsidR="007A2223" w:rsidRDefault="007A2223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B063CA" w:rsidRDefault="00B063CA" w:rsidP="00FF093E">
    <w:pPr>
      <w:pStyle w:val="Stopka"/>
    </w:pPr>
  </w:p>
  <w:p w14:paraId="28E4ABC1" w14:textId="77777777" w:rsidR="00B063CA" w:rsidRPr="00607357" w:rsidRDefault="00B063CA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B063CA" w:rsidRDefault="00B0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3BB8" w14:textId="77777777" w:rsidR="007A2223" w:rsidRDefault="007A2223" w:rsidP="005A1349">
      <w:pPr>
        <w:spacing w:after="0" w:line="240" w:lineRule="auto"/>
      </w:pPr>
      <w:r>
        <w:separator/>
      </w:r>
    </w:p>
  </w:footnote>
  <w:footnote w:type="continuationSeparator" w:id="0">
    <w:p w14:paraId="5652C8F9" w14:textId="77777777" w:rsidR="007A2223" w:rsidRDefault="007A2223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160CB6A6" w:rsidR="00B063CA" w:rsidRPr="00423DA1" w:rsidRDefault="00B063CA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DFP.271.129</w:t>
    </w:r>
    <w:r w:rsidRPr="00423DA1">
      <w:rPr>
        <w:rFonts w:ascii="Garamond" w:hAnsi="Garamond"/>
      </w:rPr>
      <w:t>.2024.ADB</w:t>
    </w:r>
  </w:p>
  <w:p w14:paraId="69CAF10D" w14:textId="77777777" w:rsidR="00B063CA" w:rsidRPr="005F5CF1" w:rsidRDefault="00B063CA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B063CA" w:rsidRDefault="00B063CA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D64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57FD5"/>
    <w:rsid w:val="000619FE"/>
    <w:rsid w:val="00063B1F"/>
    <w:rsid w:val="00063D27"/>
    <w:rsid w:val="00065549"/>
    <w:rsid w:val="00066DE5"/>
    <w:rsid w:val="00067F30"/>
    <w:rsid w:val="00074409"/>
    <w:rsid w:val="00074641"/>
    <w:rsid w:val="00074766"/>
    <w:rsid w:val="0007488A"/>
    <w:rsid w:val="000778B2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1DE3"/>
    <w:rsid w:val="0011241D"/>
    <w:rsid w:val="00115B52"/>
    <w:rsid w:val="00117092"/>
    <w:rsid w:val="00117448"/>
    <w:rsid w:val="00117548"/>
    <w:rsid w:val="0012100F"/>
    <w:rsid w:val="00122A30"/>
    <w:rsid w:val="00122AA8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62A9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19F9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186C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038F"/>
    <w:rsid w:val="00273071"/>
    <w:rsid w:val="002741FC"/>
    <w:rsid w:val="002829AA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992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6F61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071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6834"/>
    <w:rsid w:val="003679A3"/>
    <w:rsid w:val="00367C8D"/>
    <w:rsid w:val="00370BBE"/>
    <w:rsid w:val="00372562"/>
    <w:rsid w:val="00374F18"/>
    <w:rsid w:val="003772D8"/>
    <w:rsid w:val="003777F5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0C1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7F6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432"/>
    <w:rsid w:val="004136B8"/>
    <w:rsid w:val="00416AB8"/>
    <w:rsid w:val="004179D3"/>
    <w:rsid w:val="0042126D"/>
    <w:rsid w:val="00421710"/>
    <w:rsid w:val="00421D7C"/>
    <w:rsid w:val="00422228"/>
    <w:rsid w:val="00422BC1"/>
    <w:rsid w:val="00423DA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5C1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4ACC"/>
    <w:rsid w:val="004B565D"/>
    <w:rsid w:val="004C1369"/>
    <w:rsid w:val="004C2109"/>
    <w:rsid w:val="004C3EA2"/>
    <w:rsid w:val="004C6CE4"/>
    <w:rsid w:val="004C7601"/>
    <w:rsid w:val="004C7C0E"/>
    <w:rsid w:val="004D0C94"/>
    <w:rsid w:val="004D4237"/>
    <w:rsid w:val="004D7036"/>
    <w:rsid w:val="004E2326"/>
    <w:rsid w:val="004E2C26"/>
    <w:rsid w:val="004E719D"/>
    <w:rsid w:val="004F018E"/>
    <w:rsid w:val="004F0263"/>
    <w:rsid w:val="004F094D"/>
    <w:rsid w:val="004F466A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297B"/>
    <w:rsid w:val="00533315"/>
    <w:rsid w:val="005345AE"/>
    <w:rsid w:val="00535460"/>
    <w:rsid w:val="00535E20"/>
    <w:rsid w:val="0054035E"/>
    <w:rsid w:val="00540D5C"/>
    <w:rsid w:val="0054135E"/>
    <w:rsid w:val="00541D78"/>
    <w:rsid w:val="005420FB"/>
    <w:rsid w:val="00547BD2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1A54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9E"/>
    <w:rsid w:val="00646FA9"/>
    <w:rsid w:val="00650B3C"/>
    <w:rsid w:val="00652A47"/>
    <w:rsid w:val="00654620"/>
    <w:rsid w:val="00654E28"/>
    <w:rsid w:val="00656058"/>
    <w:rsid w:val="00656FA6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16FA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0997"/>
    <w:rsid w:val="007216A3"/>
    <w:rsid w:val="00722AB5"/>
    <w:rsid w:val="00724803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92387"/>
    <w:rsid w:val="007956AD"/>
    <w:rsid w:val="007A0503"/>
    <w:rsid w:val="007A2223"/>
    <w:rsid w:val="007A2B96"/>
    <w:rsid w:val="007A3EC7"/>
    <w:rsid w:val="007A44A2"/>
    <w:rsid w:val="007A5439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36BF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26C4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0BB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37E9"/>
    <w:rsid w:val="0093477C"/>
    <w:rsid w:val="00936541"/>
    <w:rsid w:val="009420D5"/>
    <w:rsid w:val="00945AE8"/>
    <w:rsid w:val="00945D65"/>
    <w:rsid w:val="00951933"/>
    <w:rsid w:val="00951EAD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6723"/>
    <w:rsid w:val="009B7D3B"/>
    <w:rsid w:val="009B7F88"/>
    <w:rsid w:val="009C24C1"/>
    <w:rsid w:val="009C316A"/>
    <w:rsid w:val="009C3C74"/>
    <w:rsid w:val="009C6034"/>
    <w:rsid w:val="009C7375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591"/>
    <w:rsid w:val="00A12F09"/>
    <w:rsid w:val="00A14857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465AA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933E0"/>
    <w:rsid w:val="00A974AB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4464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63CA"/>
    <w:rsid w:val="00B076A9"/>
    <w:rsid w:val="00B104D3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1F34"/>
    <w:rsid w:val="00B72C77"/>
    <w:rsid w:val="00B7484C"/>
    <w:rsid w:val="00B75837"/>
    <w:rsid w:val="00B75C0D"/>
    <w:rsid w:val="00B83466"/>
    <w:rsid w:val="00B83A1E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4B3"/>
    <w:rsid w:val="00BB7563"/>
    <w:rsid w:val="00BC4181"/>
    <w:rsid w:val="00BC60F6"/>
    <w:rsid w:val="00BC6A34"/>
    <w:rsid w:val="00BD02D3"/>
    <w:rsid w:val="00BD102E"/>
    <w:rsid w:val="00BD2F62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74783"/>
    <w:rsid w:val="00C8075D"/>
    <w:rsid w:val="00C80C96"/>
    <w:rsid w:val="00C80F8C"/>
    <w:rsid w:val="00C81D29"/>
    <w:rsid w:val="00C83AA6"/>
    <w:rsid w:val="00C86641"/>
    <w:rsid w:val="00C90804"/>
    <w:rsid w:val="00C90E47"/>
    <w:rsid w:val="00C91CDC"/>
    <w:rsid w:val="00C93B26"/>
    <w:rsid w:val="00C94565"/>
    <w:rsid w:val="00C948C8"/>
    <w:rsid w:val="00C94BE5"/>
    <w:rsid w:val="00CA1D1B"/>
    <w:rsid w:val="00CA1E07"/>
    <w:rsid w:val="00CA3A39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615"/>
    <w:rsid w:val="00D04772"/>
    <w:rsid w:val="00D04A74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4E44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0D9A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5042"/>
    <w:rsid w:val="00DF6A92"/>
    <w:rsid w:val="00DF6CAC"/>
    <w:rsid w:val="00DF7BB5"/>
    <w:rsid w:val="00DF7DE7"/>
    <w:rsid w:val="00E0097B"/>
    <w:rsid w:val="00E03DC9"/>
    <w:rsid w:val="00E04547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0BA"/>
    <w:rsid w:val="00E42C5F"/>
    <w:rsid w:val="00E42F85"/>
    <w:rsid w:val="00E442A1"/>
    <w:rsid w:val="00E455F5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2A7D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4C39"/>
    <w:rsid w:val="00EA5043"/>
    <w:rsid w:val="00EA7C0B"/>
    <w:rsid w:val="00EB0026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B15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0610"/>
    <w:rsid w:val="00F11A74"/>
    <w:rsid w:val="00F12875"/>
    <w:rsid w:val="00F1371C"/>
    <w:rsid w:val="00F13825"/>
    <w:rsid w:val="00F15CCC"/>
    <w:rsid w:val="00F15ED0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03BD"/>
    <w:rsid w:val="00F62C40"/>
    <w:rsid w:val="00F639DF"/>
    <w:rsid w:val="00F6511A"/>
    <w:rsid w:val="00F67B49"/>
    <w:rsid w:val="00F70AAE"/>
    <w:rsid w:val="00F73EE1"/>
    <w:rsid w:val="00F741D4"/>
    <w:rsid w:val="00F75000"/>
    <w:rsid w:val="00F80295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076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0CEA-B80F-4E91-899A-C9865412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63</cp:revision>
  <cp:lastPrinted>2023-02-01T10:58:00Z</cp:lastPrinted>
  <dcterms:created xsi:type="dcterms:W3CDTF">2024-03-05T12:27:00Z</dcterms:created>
  <dcterms:modified xsi:type="dcterms:W3CDTF">2024-07-30T08:37:00Z</dcterms:modified>
</cp:coreProperties>
</file>