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Parametr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Wymagania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Procesor: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 w:rsidRPr="00655315">
              <w:rPr>
                <w:rFonts w:eastAsia="Calibri"/>
                <w:sz w:val="22"/>
                <w:szCs w:val="22"/>
              </w:rPr>
              <w:t xml:space="preserve">Zaoferowany procesor od dnia publikacji ogłoszenia do dnia otwarcia ofert musi uzyskać w teście </w:t>
            </w:r>
            <w:proofErr w:type="spellStart"/>
            <w:r w:rsidRPr="00655315">
              <w:rPr>
                <w:rFonts w:eastAsia="Calibri"/>
                <w:sz w:val="22"/>
                <w:szCs w:val="22"/>
              </w:rPr>
              <w:t>PassMark</w:t>
            </w:r>
            <w:proofErr w:type="spellEnd"/>
            <w:r w:rsidRPr="0065531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55315">
              <w:rPr>
                <w:rFonts w:eastAsia="Calibri"/>
                <w:sz w:val="22"/>
                <w:szCs w:val="22"/>
              </w:rPr>
              <w:t>Average</w:t>
            </w:r>
            <w:proofErr w:type="spellEnd"/>
            <w:r w:rsidRPr="00655315">
              <w:rPr>
                <w:rFonts w:eastAsia="Calibri"/>
                <w:sz w:val="22"/>
                <w:szCs w:val="22"/>
              </w:rPr>
              <w:t xml:space="preserve"> CPU Mark wynik </w:t>
            </w:r>
            <w:r>
              <w:rPr>
                <w:rFonts w:eastAsia="Calibri"/>
                <w:sz w:val="22"/>
                <w:szCs w:val="22"/>
              </w:rPr>
              <w:t>19500</w:t>
            </w:r>
            <w:r w:rsidRPr="00655315">
              <w:rPr>
                <w:rFonts w:eastAsia="Calibri"/>
                <w:sz w:val="22"/>
                <w:szCs w:val="22"/>
              </w:rPr>
              <w:t xml:space="preserve"> punktów, wynik zaproponowanego procesora musi znajdować się na stronie http://www.cpubenchmark.net. (należy dołączyć wydruk do oferty).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Pamięć operacyjna: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 </w:t>
            </w:r>
            <w:r w:rsidRPr="00655315">
              <w:rPr>
                <w:rFonts w:eastAsia="Calibri"/>
                <w:sz w:val="22"/>
                <w:szCs w:val="22"/>
              </w:rPr>
              <w:t>GB RAM</w:t>
            </w:r>
            <w:r>
              <w:rPr>
                <w:rFonts w:eastAsia="Calibri"/>
                <w:sz w:val="22"/>
                <w:szCs w:val="22"/>
              </w:rPr>
              <w:t xml:space="preserve"> DDR4 3200MHz z możliwością rozbudowy do 32 GB</w:t>
            </w:r>
          </w:p>
        </w:tc>
      </w:tr>
      <w:tr w:rsidR="00444FDA" w:rsidRPr="002A5C43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Dysk twardy:</w:t>
            </w:r>
          </w:p>
        </w:tc>
        <w:tc>
          <w:tcPr>
            <w:tcW w:w="5948" w:type="dxa"/>
            <w:shd w:val="clear" w:color="auto" w:fill="auto"/>
          </w:tcPr>
          <w:p w:rsidR="00444FDA" w:rsidRPr="002A5C43" w:rsidRDefault="00444FDA" w:rsidP="00BD5B8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2A5C43">
              <w:rPr>
                <w:rFonts w:eastAsia="Calibri"/>
                <w:sz w:val="22"/>
                <w:szCs w:val="22"/>
                <w:lang w:val="en-GB"/>
              </w:rPr>
              <w:t xml:space="preserve">1x </w:t>
            </w: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  <w:r w:rsidRPr="002A5C43">
              <w:rPr>
                <w:rFonts w:eastAsia="Calibri"/>
                <w:sz w:val="22"/>
                <w:szCs w:val="22"/>
                <w:lang w:val="en-GB"/>
              </w:rPr>
              <w:t xml:space="preserve">TB SSD 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SATA III o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parametrach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nie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niższych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niż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: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odczyt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400 MB/s I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zapisu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377 MB/s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Karta graficzna:</w:t>
            </w:r>
          </w:p>
        </w:tc>
        <w:tc>
          <w:tcPr>
            <w:tcW w:w="5948" w:type="dxa"/>
            <w:shd w:val="clear" w:color="auto" w:fill="auto"/>
          </w:tcPr>
          <w:p w:rsidR="005A1BB4" w:rsidRPr="005A1BB4" w:rsidRDefault="005A1BB4" w:rsidP="005A1BB4">
            <w:pPr>
              <w:rPr>
                <w:rFonts w:eastAsia="Calibri"/>
                <w:sz w:val="22"/>
                <w:szCs w:val="22"/>
              </w:rPr>
            </w:pPr>
            <w:r w:rsidRPr="005A1BB4">
              <w:rPr>
                <w:rFonts w:eastAsia="Calibri"/>
                <w:sz w:val="22"/>
                <w:szCs w:val="22"/>
              </w:rPr>
              <w:t>Rodzaj pamięci: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A1BB4">
              <w:rPr>
                <w:rFonts w:eastAsia="Calibri"/>
                <w:sz w:val="22"/>
                <w:szCs w:val="22"/>
              </w:rPr>
              <w:t>GDDR 6</w:t>
            </w:r>
          </w:p>
          <w:p w:rsidR="005A1BB4" w:rsidRPr="005A1BB4" w:rsidRDefault="005A1BB4" w:rsidP="005A1BB4">
            <w:pPr>
              <w:rPr>
                <w:rFonts w:eastAsia="Calibri"/>
                <w:sz w:val="22"/>
                <w:szCs w:val="22"/>
              </w:rPr>
            </w:pPr>
            <w:r w:rsidRPr="005A1BB4">
              <w:rPr>
                <w:rFonts w:eastAsia="Calibri"/>
                <w:sz w:val="22"/>
                <w:szCs w:val="22"/>
              </w:rPr>
              <w:t>Ilość pamięci RAM [MB]: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A1BB4">
              <w:rPr>
                <w:rFonts w:eastAsia="Calibri"/>
                <w:sz w:val="22"/>
                <w:szCs w:val="22"/>
              </w:rPr>
              <w:t>12288</w:t>
            </w:r>
          </w:p>
          <w:p w:rsidR="005A1BB4" w:rsidRPr="005A1BB4" w:rsidRDefault="005A1BB4" w:rsidP="005A1BB4">
            <w:pPr>
              <w:rPr>
                <w:rFonts w:eastAsia="Calibri"/>
                <w:sz w:val="22"/>
                <w:szCs w:val="22"/>
              </w:rPr>
            </w:pPr>
            <w:r w:rsidRPr="005A1BB4">
              <w:rPr>
                <w:rFonts w:eastAsia="Calibri"/>
                <w:sz w:val="22"/>
                <w:szCs w:val="22"/>
              </w:rPr>
              <w:t>Szyna danych [bit]:</w:t>
            </w:r>
            <w:r w:rsidR="008E6EA8">
              <w:rPr>
                <w:rFonts w:eastAsia="Calibri"/>
                <w:sz w:val="22"/>
                <w:szCs w:val="22"/>
              </w:rPr>
              <w:t xml:space="preserve"> </w:t>
            </w:r>
            <w:r w:rsidRPr="005A1BB4">
              <w:rPr>
                <w:rFonts w:eastAsia="Calibri"/>
                <w:sz w:val="22"/>
                <w:szCs w:val="22"/>
              </w:rPr>
              <w:t>192</w:t>
            </w:r>
          </w:p>
          <w:p w:rsidR="005A1BB4" w:rsidRPr="005A1BB4" w:rsidRDefault="005A1BB4" w:rsidP="005A1BB4">
            <w:pPr>
              <w:rPr>
                <w:rFonts w:eastAsia="Calibri"/>
                <w:sz w:val="22"/>
                <w:szCs w:val="22"/>
              </w:rPr>
            </w:pPr>
            <w:r w:rsidRPr="005A1BB4">
              <w:rPr>
                <w:rFonts w:eastAsia="Calibri"/>
                <w:sz w:val="22"/>
                <w:szCs w:val="22"/>
              </w:rPr>
              <w:t>Typ złącza:</w:t>
            </w:r>
            <w:r w:rsidR="008E6EA8">
              <w:rPr>
                <w:rFonts w:eastAsia="Calibri"/>
                <w:sz w:val="22"/>
                <w:szCs w:val="22"/>
              </w:rPr>
              <w:t xml:space="preserve"> </w:t>
            </w:r>
            <w:r w:rsidRPr="005A1BB4">
              <w:rPr>
                <w:rFonts w:eastAsia="Calibri"/>
                <w:sz w:val="22"/>
                <w:szCs w:val="22"/>
              </w:rPr>
              <w:t>PCI Express 4.0 x16</w:t>
            </w:r>
          </w:p>
          <w:p w:rsidR="005A1BB4" w:rsidRPr="005A1BB4" w:rsidRDefault="005A1BB4" w:rsidP="005A1BB4">
            <w:pPr>
              <w:rPr>
                <w:rFonts w:eastAsia="Calibri"/>
                <w:sz w:val="22"/>
                <w:szCs w:val="22"/>
              </w:rPr>
            </w:pPr>
            <w:r w:rsidRPr="005A1BB4">
              <w:rPr>
                <w:rFonts w:eastAsia="Calibri"/>
                <w:sz w:val="22"/>
                <w:szCs w:val="22"/>
              </w:rPr>
              <w:t>Chłodzenie:</w:t>
            </w:r>
            <w:r w:rsidR="008E6EA8">
              <w:rPr>
                <w:rFonts w:eastAsia="Calibri"/>
                <w:sz w:val="22"/>
                <w:szCs w:val="22"/>
              </w:rPr>
              <w:t xml:space="preserve"> </w:t>
            </w:r>
            <w:r w:rsidRPr="005A1BB4">
              <w:rPr>
                <w:rFonts w:eastAsia="Calibri"/>
                <w:sz w:val="22"/>
                <w:szCs w:val="22"/>
              </w:rPr>
              <w:t>Aktywne</w:t>
            </w:r>
          </w:p>
          <w:p w:rsidR="00444FDA" w:rsidRDefault="005A1BB4" w:rsidP="008E6EA8">
            <w:pPr>
              <w:rPr>
                <w:rFonts w:eastAsia="Calibri"/>
                <w:sz w:val="22"/>
                <w:szCs w:val="22"/>
              </w:rPr>
            </w:pPr>
            <w:r w:rsidRPr="005A1BB4">
              <w:rPr>
                <w:rFonts w:eastAsia="Calibri"/>
                <w:sz w:val="22"/>
                <w:szCs w:val="22"/>
              </w:rPr>
              <w:t>Obsługiwane standardy:</w:t>
            </w:r>
            <w:r w:rsidR="008E6EA8">
              <w:rPr>
                <w:rFonts w:eastAsia="Calibri"/>
                <w:sz w:val="22"/>
                <w:szCs w:val="22"/>
              </w:rPr>
              <w:t xml:space="preserve"> </w:t>
            </w:r>
            <w:r w:rsidRPr="005A1BB4">
              <w:rPr>
                <w:rFonts w:eastAsia="Calibri"/>
                <w:sz w:val="22"/>
                <w:szCs w:val="22"/>
              </w:rPr>
              <w:t xml:space="preserve">DirectX 12 Ultimate, </w:t>
            </w:r>
            <w:proofErr w:type="spellStart"/>
            <w:r w:rsidRPr="005A1BB4">
              <w:rPr>
                <w:rFonts w:eastAsia="Calibri"/>
                <w:sz w:val="22"/>
                <w:szCs w:val="22"/>
              </w:rPr>
              <w:t>OpenGL</w:t>
            </w:r>
            <w:proofErr w:type="spellEnd"/>
            <w:r w:rsidRPr="005A1BB4">
              <w:rPr>
                <w:rFonts w:eastAsia="Calibri"/>
                <w:sz w:val="22"/>
                <w:szCs w:val="22"/>
              </w:rPr>
              <w:t xml:space="preserve"> 4.6</w:t>
            </w:r>
          </w:p>
          <w:p w:rsidR="008E6EA8" w:rsidRDefault="008E6EA8" w:rsidP="008E6EA8">
            <w:pPr>
              <w:rPr>
                <w:rFonts w:eastAsia="Calibri"/>
                <w:sz w:val="22"/>
                <w:szCs w:val="22"/>
              </w:rPr>
            </w:pPr>
            <w:r w:rsidRPr="008E6EA8">
              <w:rPr>
                <w:rFonts w:eastAsia="Calibri"/>
                <w:sz w:val="22"/>
                <w:szCs w:val="22"/>
              </w:rPr>
              <w:t>Obsługa wielu monitorów: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6EA8">
              <w:rPr>
                <w:rFonts w:eastAsia="Calibri"/>
                <w:sz w:val="22"/>
                <w:szCs w:val="22"/>
              </w:rPr>
              <w:t>4</w:t>
            </w:r>
          </w:p>
          <w:p w:rsidR="008E6EA8" w:rsidRPr="008E6EA8" w:rsidRDefault="008E6EA8" w:rsidP="008E6EA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E6EA8">
              <w:rPr>
                <w:rFonts w:eastAsia="Calibri"/>
                <w:sz w:val="22"/>
                <w:szCs w:val="22"/>
              </w:rPr>
              <w:t>DisplayPort</w:t>
            </w:r>
            <w:proofErr w:type="spellEnd"/>
            <w:r w:rsidRPr="008E6EA8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6EA8">
              <w:rPr>
                <w:rFonts w:eastAsia="Calibri"/>
                <w:sz w:val="22"/>
                <w:szCs w:val="22"/>
              </w:rPr>
              <w:t>Tak</w:t>
            </w:r>
          </w:p>
          <w:p w:rsidR="008E6EA8" w:rsidRPr="00655315" w:rsidRDefault="008E6EA8" w:rsidP="008E6EA8">
            <w:pPr>
              <w:rPr>
                <w:rFonts w:eastAsia="Calibri"/>
                <w:sz w:val="22"/>
                <w:szCs w:val="22"/>
              </w:rPr>
            </w:pPr>
            <w:r w:rsidRPr="008E6EA8">
              <w:rPr>
                <w:rFonts w:eastAsia="Calibri"/>
                <w:sz w:val="22"/>
                <w:szCs w:val="22"/>
              </w:rPr>
              <w:t>HDMI: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6EA8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Karta dźwiękowa: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 w:rsidRPr="00655315">
              <w:rPr>
                <w:rFonts w:eastAsia="Calibri"/>
                <w:sz w:val="22"/>
                <w:szCs w:val="22"/>
              </w:rPr>
              <w:t>Zintegrowana</w:t>
            </w:r>
          </w:p>
        </w:tc>
      </w:tr>
      <w:tr w:rsidR="00444FDA" w:rsidRPr="003C052E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Komunikacja</w:t>
            </w:r>
            <w:r>
              <w:rPr>
                <w:rFonts w:eastAsia="Calibri"/>
                <w:b/>
                <w:sz w:val="22"/>
                <w:szCs w:val="22"/>
              </w:rPr>
              <w:t xml:space="preserve"> (wszystkie elementy wbudowane fabrycznie na etapie produkcji)</w:t>
            </w:r>
            <w:r w:rsidRPr="0065531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444FDA" w:rsidRDefault="00444FDA" w:rsidP="00BD5B8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5035FE">
              <w:rPr>
                <w:rFonts w:eastAsia="Calibri"/>
                <w:sz w:val="22"/>
                <w:szCs w:val="22"/>
                <w:lang w:val="en-GB"/>
              </w:rPr>
              <w:t>Bluetooth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5.2</w:t>
            </w:r>
            <w:r w:rsidRPr="005035FE"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035FE">
              <w:rPr>
                <w:rFonts w:eastAsia="Calibri"/>
                <w:sz w:val="22"/>
                <w:szCs w:val="22"/>
                <w:lang w:val="en-GB"/>
              </w:rPr>
              <w:t>WiFi</w:t>
            </w:r>
            <w:proofErr w:type="spellEnd"/>
            <w:r w:rsidRPr="005035FE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  <w:r w:rsidRPr="005035FE">
              <w:rPr>
                <w:rFonts w:eastAsia="Calibri"/>
                <w:sz w:val="22"/>
                <w:szCs w:val="22"/>
                <w:lang w:val="en-GB"/>
              </w:rPr>
              <w:t xml:space="preserve"> 802.11a</w:t>
            </w:r>
            <w:r>
              <w:rPr>
                <w:rFonts w:eastAsia="Calibri"/>
                <w:sz w:val="22"/>
                <w:szCs w:val="22"/>
                <w:lang w:val="en-GB"/>
              </w:rPr>
              <w:t>c</w:t>
            </w:r>
            <w:r w:rsidRPr="005035FE">
              <w:rPr>
                <w:rFonts w:eastAsia="Calibri"/>
                <w:sz w:val="22"/>
                <w:szCs w:val="22"/>
                <w:lang w:val="en-GB"/>
              </w:rPr>
              <w:t>, Gigabit Ethernet</w:t>
            </w:r>
            <w:r>
              <w:rPr>
                <w:rFonts w:eastAsia="Calibri"/>
                <w:sz w:val="22"/>
                <w:szCs w:val="22"/>
                <w:lang w:val="en-GB"/>
              </w:rPr>
              <w:t>,</w:t>
            </w:r>
          </w:p>
          <w:p w:rsidR="00444FDA" w:rsidRPr="003C052E" w:rsidRDefault="00444FDA" w:rsidP="00BD5B8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Porty/wejścia/wyjścia:</w:t>
            </w:r>
          </w:p>
        </w:tc>
        <w:tc>
          <w:tcPr>
            <w:tcW w:w="5948" w:type="dxa"/>
            <w:shd w:val="clear" w:color="auto" w:fill="auto"/>
          </w:tcPr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rFonts w:eastAsia="Calibri"/>
                <w:sz w:val="22"/>
                <w:szCs w:val="22"/>
              </w:rPr>
              <w:t>Przedni panel</w:t>
            </w:r>
            <w:r w:rsidR="002A4FD0">
              <w:rPr>
                <w:rFonts w:eastAsia="Calibri"/>
                <w:sz w:val="22"/>
                <w:szCs w:val="22"/>
              </w:rPr>
              <w:t xml:space="preserve"> minimum</w:t>
            </w:r>
            <w:r w:rsidRPr="007C3517">
              <w:rPr>
                <w:rFonts w:eastAsia="Calibri"/>
                <w:sz w:val="22"/>
                <w:szCs w:val="22"/>
              </w:rPr>
              <w:t>:</w:t>
            </w:r>
            <w:r w:rsidRPr="007C3517">
              <w:rPr>
                <w:rFonts w:eastAsia="Calibri"/>
                <w:sz w:val="22"/>
                <w:szCs w:val="22"/>
              </w:rPr>
              <w:br/>
            </w:r>
            <w:r w:rsidRPr="007C3517">
              <w:rPr>
                <w:sz w:val="22"/>
                <w:szCs w:val="22"/>
              </w:rPr>
              <w:t>USB 2.0 - 2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USB 3.2 Gen. 1 - 2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Wyjście słuchawkowe/wejście mikrofonowe - 1 szt.</w:t>
            </w:r>
          </w:p>
          <w:p w:rsidR="00444FDA" w:rsidRPr="007C3517" w:rsidRDefault="00444FDA" w:rsidP="00BD5B81">
            <w:pPr>
              <w:rPr>
                <w:rFonts w:eastAsia="Calibri"/>
                <w:sz w:val="22"/>
                <w:szCs w:val="22"/>
              </w:rPr>
            </w:pPr>
            <w:r w:rsidRPr="007C3517">
              <w:rPr>
                <w:rFonts w:eastAsia="Calibri"/>
                <w:sz w:val="22"/>
                <w:szCs w:val="22"/>
              </w:rPr>
              <w:t>Tylny panel: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USB 2.0 - 2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USB 3.2 Gen. 1 - 2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Wyjście słuchawkowe/głośnikowe - 1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RJ-45 (LAN) - 1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HDMI - 1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Display Port - 1 szt.</w:t>
            </w:r>
          </w:p>
          <w:p w:rsidR="00444FDA" w:rsidRPr="007C3517" w:rsidRDefault="00444FDA" w:rsidP="00BD5B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C3517">
              <w:rPr>
                <w:sz w:val="22"/>
                <w:szCs w:val="22"/>
              </w:rPr>
              <w:t>AC-in (wejście zasilania) - 1 szt.</w:t>
            </w:r>
          </w:p>
          <w:p w:rsidR="00444FDA" w:rsidRPr="007C3517" w:rsidRDefault="00444FDA" w:rsidP="00BD5B8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Zasilacz: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 mocy nie mniejszej niż 180W</w:t>
            </w:r>
            <w:r w:rsidRPr="00655315">
              <w:rPr>
                <w:rFonts w:eastAsia="Calibri"/>
                <w:sz w:val="22"/>
                <w:szCs w:val="22"/>
              </w:rPr>
              <w:t>;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Dodatkowe informacje</w:t>
            </w:r>
          </w:p>
        </w:tc>
        <w:tc>
          <w:tcPr>
            <w:tcW w:w="5948" w:type="dxa"/>
            <w:shd w:val="clear" w:color="auto" w:fill="auto"/>
          </w:tcPr>
          <w:p w:rsidR="00444FDA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Możliwość zabezpieczenia linką, moduł TPM</w:t>
            </w:r>
          </w:p>
          <w:p w:rsidR="00444FDA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System operacyjny Windows 11 Professional</w:t>
            </w:r>
          </w:p>
          <w:p w:rsidR="00444FDA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Podzespoły jednego producenta</w:t>
            </w:r>
          </w:p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Niezbędne akcesoria (kabel zasilający) + klawiatura i mysz 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Obudowa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Wymiary</w:t>
            </w:r>
            <w:r w:rsidR="002A4FD0">
              <w:rPr>
                <w:rFonts w:eastAsia="Calibri"/>
                <w:sz w:val="22"/>
                <w:szCs w:val="22"/>
              </w:rPr>
              <w:t xml:space="preserve"> max</w:t>
            </w:r>
            <w:r>
              <w:rPr>
                <w:rFonts w:eastAsia="Calibri"/>
                <w:sz w:val="22"/>
                <w:szCs w:val="22"/>
              </w:rPr>
              <w:t xml:space="preserve">: W/S/G </w:t>
            </w:r>
            <w:r w:rsidR="002A4FD0">
              <w:rPr>
                <w:rFonts w:eastAsia="Calibri"/>
                <w:sz w:val="22"/>
                <w:szCs w:val="22"/>
              </w:rPr>
              <w:t>310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2A4FD0">
              <w:rPr>
                <w:rFonts w:eastAsia="Calibri"/>
                <w:sz w:val="22"/>
                <w:szCs w:val="22"/>
              </w:rPr>
              <w:t>100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2A4FD0">
              <w:rPr>
                <w:rFonts w:eastAsia="Calibri"/>
                <w:sz w:val="22"/>
                <w:szCs w:val="22"/>
              </w:rPr>
              <w:t>300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Zewnętrzy napęd optyczny: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 w:rsidRPr="00655315">
              <w:rPr>
                <w:rFonts w:eastAsia="Calibri"/>
                <w:sz w:val="22"/>
                <w:szCs w:val="22"/>
              </w:rPr>
              <w:t>Nagrywarka SATA DVD-/+R/RW SLIM.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t>System operacyjny: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Zainstalowany system operacyjny  zapewniający prawidłową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pracę zestawu komputerowego, kompatybilny ze wszystkimi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komponentami i technologiami zastosowanymi w powyższym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zestawie komputerowym. System operacyjny 64 bitowy w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języku polskim do użytku w firmie w wersji profesjonalnej.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System dostępny w najnowszej dostępnej wersji przez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producenta. Oprogramowanie powinno zawierać certyfikat </w:t>
            </w:r>
          </w:p>
          <w:p w:rsidR="00444FDA" w:rsidRPr="00655315" w:rsidRDefault="00444FDA" w:rsidP="00BD5B81">
            <w:pPr>
              <w:ind w:left="3540" w:hanging="354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autentyczności lub etykietę oryginalnego oprogramowania. </w:t>
            </w:r>
          </w:p>
          <w:p w:rsidR="00444FDA" w:rsidRPr="00655315" w:rsidRDefault="00444FDA" w:rsidP="00BD5B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Zamawiający nie dopuszcza w systemie możliwości instalacji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dodatkowych narzędzi emulujących działanie systemów i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obecności oprogramowania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adware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44FDA" w:rsidRPr="00655315" w:rsidRDefault="00444FDA" w:rsidP="00BD5B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Oferowany system powinien spełniać poniższe wymagania:</w:t>
            </w:r>
          </w:p>
          <w:p w:rsidR="00444FDA" w:rsidRPr="00655315" w:rsidRDefault="00444FDA" w:rsidP="00BD5B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1. System w polskiej wersji językowej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wraz z 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system pomocy.</w:t>
            </w:r>
          </w:p>
          <w:p w:rsidR="00444FDA" w:rsidRPr="00655315" w:rsidRDefault="00444FDA" w:rsidP="00BD5B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Komunikaty systemowe w języku polskim.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Automatyczna aktualizacja systemu operacyjnego z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wykorzystaniem technologii internetowej z możliwością wyboru instalowanych poprawek w języku polskim.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Darmowe aktualizacje: niezbędne aktualizacje, poprawki, biuletyny bezpieczeństwa dostarczane bez dodatkowych opłat.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Wbudowana zapora internetowa (firewall) dla ochrony połączeń internetowych; zintegrowana z systemem konsola do zarządzania stawieniami zapory i regułami IP v4 i v6.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Możliwość zdalnej automatycznej instalacji, konfiguracji, administrowania oraz aktualizowania systemu.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Wsparcie dla większości powszechnie używanych urządzeń peryferyjnych drukarek, urządzeń sieciowych, standardów USB,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Plug&amp;Play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, Wi-Fi).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Zabezpieczony hasłem hierarchiczny dostęp do systemu, konta i profile użytkowników zarządzane zdalnie.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Praca systemu w trybie ochrony kont użytkowników.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Możliwość zarządzania stacją roboczą poprzez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ozbudowane polityki bezpieczeństwa – polityki dla systemu operacyjnego i dla wskazanych aplikacji.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Wsparcie dla Sun Java i .NET Framework 1.1 i 2.0 i 3.0 i 4.0 – możliwość uruchomienia aplikacji działających we wskazanych środowiskach.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Wsparcie dla JScript i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VBScript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możliwość uruchamiania interpretera poleceń.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Zarządzanie kontami użytkowników sieci oraz urządzeniami sieciowymi tj. drukarki, modemy, woluminy dyskowe, usługi katalogowe.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. Możliwość blokowania lub dopuszczania dowolnych urządzeń peryferyjnych za pomocą polityk grupowych (np. przy użyciu numerów identyfikacyjnych sprzętu).</w:t>
            </w:r>
          </w:p>
          <w:p w:rsidR="00444FDA" w:rsidRPr="00655315" w:rsidRDefault="00444FDA" w:rsidP="00BD5B81">
            <w:pPr>
              <w:tabs>
                <w:tab w:val="left" w:pos="-114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Możliwość zarządzania systemem poprzez reguły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Policy Object.</w:t>
            </w:r>
          </w:p>
          <w:p w:rsidR="00444FDA" w:rsidRPr="00655315" w:rsidRDefault="00444FDA" w:rsidP="00BD5B8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Oferowany system operacyjny powinien być kompatybilnym i zgodnym środowiskiem systemowym umożliwiającym bez zastosowania dodatkowych aplikacji oraz środowisk programistycznych uruchamianie i użytkownie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takich aplikacji jak: MS Office 2010/2013/2016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/2019 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oprogramowanie antywirusowe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Checkpoint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Security,  oprogramowanie IBM Tivoli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Manager for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>Lifecycle</w:t>
            </w:r>
            <w:proofErr w:type="spellEnd"/>
            <w:r w:rsidRPr="0065531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Management (wraz z instalacją agenta IBM TEM).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55315">
              <w:rPr>
                <w:rFonts w:eastAsia="Calibri"/>
                <w:b/>
                <w:sz w:val="22"/>
                <w:szCs w:val="22"/>
              </w:rPr>
              <w:lastRenderedPageBreak/>
              <w:t>Certyfikaty i standardy: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 w:rsidRPr="00655315">
              <w:rPr>
                <w:rFonts w:eastAsia="Calibri"/>
                <w:sz w:val="22"/>
                <w:szCs w:val="22"/>
              </w:rPr>
              <w:t>Deklaracja zgodności CE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444FDA" w:rsidRPr="00655315" w:rsidTr="00BD5B81">
        <w:tc>
          <w:tcPr>
            <w:tcW w:w="3114" w:type="dxa"/>
            <w:shd w:val="clear" w:color="auto" w:fill="auto"/>
          </w:tcPr>
          <w:p w:rsidR="00444FDA" w:rsidRPr="00655315" w:rsidRDefault="00444FDA" w:rsidP="00BD5B8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Gwarancja</w:t>
            </w:r>
          </w:p>
        </w:tc>
        <w:tc>
          <w:tcPr>
            <w:tcW w:w="5948" w:type="dxa"/>
            <w:shd w:val="clear" w:color="auto" w:fill="auto"/>
          </w:tcPr>
          <w:p w:rsidR="00444FDA" w:rsidRPr="00655315" w:rsidRDefault="00444FDA" w:rsidP="00BD5B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Min. 36 miesięcy gwarancji producenta w miejscu użytkowania sprzętu.</w:t>
            </w:r>
          </w:p>
        </w:tc>
      </w:tr>
    </w:tbl>
    <w:p w:rsidR="00444FDA" w:rsidRPr="00655315" w:rsidRDefault="00444FDA" w:rsidP="00444FDA">
      <w:pPr>
        <w:outlineLvl w:val="0"/>
        <w:rPr>
          <w:b/>
          <w:sz w:val="22"/>
          <w:szCs w:val="22"/>
        </w:rPr>
      </w:pPr>
    </w:p>
    <w:p w:rsidR="00444FDA" w:rsidRPr="00655315" w:rsidRDefault="00444FDA" w:rsidP="00444FDA">
      <w:pPr>
        <w:outlineLvl w:val="0"/>
        <w:rPr>
          <w:b/>
          <w:sz w:val="22"/>
          <w:szCs w:val="22"/>
        </w:rPr>
      </w:pPr>
      <w:r w:rsidRPr="00655315">
        <w:rPr>
          <w:b/>
          <w:sz w:val="22"/>
          <w:szCs w:val="22"/>
        </w:rPr>
        <w:t>UWAGI:</w:t>
      </w:r>
    </w:p>
    <w:p w:rsidR="00444FDA" w:rsidRPr="00655315" w:rsidRDefault="00444FDA" w:rsidP="00444FDA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5315">
        <w:rPr>
          <w:rFonts w:ascii="Times New Roman" w:hAnsi="Times New Roman" w:cs="Times New Roman"/>
          <w:sz w:val="22"/>
          <w:szCs w:val="22"/>
        </w:rPr>
        <w:t xml:space="preserve">Oprogramowanie systemowe, będzie dostarczone przez Wykonawcę na osobnych oryginalnych nośnikach, pochodzących z legalnego źródła, nowe nie używane. (W przypadku gdy producent sprzętu nie dostarcza razem z komputerem płyty CD/DVD z systemem operacyjnym, tylko tworzy na dysku partycję </w:t>
      </w:r>
      <w:proofErr w:type="spellStart"/>
      <w:r w:rsidRPr="00655315">
        <w:rPr>
          <w:rFonts w:ascii="Times New Roman" w:hAnsi="Times New Roman" w:cs="Times New Roman"/>
          <w:sz w:val="22"/>
          <w:szCs w:val="22"/>
        </w:rPr>
        <w:t>Recovery</w:t>
      </w:r>
      <w:proofErr w:type="spellEnd"/>
      <w:r w:rsidRPr="00655315">
        <w:rPr>
          <w:rFonts w:ascii="Times New Roman" w:hAnsi="Times New Roman" w:cs="Times New Roman"/>
          <w:sz w:val="22"/>
          <w:szCs w:val="22"/>
        </w:rPr>
        <w:t xml:space="preserve"> z poziomu której można przywrócić system operacyjny Zamawiający nie będzie wymagał dostarczenia nośników</w:t>
      </w:r>
      <w:r>
        <w:rPr>
          <w:rFonts w:ascii="Times New Roman" w:hAnsi="Times New Roman" w:cs="Times New Roman"/>
          <w:sz w:val="22"/>
          <w:szCs w:val="22"/>
        </w:rPr>
        <w:t xml:space="preserve"> instalacyjnych</w:t>
      </w:r>
      <w:r w:rsidRPr="006553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4FDA" w:rsidRDefault="00444FDA" w:rsidP="00444FDA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655315">
        <w:rPr>
          <w:sz w:val="22"/>
          <w:szCs w:val="22"/>
        </w:rPr>
        <w:t xml:space="preserve">System operacyjny będzie preinstalowany przez </w:t>
      </w:r>
      <w:r>
        <w:rPr>
          <w:sz w:val="22"/>
          <w:szCs w:val="22"/>
        </w:rPr>
        <w:t>wykonawcę</w:t>
      </w:r>
      <w:r w:rsidRPr="00655315">
        <w:rPr>
          <w:sz w:val="22"/>
          <w:szCs w:val="22"/>
        </w:rPr>
        <w:t xml:space="preserve"> na urządzeni</w:t>
      </w:r>
      <w:r>
        <w:rPr>
          <w:sz w:val="22"/>
          <w:szCs w:val="22"/>
        </w:rPr>
        <w:t>u.</w:t>
      </w:r>
    </w:p>
    <w:p w:rsidR="00444FDA" w:rsidRDefault="00444FDA" w:rsidP="00444FDA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</w:rPr>
      </w:pPr>
    </w:p>
    <w:p w:rsidR="00444FDA" w:rsidRPr="006A6BE8" w:rsidRDefault="00444FDA" w:rsidP="00444FDA">
      <w:pPr>
        <w:widowControl/>
        <w:suppressAutoHyphens/>
        <w:autoSpaceDE/>
        <w:autoSpaceDN/>
        <w:adjustRightInd/>
        <w:ind w:left="360"/>
        <w:jc w:val="both"/>
        <w:rPr>
          <w:b/>
          <w:sz w:val="22"/>
          <w:szCs w:val="22"/>
        </w:rPr>
      </w:pPr>
      <w:r w:rsidRPr="006A6BE8">
        <w:rPr>
          <w:b/>
          <w:sz w:val="22"/>
          <w:szCs w:val="22"/>
        </w:rPr>
        <w:t>Specyfikacja monitora:</w:t>
      </w:r>
    </w:p>
    <w:p w:rsidR="00444FDA" w:rsidRPr="00655315" w:rsidRDefault="00444FDA" w:rsidP="00444FDA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</w:rPr>
      </w:pPr>
    </w:p>
    <w:p w:rsidR="00444FDA" w:rsidRPr="00655315" w:rsidRDefault="00444FDA" w:rsidP="00444FDA">
      <w:pPr>
        <w:suppressAutoHyphens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 przeznaczony do pracy w biurze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Przekątna ekranu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27” (cali)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Powłoka matrycy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Matowa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matrycy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LED, IPS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ekranu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Płaski z możliwością jego obrotu, regulowany: wysokość oraz kąt pochylenia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mniejsza niż 1920x1080 (</w:t>
            </w:r>
            <w:proofErr w:type="spellStart"/>
            <w:r>
              <w:rPr>
                <w:sz w:val="22"/>
                <w:szCs w:val="22"/>
              </w:rPr>
              <w:t>fullHD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obrazu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16:9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Częstototliwość</w:t>
            </w:r>
            <w:proofErr w:type="spellEnd"/>
            <w:r>
              <w:rPr>
                <w:sz w:val="22"/>
                <w:szCs w:val="22"/>
              </w:rPr>
              <w:t xml:space="preserve"> odświeżania ekranu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 niż 60Hz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kolorów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 niż 16,7 mln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Produkt musi posiadać: </w:t>
            </w:r>
          </w:p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redukcję migotania, </w:t>
            </w:r>
          </w:p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posiadać filtr światła niebieskiego, </w:t>
            </w:r>
          </w:p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jasność ekranu nie powinna być większa niż 300 cd/m2, </w:t>
            </w:r>
          </w:p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posiadać kąt widzenia w poziomie i pionie nie więcej niż 178 stopni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Złącza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 wyposażony w gniazda</w:t>
            </w:r>
            <w:r w:rsidR="002A4FD0">
              <w:rPr>
                <w:sz w:val="22"/>
                <w:szCs w:val="22"/>
              </w:rPr>
              <w:t xml:space="preserve"> minimum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</w:p>
          <w:p w:rsidR="00444FDA" w:rsidRPr="00FD7AC9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7AC9">
              <w:rPr>
                <w:sz w:val="22"/>
                <w:szCs w:val="22"/>
              </w:rPr>
              <w:t>VGA (D-</w:t>
            </w:r>
            <w:proofErr w:type="spellStart"/>
            <w:r w:rsidRPr="00FD7AC9">
              <w:rPr>
                <w:sz w:val="22"/>
                <w:szCs w:val="22"/>
              </w:rPr>
              <w:t>sub</w:t>
            </w:r>
            <w:proofErr w:type="spellEnd"/>
            <w:r w:rsidRPr="00FD7AC9">
              <w:rPr>
                <w:sz w:val="22"/>
                <w:szCs w:val="22"/>
              </w:rPr>
              <w:t>) - 1 szt.</w:t>
            </w:r>
          </w:p>
          <w:p w:rsidR="00444FDA" w:rsidRPr="00FD7AC9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7AC9">
              <w:rPr>
                <w:sz w:val="22"/>
                <w:szCs w:val="22"/>
              </w:rPr>
              <w:t>HDMI 1.4 - 1 szt.</w:t>
            </w:r>
          </w:p>
          <w:p w:rsidR="00444FDA" w:rsidRPr="00FD7AC9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D7AC9">
              <w:rPr>
                <w:sz w:val="22"/>
                <w:szCs w:val="22"/>
              </w:rPr>
              <w:t>DisplayPort</w:t>
            </w:r>
            <w:proofErr w:type="spellEnd"/>
            <w:r w:rsidRPr="00FD7AC9">
              <w:rPr>
                <w:sz w:val="22"/>
                <w:szCs w:val="22"/>
              </w:rPr>
              <w:t xml:space="preserve"> 1.2 - 1 szt.</w:t>
            </w:r>
          </w:p>
          <w:p w:rsidR="00444FDA" w:rsidRPr="00FD7AC9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7AC9">
              <w:rPr>
                <w:sz w:val="22"/>
                <w:szCs w:val="22"/>
              </w:rPr>
              <w:t>USB 3.2 Gen. 1 - 4 szt.</w:t>
            </w:r>
          </w:p>
          <w:p w:rsidR="00444FDA" w:rsidRPr="00FD7AC9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7AC9">
              <w:rPr>
                <w:sz w:val="22"/>
                <w:szCs w:val="22"/>
              </w:rPr>
              <w:t>USB 3.2 Gen. 1 Typu-B - 1 szt.</w:t>
            </w:r>
          </w:p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D7AC9">
              <w:rPr>
                <w:sz w:val="22"/>
                <w:szCs w:val="22"/>
              </w:rPr>
              <w:t>AC-in (wejście zasilania) - 1 szt.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 musi posiadać możliwość montażu na ścianie/uchwycie VESA 100x100 mm,</w:t>
            </w:r>
          </w:p>
          <w:p w:rsidR="00444FDA" w:rsidRPr="00FD7AC9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zabezpieczenia linką (Kingston lock), posiadać wbudowany HUB USB</w:t>
            </w: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 powinien spełniać wymiary (</w:t>
            </w:r>
            <w:proofErr w:type="spellStart"/>
            <w:r>
              <w:rPr>
                <w:sz w:val="22"/>
                <w:szCs w:val="22"/>
              </w:rPr>
              <w:t>SxWxG</w:t>
            </w:r>
            <w:proofErr w:type="spellEnd"/>
            <w:r>
              <w:rPr>
                <w:sz w:val="22"/>
                <w:szCs w:val="22"/>
              </w:rPr>
              <w:t>) – nie większe niż: 610x534x190mm</w:t>
            </w:r>
          </w:p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44FDA" w:rsidTr="00BD5B81"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</w:p>
        </w:tc>
        <w:tc>
          <w:tcPr>
            <w:tcW w:w="4531" w:type="dxa"/>
          </w:tcPr>
          <w:p w:rsidR="00444FDA" w:rsidRDefault="00444FDA" w:rsidP="00BD5B81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 objęty gwarancją producenta nie krótszą niż 36 miesięcy od daty dostarczenia.</w:t>
            </w:r>
          </w:p>
        </w:tc>
      </w:tr>
    </w:tbl>
    <w:p w:rsidR="00444FDA" w:rsidRPr="00655315" w:rsidRDefault="00444FDA" w:rsidP="00444FDA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444FDA" w:rsidRDefault="00444FDA" w:rsidP="00444FDA"/>
    <w:p w:rsidR="00444FDA" w:rsidRDefault="00444FDA"/>
    <w:sectPr w:rsidR="00444FDA" w:rsidSect="00532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08" w:rsidRDefault="00C93B08">
      <w:r>
        <w:separator/>
      </w:r>
    </w:p>
  </w:endnote>
  <w:endnote w:type="continuationSeparator" w:id="0">
    <w:p w:rsidR="00C93B08" w:rsidRDefault="00C9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72929"/>
      <w:docPartObj>
        <w:docPartGallery w:val="Page Numbers (Bottom of Page)"/>
        <w:docPartUnique/>
      </w:docPartObj>
    </w:sdtPr>
    <w:sdtEndPr/>
    <w:sdtContent>
      <w:p w:rsidR="00957FC2" w:rsidRDefault="00444F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7FC2" w:rsidRDefault="00C93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08" w:rsidRDefault="00C93B08">
      <w:r>
        <w:separator/>
      </w:r>
    </w:p>
  </w:footnote>
  <w:footnote w:type="continuationSeparator" w:id="0">
    <w:p w:rsidR="00C93B08" w:rsidRDefault="00C9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E8" w:rsidRDefault="00444FDA">
    <w:pPr>
      <w:pStyle w:val="Nagwek"/>
    </w:pPr>
    <w:r>
      <w:t>Zestaw komputerowy wraz z monitorem oraz akcesoriami</w:t>
    </w:r>
  </w:p>
  <w:p w:rsidR="006A6BE8" w:rsidRDefault="00C93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DA"/>
    <w:rsid w:val="002A4FD0"/>
    <w:rsid w:val="00444FDA"/>
    <w:rsid w:val="005A1BB4"/>
    <w:rsid w:val="008E6EA8"/>
    <w:rsid w:val="00C93B08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FB07"/>
  <w15:chartTrackingRefBased/>
  <w15:docId w15:val="{99E2AB9F-2993-49DC-8DBA-ABFEADE8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44FDA"/>
    <w:pPr>
      <w:widowControl/>
      <w:suppressAutoHyphens/>
      <w:autoSpaceDE/>
      <w:autoSpaceDN/>
      <w:adjustRightInd/>
      <w:spacing w:line="100" w:lineRule="atLeast"/>
      <w:ind w:left="708"/>
    </w:pPr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D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4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F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Walczak</dc:creator>
  <cp:keywords/>
  <dc:description/>
  <cp:lastModifiedBy>Łukasz Walczak</cp:lastModifiedBy>
  <cp:revision>3</cp:revision>
  <dcterms:created xsi:type="dcterms:W3CDTF">2024-04-08T13:23:00Z</dcterms:created>
  <dcterms:modified xsi:type="dcterms:W3CDTF">2024-06-26T09:32:00Z</dcterms:modified>
</cp:coreProperties>
</file>