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theme="minorHAnsi"/>
        </w:rPr>
      </w:pPr>
      <w:bookmarkStart w:id="0" w:name="_GoBack"/>
      <w:bookmarkEnd w:id="0"/>
    </w:p>
    <w:p>
      <w:pPr>
        <w:rPr>
          <w:rFonts w:hint="default" w:cstheme="minorHAnsi"/>
          <w:b/>
          <w:bCs/>
          <w:lang w:val="pl-PL"/>
        </w:rPr>
      </w:pPr>
      <w:r>
        <w:rPr>
          <w:rFonts w:hint="default" w:cstheme="minorHAnsi"/>
          <w:b/>
          <w:bCs/>
          <w:lang w:val="pl-PL"/>
        </w:rPr>
        <w:t>OPIS PRZEDMIOTU ZAMÓWIENIA - CZĘŚĆ 3</w:t>
      </w:r>
    </w:p>
    <w:p>
      <w:pPr>
        <w:rPr>
          <w:rFonts w:hint="default" w:cstheme="minorHAnsi"/>
          <w:lang w:val="pl-PL"/>
        </w:rPr>
      </w:pPr>
    </w:p>
    <w:p>
      <w:pPr>
        <w:rPr>
          <w:rFonts w:hint="default" w:cstheme="minorHAnsi"/>
          <w:lang w:val="pl-PL"/>
        </w:rPr>
      </w:pPr>
      <w:r>
        <w:rPr>
          <w:rFonts w:cstheme="minorHAnsi"/>
        </w:rPr>
        <w:t>sprzęt i wyposażeni</w:t>
      </w:r>
      <w:r>
        <w:rPr>
          <w:rFonts w:hint="default" w:cstheme="minorHAnsi"/>
          <w:lang w:val="pl-PL"/>
        </w:rPr>
        <w:t>e do pracowni spawalniczej</w:t>
      </w:r>
    </w:p>
    <w:p>
      <w:pPr>
        <w:rPr>
          <w:rFonts w:cstheme="minorHAnsi"/>
        </w:rPr>
      </w:pPr>
    </w:p>
    <w:p>
      <w:pPr>
        <w:rPr>
          <w:rFonts w:cstheme="minorHAnsi"/>
        </w:rPr>
      </w:pPr>
    </w:p>
    <w:tbl>
      <w:tblPr>
        <w:tblStyle w:val="4"/>
        <w:tblW w:w="10400" w:type="dxa"/>
        <w:tblInd w:w="-4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414"/>
        <w:gridCol w:w="1280"/>
        <w:gridCol w:w="933"/>
        <w:gridCol w:w="6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pl-PL" w:bidi="ar"/>
              </w:rPr>
              <w:t>lp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en-US" w:bidi="ar"/>
              </w:rPr>
              <w:t xml:space="preserve">Nazwa </w:t>
            </w:r>
            <w:r>
              <w:rPr>
                <w:rFonts w:hint="default"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pl-PL" w:bidi="ar"/>
              </w:rPr>
              <w:t>sprzętu/</w:t>
            </w:r>
            <w:r>
              <w:rPr>
                <w:rFonts w:hint="default"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en-US" w:bidi="ar"/>
              </w:rPr>
              <w:t>wyposażenia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pl-PL" w:bidi="ar"/>
              </w:rPr>
              <w:t>Jednostka miary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pl-PL" w:bidi="ar"/>
              </w:rPr>
              <w:t>liczba</w:t>
            </w:r>
          </w:p>
        </w:tc>
        <w:tc>
          <w:tcPr>
            <w:tcW w:w="6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en-US" w:bidi="ar"/>
              </w:rPr>
              <w:t>opis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  <w:t>1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Stół spawalniczo szlifierski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sztuka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Wymagania dla stoł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w spawalniczo szlifierskich z odciągiem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st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ł spawalniczo szlifierski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odciąg z rusztu i ze ściany tylnej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możliwość przełączania odciągu między ścianą tylną i rusztem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 xml:space="preserve">-  wymiary: 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Ruszt:.520x1430mm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Wysokość rusztu:700 - 850mm (regulacja wysokości w tym zakresie)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Wysokość ściany tylnej: min. 1350mm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Szerokość: 1500mm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Głębokość: 750mm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dwa pojemniki na odpady otwierane od przodu stołu</w:t>
            </w:r>
          </w:p>
          <w:p>
            <w:pPr>
              <w:widowControl/>
              <w:textAlignment w:val="top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jeden pojemnik na odpady z tyłu stołu na podłączeniu do instalacji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  <w:t>2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Kurtyna spawalnicza wejściowa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sztuka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Kurtyna spawalnicza wejściowa wykonana z lameli spawalniczych o szerokości 300mm zapewniająca ochronę przed brudem, wilgocią, przeciągiem i przeszkadzającym światłem słonecznym oraz światłem spawalniczym. Kurtyna wykonana z lameli gr 2mm kolor ciemnozielon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y. Certyfikaty DIN EN 25980:2015-1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Długość kurtyny ok. 2550mm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Wysokość kurtyny ok. 2000mm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Grubość materiału ok. 2mm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Kolor Nieprześwitujący 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ciemnozielony matowy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Zawieszki w komplecie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Wsp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łczynnik zagrożenia  - 0,75</w:t>
            </w:r>
          </w:p>
          <w:p>
            <w:pPr>
              <w:widowControl/>
              <w:textAlignment w:val="top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Prześwit  200mm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/>
                <w:color w:val="000000"/>
                <w:kern w:val="0"/>
                <w:sz w:val="21"/>
                <w:szCs w:val="21"/>
                <w:lang w:val="pl-PL"/>
              </w:rPr>
            </w:pPr>
            <w:r>
              <w:rPr>
                <w:rFonts w:hint="default" w:ascii="Calibri" w:hAnsi="Calibri"/>
                <w:color w:val="000000"/>
                <w:kern w:val="0"/>
                <w:sz w:val="21"/>
                <w:szCs w:val="21"/>
                <w:lang w:val="pl-PL"/>
              </w:rPr>
              <w:t>3,4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Przegrody stalowa międzystanowiskowa</w:t>
            </w:r>
          </w:p>
          <w:p>
            <w:pPr>
              <w:widowControl/>
              <w:textAlignment w:val="center"/>
              <w:rPr>
                <w:rFonts w:hint="default"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/>
                <w:color w:val="000000"/>
                <w:kern w:val="0"/>
                <w:sz w:val="21"/>
                <w:szCs w:val="21"/>
              </w:rPr>
              <w:t>2600x2200mm</w:t>
            </w:r>
          </w:p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textAlignment w:val="center"/>
              <w:rPr>
                <w:rFonts w:hint="default"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Przegrody stalowa międzystanowiskowa</w:t>
            </w:r>
          </w:p>
          <w:p>
            <w:pPr>
              <w:widowControl/>
              <w:textAlignment w:val="center"/>
              <w:rPr>
                <w:rFonts w:hint="default"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/>
                <w:color w:val="000000"/>
                <w:kern w:val="0"/>
                <w:sz w:val="21"/>
                <w:szCs w:val="21"/>
              </w:rPr>
              <w:t>3000x2200mm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Sztuka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pl-PL" w:eastAsia="zh-CN"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pl-PL" w:eastAsia="zh-CN" w:bidi="ar"/>
              </w:rPr>
              <w:t>sztuka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pl-PL" w:eastAsia="zh-CN"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pl-PL" w:eastAsia="zh-CN" w:bidi="ar"/>
              </w:rPr>
              <w:t>5</w:t>
            </w:r>
          </w:p>
        </w:tc>
        <w:tc>
          <w:tcPr>
            <w:tcW w:w="6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Przegroda stalowa stała wykonana ze stabilnej  ramy stalowej z wypełnieniem z blachy gr 1,0mm zabezpieczona antykorozyjnie oraz malowana na kolor szary o wymiarach 3000x2200 oraz 2600x2200. Konieczne mocowanie na stałe do posadzki.</w:t>
            </w:r>
          </w:p>
          <w:p>
            <w:pPr>
              <w:widowControl/>
              <w:spacing w:after="240"/>
              <w:textAlignment w:val="top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WYMAGANIA TECHNICZNE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Długość (produktu) ok. 3000mm oraz 2600mm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Wysokość (produktu) ok. 2200mm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Do jednego kompletu niezbędne wykonanie 5 szt ramy 3000x2200mm oraz 4 szt ramy 2600x2200mm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  <w:t>5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Zestaw do spawania i cięcia gazowego tlen + acetylen 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sztuka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textAlignment w:val="top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palnik uniwersalny w kasecie metalowej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bezpieczniki przypalnikowe – tlen +acetylen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wąż gazowy tlen/acetylen DUET  25mb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reduktory gazowe – tlen+acetylen Perun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wózek 2 butlowy do transportu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butle tlen + acetylen  - do wydzierżawienia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7" w:hRule="atLeas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  <w:t>6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Przecinarka plazmowa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sztuka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Przecinanie i żłobienie stali niestopowych, stopowych, aluminium i jego stopów oraz większości materiałów przewodzących prąd.                                                                                                                                                                                                                                                 System zajarzania łuku bez HF (wysokiej częstotliwości)                                                                                                                                                    Ręczny uchwyt plazmowy do cięcia 7,5 m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Zestaw podłączenia powietrza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Podstawowy zestaw części zużywających się do palnika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Przewód zasilający 3 m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Przewód masowy z zaciskiem                                                                                                                                                                                         Wbudowany reduktor ciśnienia i separator wilgoci.                                                                                                                                                                                                                Spełnia normy: IEC974-1, ROHS i CE dotyczące bezpieczeństwa i niezawodności.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Gwarancja producenta i serwis na terenie całego kraju.   Parametry techniczne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Napięcie zasilania [V] :  400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Bezpiecznik [A] :  20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Max. prąd cięcia [A] : 60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Prąd [A] - cykl :  60A%@40%, 40A@100%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Grubość cięcia jakościowego stali węglowej [mm] : 25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Grubość cięcia rozdzielającego stali węglowej [mm] : 30</w:t>
            </w:r>
          </w:p>
          <w:p>
            <w:pPr>
              <w:widowControl/>
              <w:textAlignment w:val="top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Przepływ powietrza [l/min] : 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  <w:t>7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Sprężarka tłokowa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sztuka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textAlignment w:val="top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Zbiornik  270l - poziomy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Ilość cylindrów  2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Ilość stopni sprężania  1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Wydajność dla strony ssącej  880l/min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Ciśnienie  10bar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Moc silnika  5.5kW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Napięcie zasilania  ~3× 400V ± 10% 50 / 60 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  <w:t>8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Prasa hydrauliczno – pneumatyczna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sztuka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Dane techniczne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Masa  365 kg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Nacisk  50 t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Przestrzeń robocza (wysokość)  68 - 1048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Skok trzpienia  200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Sprężone powietrze  7,5 - 8,5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Szerokość łoża  730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Wysokość prasy  1904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Zajmowana powierzchnia  910 x 810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Średnica trzpienia  65 mm                                                                                                                                                      - prasa hydrauliczna o spawanej i solidnej konstrukcji do uniwersalnego zastosowania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multiplikator hydrauliczny napędzany sprężonym powietrzem eliminuje wysiłek fizyczny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możliwość pompowania ręcznego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możliwość regulacji wysokości stołu roboczego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kontrola nacisku za pomocą wbudowanego manometra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Wymagane dokumenty:</w:t>
            </w:r>
          </w:p>
          <w:p>
            <w:pPr>
              <w:widowControl/>
              <w:spacing w:after="240"/>
              <w:textAlignment w:val="top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-certyfikat dyrektywy maszynowej 2006/42/WE + 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  <w:t>9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Wiertarka stołowa                                                                                                                                       </w:t>
            </w:r>
            <w:r>
              <w:rPr>
                <w:rFonts w:hint="default" w:ascii="Calibri" w:hAnsi="Calibri" w:cs="Calibri"/>
                <w:color w:val="FF0000"/>
                <w:kern w:val="0"/>
                <w:sz w:val="21"/>
                <w:szCs w:val="21"/>
                <w:lang w:val="en-US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sztuka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Napięcie zasilania: 400 V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Moc: 750 W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Średnica wiercenia w stali: 20 mm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Ilość stopni regulacji obrotów -12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Rozmiar stołu 300x300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Uchwyt wiertarski: zębaty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Maks. prędkość obrotowa: 2740 rpm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Średnica kolumny: 73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Wymiary stołu (Dł. x Sz.): 300x300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Całkowita wysokość – 1065mm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Gwarancja producenta i serwis na terenie całego kraju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Wymagane dokumenty:</w:t>
            </w:r>
          </w:p>
          <w:p>
            <w:pPr>
              <w:widowControl/>
              <w:spacing w:after="240"/>
              <w:textAlignment w:val="top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-certyfikat dyrektywy maszynowej 2006/42/WE + dyrektywa 2006/95/WE + dyrektywa 2004/108/WE +CE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5" w:hRule="atLeas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  <w:t>10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Tokarka uniwersalna                                                                                                                                    </w:t>
            </w:r>
            <w:r>
              <w:rPr>
                <w:rFonts w:hint="default" w:ascii="Calibri" w:hAnsi="Calibri" w:cs="Calibri"/>
                <w:color w:val="FF0000"/>
                <w:kern w:val="0"/>
                <w:sz w:val="21"/>
                <w:szCs w:val="21"/>
                <w:lang w:val="en-US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sztuka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Długość elementu obrabianego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350 mm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Ilość stopni regulacji obrotów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2 stopni(e)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Maksymalny posuw suportu poprzecznego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65 mm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Masa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44 kg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Moc przyłączeniowa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450 W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Napięcie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230 V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Przekładnia obrotów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tak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Płynna regulacja obrotów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tak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Rozmiary urządzenia (dł. x szer. x wys.)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800 x 300 x 300 mm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Stożek tulejki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II Mk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Zakres obrotów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100 - 3 000 obr./min.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Średnica głowicy uniwersalnej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80 mm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Średnica toczonego elementu nad suportem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110 mm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Średnica toczonego elementu nad łożem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180 mm 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Standardowe wyposażenie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-3 szczękowa głowica mocująca 80 mm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-odczyt cyfrowy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-kieł stały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-wkładka topikowa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-zestaw kół zębatych dla gwintów metrycznych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-zestaw narzędzi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jedna działka noniusza; - poprzeczny posuw 0,01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posuw suportu nożowego 0,01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-podstawa typu SM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-komplet noży Sk8x8 (11szt)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Gwarancja producenta i serwis na terenie całego kraju</w:t>
            </w:r>
          </w:p>
          <w:p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Wymagane dokumenty:</w:t>
            </w:r>
          </w:p>
          <w:p>
            <w:pPr>
              <w:widowControl/>
              <w:textAlignment w:val="top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-certyfikat dyrektywy maszynowej 2006/42/WE + dyrektywa 2006/95/WE + dyrektywa 2004/108/WE +CE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5" w:hRule="atLeas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  <w:t>11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Piła taśmowa do metalu pół automatyczna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sztuka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Cięcie pod kątem  90°, 60°, +/- 45° °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Imadło szybkomocujące  tak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Maks.grubość ciętego materiału(szer x wys)  (90°) 260 x 110, (45°) 150 x 145, (60°) 100 x 80, (45°L) 220 x 200 mm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Maksymalna średnica cięcia  (90°) 220, (45°) 150, (60°) 90,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Manometr naciągu taśmy  tak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Masa  213 kg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Moc przyłączeniowa  590 / 1 100 W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Motoreduktor (silnik 2 biegowy)  tak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Napięcie  400 V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Przekładnia pasowa  -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Prędkość cięcia  36 - 72 m/min.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Rozmiar taśmy  2460 x 0,9 x 27 mm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Siłownik opadania ramienia  tak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Skrętne ramię  tak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System chłodzenia  tak 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Wyposażenie podstawowe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  imadło szybkomocujące przesuwne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  taśma tnąca (1szt.)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podstawa metalowa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    system chłodzenia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    manometr naciągu taśmy tnącej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Gwarancja producenta i serwis na terenie całego kraju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Wymagane dokumenty:</w:t>
            </w:r>
          </w:p>
          <w:p>
            <w:pPr>
              <w:widowControl/>
              <w:spacing w:after="240"/>
              <w:textAlignment w:val="top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-certyfikat dyrektywy maszynowej 2006/42/WE + dyrektywa 2006/95/WE + dyrektywa 2004/108/WE +CE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  <w:t>12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Instalacja odciągowo filtracyjna przewidziana dla 5 stanowisk spawalniczo szlifierskich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sztuka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Wymagania dla instalacji odciągowo filtracyjnej stanowisk szlifiersko spawalniczych: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ilość: 1 kpl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wydajność systemu 16000m3/h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wentylator min. 22kW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filtr mechaniczny z systemem automatycznego otrzepywania wkład</w:t>
            </w: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ó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w filtracyjnych 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powierzchnia filtracji min. 240m2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wkłady filtracyjne - membrana teflonowa EPTFE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każdy wkład filtracyjny musi posiadać dedykowany zaw</w:t>
            </w: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ó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r czyszczący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zawory czyszczące zintegrowane ze zbiornikami buforowymi sprężonego powietrza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zestawy bufor</w:t>
            </w: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ó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w powietrza zabudowane wewnątrz obudowy filtra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separator wstępny zawarty w obudowie filtra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zesp</w:t>
            </w: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ó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ł filtracyjny malowany proszkowo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osobny zesp</w:t>
            </w: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ó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ł wentylatora w obudowie dźwiękochłonnej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zestaw napylania s. węglanu wapnia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- układ sterowania filtra z automatyką oczyszczania oraz układ sterowania wentylatora z układem rozruchowym  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orurowanie i kształtki stalowe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instalacja do obsługi stoł</w:t>
            </w: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ó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w szlifiersko spawalniczych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- nawiew powietrza na halę przez tłumik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Montaż + transport + uruchomienie </w:t>
            </w:r>
          </w:p>
          <w:p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Wykonanie instalacji zgodnie z obowiązującymi zasadami I normami dla obiektów typu – spawalnie, spawalnie szkoleniowe</w:t>
            </w:r>
          </w:p>
          <w:p>
            <w:pPr>
              <w:widowControl/>
              <w:spacing w:after="240"/>
              <w:textAlignment w:val="top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  <w:t>Rysunek techniczny obiektu w załączeniu do OPZ.  Na rysunku wskazana też lokalizacja obiektu w którym ma zostać wykonana instalacja.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  <w:t>13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Półautomat spawalniczy MIG/MAG//MMA/TIG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usługa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Procesy spawania: MIG/MAG, MIG Synergiczny, MIG PULS, Podwójny Puls, MMA, TIG Lift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Spawanie metodą TIG z wykorzystaniem elektrozaworu spawarki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- Programy do spawania stali konstrukcyjnych, wysokostopowych, aluminium i lutospawania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Inwertorowe źr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dło p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łautomatu o mocy min. 500 A w cyklu 60 % 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Dla cyklu 100% min. 430A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Wydzielony podajnik 4 rolkowy ze szpulą ładowaną od g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ry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Ciekłokrystaliczny panel sterowania TFT/LCD min. 7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”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z językiem polskim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 xml:space="preserve">- Rolki na druty fi 1,0 i 1,2 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 Chłodnica płynu 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Podwozie 4-kołowe z miejscem na zawieszenie przewod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w i umieszczeniem butli gazowej na zasadzie wtoczenia lub tzw. kołyski bez konieczności podnoszenia ciężkiej butli.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Przew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d pośredni podajnik-źr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dło - 5 mb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- Przewód masowy – OS 70 - 3mb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Uchwyt spawalniczy MIG 500A 5m z doczepianą pistoletową rękojeścią odciążającą dło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ń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przy spawaniu długich spoin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Zakres prądu i napięcia spawania, MIG 15 A/10 V ... 500 A/47 V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Zakres prądu i napięcia spawania, TIG 15 A/1 V ... 500 A/47 V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Zakres prądu i napięcia spawania, spawanie elektrodą otuloną (MMA) 15 A/10 V ... 500 A/47 V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- Zakres temperatur pracy Od -20°C do +40°C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- Stopień ochrony IP23S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Klasa kompatybilności elektromagnetycznej A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- Zakres temperatur przechowywania Od -40°C do +60°Ct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Kalibracja urządzenia poprzez pomiar napięcia z ko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ń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wki prądowej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Wbudowany licznik czasu jarzenia łuku i załączenia maszyny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Funkcja specjalna zapewniająca bardzo skoncentrowany i wysokoenergetyczny łuk spawalniczy, dzięki kt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remu możemy uzyskać większe prędkości spawania przy jednoczesnym zmniejszeniu ilości wprowadzonego ciepła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Funkcja specjalna eliminująca zakres łuku globularnego poprzez naprzemienne wykorzystywanie łuku zwarciowego i natryskowego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Asystent spawania sugerujący optymalne parametry spawania po podaniu grupy materiałowej, grubości materiału, rodzaju złącza i pozycji spawania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Wbudowany nadajnik/odbiornik wi-fi umożliwiający wysyłanie parametr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w spawania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Niskoenergetyczny proces do spawania cienkich materiał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w i warstw graniowych z g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ry na d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ł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Funkcja specjalna do automatycznego spawania pion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w w pozycji PF bez konieczności zakosowania</w:t>
            </w:r>
          </w:p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Deklaracja zgodności urządzeń oraz deklaracja 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5" w:hRule="atLeas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  <w:t>14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Inwertor spawalniczy TIG /MMA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Sztuka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Spawarka inwertorowa TIG/MMA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 xml:space="preserve">TIG min. 230 A w cyklu 40 % 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Możliwość spawania prądem stałym DC i przemiennym ACDC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Zasilanie 1 ~ 230 V lub 1 ~ 110 V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Ciekłokrystaliczny panel sterowaniaTFT/LCD min. 7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”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z językiem polskim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chłodnica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podwozie 4 kołowe z podstawą na butlę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- przewód masowy 3mb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- uchwyt spawalniczy TIG SR18F 4mb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asystent spawania sugerujący optymalne parametry spawania po podaniu grupy materiałowej, grubości materiału, rodzaju złącza i pozycji spawania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- spawanie w pulsie i podwójnym pulsie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 funkcja do mikro sczepiania 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możliwość ustawienia czasu jarzenia łuku co do 0,001s 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możliwość wyboru przynajmniej 3 charakterystyk prądu przemiennego: sinusoidalna, kwadratowa i optymalna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wbudowany licznik czasu jarzenia łuku i załączenia maszyny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możliwość podłączenia opcjonalnego sterowania bezprzewodowego Bluetooth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kanały pamięci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rejestrator wszystkich kod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w błęd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w z opisem w języku polskim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Deklaracja zgodności urządzeń oraz deklaracja CE</w:t>
            </w:r>
          </w:p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  <w:t>15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szlifierka kątowa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sztuka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Moc pobierana 1400 W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Prędkość bez obciążenia 11500 obr/min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Maks. średnica tarczy 125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Gwint wrzeciona M14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beznarzędziowo ustawiana osłona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wielopozycyjna rękojeść boczna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wewnętrzny i zewnętrzny kołnierz ściernic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klucz</w:t>
            </w:r>
          </w:p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Gwarancja producenta i serwis na terenie całego kraju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  <w:t>16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szlifierka prosta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sztuka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Moc pobierana 450 W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Prędkość bez obciążenia 25000 obr/min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Masa 1,6 kg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Długość 356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Rozmiar tulei zaciskowej 6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tulejka szybkozaciskowa 6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2 klucze</w:t>
            </w:r>
          </w:p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Gwarancja producenta i serwis na terenie całego kraju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  <w:t>17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Imadło ślusarskie obrotowe 150mm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sztuka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Korpus: żeliwny                                                                                                                                                                       Szerokość szczęki: 150 mm                                                                                                                                              Typ imadła: obrotowe                                                                                                                                                                  Max siła mocowania: 3400 daN                                                                                                                                          Masa: 18,0kg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  <w:t>18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Przyłbica automatyczna samościemniająca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sztuka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- spawanie metodą TIG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spawanie metodą MIG/MAG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spawanie metodą MMA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cięcie plazmowe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szlifowanie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DANE TECHNICZNE: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funkcja TRUE COLOR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Pole widzenia : 100 x 60 mm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Klasa optyczna 1/1/1/2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Ilość sensor</w:t>
            </w: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ó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w : 4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Prędkość reakcji : 1/30 000 s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Czułość: regulowana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Zasilanie: solarne + bateria litowa (CR 2450)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Szlifowanie: tak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Wskaźnik słabej baterii: tak</w:t>
            </w:r>
          </w:p>
          <w:p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Zaciemnienie: 5-13 DIN</w:t>
            </w:r>
          </w:p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Temperatura pracy: -5°C ÷ +55°C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Instrukcja obsługi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  <w:t>19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Taboret - krzesło spawalnicze (stołek spawalniczy)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sztuka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Konstrukcja taboretu: stal malowana proszkowo – 5 nóg + podpórka na stopy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Siedzisko: drewno sklejka bukowa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Regulacja wysokości: TAK (wrzeciono)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Wysokość: 600 -800mm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  <w:t>20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Szkolenia sprzętowe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sztuka</w:t>
            </w:r>
          </w:p>
        </w:tc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eastAsia="SimSun" w:cs="Calibri"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</w:pPr>
            <w:r>
              <w:rPr>
                <w:rFonts w:hint="default" w:ascii="Calibri" w:hAnsi="Calibri" w:cs="Calibri"/>
                <w:color w:val="000000"/>
                <w:kern w:val="0"/>
                <w:sz w:val="21"/>
                <w:szCs w:val="21"/>
                <w:lang w:val="pl-PL" w:bidi="ar"/>
              </w:rPr>
              <w:t xml:space="preserve">Szkolenia z obsługi dostarczonego sprzętu w wymiarze 25 godz. dla osób wskazanych przez Zamawiającego w miejscu i terminie wyznaczonym przez Zamawiającego. </w:t>
            </w:r>
          </w:p>
        </w:tc>
      </w:tr>
    </w:tbl>
    <w:p>
      <w:pPr>
        <w:rPr>
          <w:rFonts w:cstheme="minorHAnsi"/>
        </w:rPr>
      </w:pPr>
    </w:p>
    <w:p>
      <w:pPr>
        <w:rPr>
          <w:rFonts w:cstheme="minorHAnsi"/>
        </w:rPr>
      </w:pPr>
    </w:p>
    <w:sectPr>
      <w:headerReference r:id="rId3" w:type="default"/>
      <w:footerReference r:id="rId4" w:type="default"/>
      <w:footnotePr>
        <w:numFmt w:val="chicago"/>
      </w:footnotePr>
      <w:pgSz w:w="11906" w:h="16838"/>
      <w:pgMar w:top="846" w:right="707" w:bottom="709" w:left="1418" w:header="0" w:footer="359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21" w:usb3="00000000" w:csb0="000001BF" w:csb1="00000000"/>
  </w:font>
  <w:font w:name="Arial Unicode MS">
    <w:altName w:val="Yu Gothic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Segoe Print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 Light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rPr>
        <w:rFonts w:asciiTheme="minorHAnsi" w:hAnsiTheme="minorHAnsi" w:cstheme="minorHAnsi"/>
        <w:sz w:val="16"/>
        <w:szCs w:val="16"/>
      </w:rPr>
    </w:pPr>
    <w:r>
      <w:rPr>
        <w:lang w:eastAsia="pl-PL" w:bidi="ar-SA"/>
      </w:rPr>
      <w:t xml:space="preserve">  </w:t>
    </w:r>
  </w:p>
  <w:p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>
      <w:rPr>
        <w:lang w:eastAsia="pl-PL" w:bidi="ar-SA"/>
      </w:rPr>
      <w:drawing>
        <wp:inline distT="0" distB="0" distL="0" distR="0">
          <wp:extent cx="6210935" cy="6597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9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>
    <w:pPr>
      <w:autoSpaceDE w:val="0"/>
      <w:adjustRightInd w:val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Projekt </w:t>
    </w:r>
    <w:r>
      <w:rPr>
        <w:rFonts w:asciiTheme="minorHAnsi" w:hAnsiTheme="minorHAnsi" w:eastAsiaTheme="minorHAnsi" w:cstheme="minorHAnsi"/>
        <w:sz w:val="16"/>
        <w:szCs w:val="16"/>
      </w:rPr>
      <w:t xml:space="preserve">„Zwiększenie kompetencji i podniesienie kwalifikacji słuchaczy oraz nauczycieli Centrum Rozwoju Kompetencji Województwa Łódzkiego i PGE Polskiej Grupy Energetycznej w Woli Grzymalinej” </w:t>
    </w:r>
    <w:r>
      <w:rPr>
        <w:rFonts w:asciiTheme="minorHAnsi" w:hAnsiTheme="minorHAnsi" w:cstheme="minorHAnsi"/>
        <w:sz w:val="16"/>
        <w:szCs w:val="16"/>
      </w:rPr>
      <w:t>Nr RPLD.11.03.01-10-0012/22 .</w:t>
    </w:r>
    <w:r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autoHyphenation/>
  <w:hyphenationZone w:val="425"/>
  <w:displayHorizontalDrawingGridEvery w:val="1"/>
  <w:displayVerticalDrawingGridEvery w:val="1"/>
  <w:noPunctuationKerning w:val="1"/>
  <w:characterSpacingControl w:val="doNotCompress"/>
  <w:footnotePr>
    <w:numFmt w:val="chicago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2E"/>
    <w:rsid w:val="000137EB"/>
    <w:rsid w:val="00014F91"/>
    <w:rsid w:val="00027D30"/>
    <w:rsid w:val="00041C3B"/>
    <w:rsid w:val="00061583"/>
    <w:rsid w:val="00065A9B"/>
    <w:rsid w:val="00066D7B"/>
    <w:rsid w:val="00070ADA"/>
    <w:rsid w:val="00075C4D"/>
    <w:rsid w:val="00075ECF"/>
    <w:rsid w:val="000849CB"/>
    <w:rsid w:val="00093543"/>
    <w:rsid w:val="000A0CE0"/>
    <w:rsid w:val="000A3E20"/>
    <w:rsid w:val="000B229A"/>
    <w:rsid w:val="000B7D6A"/>
    <w:rsid w:val="000C0172"/>
    <w:rsid w:val="000C15C1"/>
    <w:rsid w:val="000C2AAA"/>
    <w:rsid w:val="000D13AB"/>
    <w:rsid w:val="00100B8C"/>
    <w:rsid w:val="00120084"/>
    <w:rsid w:val="00126E40"/>
    <w:rsid w:val="00131B81"/>
    <w:rsid w:val="00132885"/>
    <w:rsid w:val="00136218"/>
    <w:rsid w:val="00137B48"/>
    <w:rsid w:val="00140DB2"/>
    <w:rsid w:val="0014610F"/>
    <w:rsid w:val="00146E2E"/>
    <w:rsid w:val="00147B91"/>
    <w:rsid w:val="00162248"/>
    <w:rsid w:val="00162825"/>
    <w:rsid w:val="00163C4F"/>
    <w:rsid w:val="00177C56"/>
    <w:rsid w:val="00182371"/>
    <w:rsid w:val="00185170"/>
    <w:rsid w:val="00187E45"/>
    <w:rsid w:val="001901E9"/>
    <w:rsid w:val="00190F8F"/>
    <w:rsid w:val="0019395C"/>
    <w:rsid w:val="00195C33"/>
    <w:rsid w:val="001A454B"/>
    <w:rsid w:val="001B1547"/>
    <w:rsid w:val="001D667F"/>
    <w:rsid w:val="00207048"/>
    <w:rsid w:val="002360D9"/>
    <w:rsid w:val="00240E89"/>
    <w:rsid w:val="0024300E"/>
    <w:rsid w:val="002446BD"/>
    <w:rsid w:val="00246BE1"/>
    <w:rsid w:val="00246D9C"/>
    <w:rsid w:val="00260B16"/>
    <w:rsid w:val="002719B6"/>
    <w:rsid w:val="00275123"/>
    <w:rsid w:val="00281BCE"/>
    <w:rsid w:val="002826B7"/>
    <w:rsid w:val="00284E65"/>
    <w:rsid w:val="00290E81"/>
    <w:rsid w:val="0029464C"/>
    <w:rsid w:val="002B3420"/>
    <w:rsid w:val="002B3FE9"/>
    <w:rsid w:val="002D0104"/>
    <w:rsid w:val="002D2B9C"/>
    <w:rsid w:val="002F3D4C"/>
    <w:rsid w:val="002F693E"/>
    <w:rsid w:val="00306349"/>
    <w:rsid w:val="0031082F"/>
    <w:rsid w:val="00313529"/>
    <w:rsid w:val="00320D92"/>
    <w:rsid w:val="00321FBC"/>
    <w:rsid w:val="00323684"/>
    <w:rsid w:val="00337564"/>
    <w:rsid w:val="003476B0"/>
    <w:rsid w:val="00353B64"/>
    <w:rsid w:val="00357289"/>
    <w:rsid w:val="003711B7"/>
    <w:rsid w:val="003740D7"/>
    <w:rsid w:val="00375943"/>
    <w:rsid w:val="0038003E"/>
    <w:rsid w:val="00382AF7"/>
    <w:rsid w:val="003874F3"/>
    <w:rsid w:val="00392F5E"/>
    <w:rsid w:val="003957BA"/>
    <w:rsid w:val="003A37E3"/>
    <w:rsid w:val="003A6275"/>
    <w:rsid w:val="003A7AF1"/>
    <w:rsid w:val="003D0C61"/>
    <w:rsid w:val="003E3269"/>
    <w:rsid w:val="003E3CF8"/>
    <w:rsid w:val="003F024D"/>
    <w:rsid w:val="00402467"/>
    <w:rsid w:val="004115B1"/>
    <w:rsid w:val="0041191F"/>
    <w:rsid w:val="0041274E"/>
    <w:rsid w:val="004163A3"/>
    <w:rsid w:val="00422D88"/>
    <w:rsid w:val="00424243"/>
    <w:rsid w:val="00455489"/>
    <w:rsid w:val="004579D2"/>
    <w:rsid w:val="00481450"/>
    <w:rsid w:val="00492EB5"/>
    <w:rsid w:val="004A0058"/>
    <w:rsid w:val="004A13C5"/>
    <w:rsid w:val="004A1E2F"/>
    <w:rsid w:val="004B0B85"/>
    <w:rsid w:val="004B27D2"/>
    <w:rsid w:val="004D16FF"/>
    <w:rsid w:val="004D3AE7"/>
    <w:rsid w:val="004D75FB"/>
    <w:rsid w:val="004D7A56"/>
    <w:rsid w:val="004E36E9"/>
    <w:rsid w:val="004F694F"/>
    <w:rsid w:val="005023CC"/>
    <w:rsid w:val="00507969"/>
    <w:rsid w:val="00514A40"/>
    <w:rsid w:val="00524DEE"/>
    <w:rsid w:val="0052665C"/>
    <w:rsid w:val="00532C25"/>
    <w:rsid w:val="00540C04"/>
    <w:rsid w:val="005445D5"/>
    <w:rsid w:val="00544DDD"/>
    <w:rsid w:val="005451B4"/>
    <w:rsid w:val="0055191A"/>
    <w:rsid w:val="005535CD"/>
    <w:rsid w:val="00556994"/>
    <w:rsid w:val="005571C7"/>
    <w:rsid w:val="0056418D"/>
    <w:rsid w:val="005708B2"/>
    <w:rsid w:val="00577960"/>
    <w:rsid w:val="00582620"/>
    <w:rsid w:val="00582753"/>
    <w:rsid w:val="005A1589"/>
    <w:rsid w:val="005A613E"/>
    <w:rsid w:val="005B3828"/>
    <w:rsid w:val="005C36DD"/>
    <w:rsid w:val="005C3A0D"/>
    <w:rsid w:val="005C49EA"/>
    <w:rsid w:val="005C63D7"/>
    <w:rsid w:val="005C7C62"/>
    <w:rsid w:val="005D5A87"/>
    <w:rsid w:val="005E15B3"/>
    <w:rsid w:val="005E544B"/>
    <w:rsid w:val="005F4809"/>
    <w:rsid w:val="00607446"/>
    <w:rsid w:val="006079C8"/>
    <w:rsid w:val="00607EC8"/>
    <w:rsid w:val="00610756"/>
    <w:rsid w:val="0061303C"/>
    <w:rsid w:val="006153E2"/>
    <w:rsid w:val="00626C9E"/>
    <w:rsid w:val="00626F12"/>
    <w:rsid w:val="00643230"/>
    <w:rsid w:val="00647B1F"/>
    <w:rsid w:val="0065405F"/>
    <w:rsid w:val="006563C9"/>
    <w:rsid w:val="006678D1"/>
    <w:rsid w:val="00674D16"/>
    <w:rsid w:val="00675B8A"/>
    <w:rsid w:val="00676E59"/>
    <w:rsid w:val="00690D53"/>
    <w:rsid w:val="00691C70"/>
    <w:rsid w:val="00694647"/>
    <w:rsid w:val="006B32B3"/>
    <w:rsid w:val="006B5C60"/>
    <w:rsid w:val="006B6B44"/>
    <w:rsid w:val="006B78FC"/>
    <w:rsid w:val="006B7FA5"/>
    <w:rsid w:val="006C5AAB"/>
    <w:rsid w:val="006C6F88"/>
    <w:rsid w:val="006C7F2F"/>
    <w:rsid w:val="006D1B12"/>
    <w:rsid w:val="006D6FA2"/>
    <w:rsid w:val="006D7CFC"/>
    <w:rsid w:val="006E2167"/>
    <w:rsid w:val="006E5B8C"/>
    <w:rsid w:val="006F4E3B"/>
    <w:rsid w:val="007019B2"/>
    <w:rsid w:val="007039D5"/>
    <w:rsid w:val="0071126B"/>
    <w:rsid w:val="00711E81"/>
    <w:rsid w:val="00713036"/>
    <w:rsid w:val="0072419F"/>
    <w:rsid w:val="007338D5"/>
    <w:rsid w:val="00740573"/>
    <w:rsid w:val="00740BE9"/>
    <w:rsid w:val="00754102"/>
    <w:rsid w:val="0077616B"/>
    <w:rsid w:val="0079048B"/>
    <w:rsid w:val="00791D83"/>
    <w:rsid w:val="00795809"/>
    <w:rsid w:val="007A5527"/>
    <w:rsid w:val="007A75CF"/>
    <w:rsid w:val="007C1286"/>
    <w:rsid w:val="007C66A0"/>
    <w:rsid w:val="007D5B85"/>
    <w:rsid w:val="007D5EA0"/>
    <w:rsid w:val="007E1C80"/>
    <w:rsid w:val="007F70D9"/>
    <w:rsid w:val="007F74F7"/>
    <w:rsid w:val="00804E1C"/>
    <w:rsid w:val="00806805"/>
    <w:rsid w:val="0083091B"/>
    <w:rsid w:val="00834EBD"/>
    <w:rsid w:val="00837A50"/>
    <w:rsid w:val="008454B4"/>
    <w:rsid w:val="008555C8"/>
    <w:rsid w:val="00857C90"/>
    <w:rsid w:val="00864F59"/>
    <w:rsid w:val="00884DD6"/>
    <w:rsid w:val="00890FE0"/>
    <w:rsid w:val="008A02EB"/>
    <w:rsid w:val="008A5FE0"/>
    <w:rsid w:val="008B0AB1"/>
    <w:rsid w:val="008B6319"/>
    <w:rsid w:val="008B6F5B"/>
    <w:rsid w:val="008C0615"/>
    <w:rsid w:val="008C41C1"/>
    <w:rsid w:val="008D3E65"/>
    <w:rsid w:val="008D6C7C"/>
    <w:rsid w:val="008E09F9"/>
    <w:rsid w:val="008E2906"/>
    <w:rsid w:val="008F757C"/>
    <w:rsid w:val="00910057"/>
    <w:rsid w:val="00926EE0"/>
    <w:rsid w:val="009322D3"/>
    <w:rsid w:val="00935C4D"/>
    <w:rsid w:val="009419BC"/>
    <w:rsid w:val="00943996"/>
    <w:rsid w:val="00952A36"/>
    <w:rsid w:val="00954BF2"/>
    <w:rsid w:val="0096027D"/>
    <w:rsid w:val="00980192"/>
    <w:rsid w:val="009827B0"/>
    <w:rsid w:val="00993821"/>
    <w:rsid w:val="009A36F3"/>
    <w:rsid w:val="009A5CD1"/>
    <w:rsid w:val="009B2742"/>
    <w:rsid w:val="009C2583"/>
    <w:rsid w:val="009C4913"/>
    <w:rsid w:val="009C4E1C"/>
    <w:rsid w:val="009C7E08"/>
    <w:rsid w:val="009D4783"/>
    <w:rsid w:val="009E1C07"/>
    <w:rsid w:val="009E2398"/>
    <w:rsid w:val="00A013A7"/>
    <w:rsid w:val="00A030C5"/>
    <w:rsid w:val="00A053DC"/>
    <w:rsid w:val="00A13272"/>
    <w:rsid w:val="00A4066E"/>
    <w:rsid w:val="00A51D1C"/>
    <w:rsid w:val="00A51E17"/>
    <w:rsid w:val="00A52CA3"/>
    <w:rsid w:val="00A55186"/>
    <w:rsid w:val="00A70FB0"/>
    <w:rsid w:val="00A724CD"/>
    <w:rsid w:val="00A84A7E"/>
    <w:rsid w:val="00AA3F55"/>
    <w:rsid w:val="00AA6D86"/>
    <w:rsid w:val="00AC04AA"/>
    <w:rsid w:val="00AC1316"/>
    <w:rsid w:val="00AC2144"/>
    <w:rsid w:val="00AD2EA2"/>
    <w:rsid w:val="00AD36ED"/>
    <w:rsid w:val="00AD3E72"/>
    <w:rsid w:val="00AD50B0"/>
    <w:rsid w:val="00AE27FA"/>
    <w:rsid w:val="00AE2D23"/>
    <w:rsid w:val="00AE3DF0"/>
    <w:rsid w:val="00AE7191"/>
    <w:rsid w:val="00AF6F16"/>
    <w:rsid w:val="00B119F0"/>
    <w:rsid w:val="00B2370C"/>
    <w:rsid w:val="00B32484"/>
    <w:rsid w:val="00B44FC3"/>
    <w:rsid w:val="00B462CE"/>
    <w:rsid w:val="00B52F9F"/>
    <w:rsid w:val="00B62FB5"/>
    <w:rsid w:val="00B64E61"/>
    <w:rsid w:val="00B672F8"/>
    <w:rsid w:val="00B6769B"/>
    <w:rsid w:val="00B748AA"/>
    <w:rsid w:val="00B825DE"/>
    <w:rsid w:val="00B91025"/>
    <w:rsid w:val="00B937F5"/>
    <w:rsid w:val="00B9459D"/>
    <w:rsid w:val="00BA4EC8"/>
    <w:rsid w:val="00BB3993"/>
    <w:rsid w:val="00BB524D"/>
    <w:rsid w:val="00BB5524"/>
    <w:rsid w:val="00BD0719"/>
    <w:rsid w:val="00BD4905"/>
    <w:rsid w:val="00BE30EB"/>
    <w:rsid w:val="00BE4872"/>
    <w:rsid w:val="00BE4A8D"/>
    <w:rsid w:val="00C11598"/>
    <w:rsid w:val="00C11701"/>
    <w:rsid w:val="00C20A8D"/>
    <w:rsid w:val="00C24449"/>
    <w:rsid w:val="00C27E75"/>
    <w:rsid w:val="00C321D1"/>
    <w:rsid w:val="00C35BDD"/>
    <w:rsid w:val="00C40759"/>
    <w:rsid w:val="00C44E08"/>
    <w:rsid w:val="00C475F4"/>
    <w:rsid w:val="00C53CCE"/>
    <w:rsid w:val="00C65345"/>
    <w:rsid w:val="00C73793"/>
    <w:rsid w:val="00C81BC7"/>
    <w:rsid w:val="00C83B9F"/>
    <w:rsid w:val="00C859CB"/>
    <w:rsid w:val="00C9125F"/>
    <w:rsid w:val="00CA5AE0"/>
    <w:rsid w:val="00CA7A88"/>
    <w:rsid w:val="00CB3E05"/>
    <w:rsid w:val="00CB5C53"/>
    <w:rsid w:val="00CD1057"/>
    <w:rsid w:val="00CD3E57"/>
    <w:rsid w:val="00CD4C9D"/>
    <w:rsid w:val="00CD7E9C"/>
    <w:rsid w:val="00CE44AA"/>
    <w:rsid w:val="00CE5E09"/>
    <w:rsid w:val="00CE5E23"/>
    <w:rsid w:val="00CE7166"/>
    <w:rsid w:val="00CF0E8E"/>
    <w:rsid w:val="00CF4391"/>
    <w:rsid w:val="00CF583A"/>
    <w:rsid w:val="00D04772"/>
    <w:rsid w:val="00D06239"/>
    <w:rsid w:val="00D12C65"/>
    <w:rsid w:val="00D152EE"/>
    <w:rsid w:val="00D25A69"/>
    <w:rsid w:val="00D26769"/>
    <w:rsid w:val="00D3122C"/>
    <w:rsid w:val="00D31A22"/>
    <w:rsid w:val="00D32D98"/>
    <w:rsid w:val="00D339A4"/>
    <w:rsid w:val="00D52740"/>
    <w:rsid w:val="00D65B65"/>
    <w:rsid w:val="00D70927"/>
    <w:rsid w:val="00D742C0"/>
    <w:rsid w:val="00D810C4"/>
    <w:rsid w:val="00D97F42"/>
    <w:rsid w:val="00DA2009"/>
    <w:rsid w:val="00DA32B3"/>
    <w:rsid w:val="00DA430D"/>
    <w:rsid w:val="00DA5BF1"/>
    <w:rsid w:val="00DB02F5"/>
    <w:rsid w:val="00DB1CBB"/>
    <w:rsid w:val="00DB5119"/>
    <w:rsid w:val="00DC60D8"/>
    <w:rsid w:val="00DE2AE3"/>
    <w:rsid w:val="00DE5F77"/>
    <w:rsid w:val="00DE6B3D"/>
    <w:rsid w:val="00DE6BB9"/>
    <w:rsid w:val="00DF085F"/>
    <w:rsid w:val="00DF2E5A"/>
    <w:rsid w:val="00DF3A61"/>
    <w:rsid w:val="00DF767A"/>
    <w:rsid w:val="00E02859"/>
    <w:rsid w:val="00E06B9C"/>
    <w:rsid w:val="00E07597"/>
    <w:rsid w:val="00E07C22"/>
    <w:rsid w:val="00E16E71"/>
    <w:rsid w:val="00E238D0"/>
    <w:rsid w:val="00E52D72"/>
    <w:rsid w:val="00E5580A"/>
    <w:rsid w:val="00E66A44"/>
    <w:rsid w:val="00E74928"/>
    <w:rsid w:val="00E80EAC"/>
    <w:rsid w:val="00E93856"/>
    <w:rsid w:val="00E96F9D"/>
    <w:rsid w:val="00E972CD"/>
    <w:rsid w:val="00EA3E4A"/>
    <w:rsid w:val="00EA4463"/>
    <w:rsid w:val="00EA5DB7"/>
    <w:rsid w:val="00EB1BCD"/>
    <w:rsid w:val="00EC2ACA"/>
    <w:rsid w:val="00EC4919"/>
    <w:rsid w:val="00EC6530"/>
    <w:rsid w:val="00ED501A"/>
    <w:rsid w:val="00ED67A9"/>
    <w:rsid w:val="00EE4495"/>
    <w:rsid w:val="00EE5613"/>
    <w:rsid w:val="00EE61ED"/>
    <w:rsid w:val="00EE782A"/>
    <w:rsid w:val="00EF28C2"/>
    <w:rsid w:val="00EF3E93"/>
    <w:rsid w:val="00EF685A"/>
    <w:rsid w:val="00F01053"/>
    <w:rsid w:val="00F02909"/>
    <w:rsid w:val="00F0380C"/>
    <w:rsid w:val="00F05354"/>
    <w:rsid w:val="00F15AB0"/>
    <w:rsid w:val="00F21BB5"/>
    <w:rsid w:val="00F34BF5"/>
    <w:rsid w:val="00F43502"/>
    <w:rsid w:val="00F4432E"/>
    <w:rsid w:val="00F61AC5"/>
    <w:rsid w:val="00F7378F"/>
    <w:rsid w:val="00F73FA3"/>
    <w:rsid w:val="00F84785"/>
    <w:rsid w:val="00F85C6C"/>
    <w:rsid w:val="00F876DB"/>
    <w:rsid w:val="00F90CD4"/>
    <w:rsid w:val="00F90DEB"/>
    <w:rsid w:val="00F91C08"/>
    <w:rsid w:val="00F9304A"/>
    <w:rsid w:val="00F95EFB"/>
    <w:rsid w:val="00FA680A"/>
    <w:rsid w:val="00FA6D58"/>
    <w:rsid w:val="00FA70EF"/>
    <w:rsid w:val="00FB5A19"/>
    <w:rsid w:val="00FD3B09"/>
    <w:rsid w:val="00FD5DB5"/>
    <w:rsid w:val="00FE19D7"/>
    <w:rsid w:val="00FE38C7"/>
    <w:rsid w:val="00FF6209"/>
    <w:rsid w:val="00FF6FD0"/>
    <w:rsid w:val="03A10172"/>
    <w:rsid w:val="0C9625B4"/>
    <w:rsid w:val="1CC26B08"/>
    <w:rsid w:val="23F9471E"/>
    <w:rsid w:val="242031D1"/>
    <w:rsid w:val="26154FB2"/>
    <w:rsid w:val="2ED52630"/>
    <w:rsid w:val="2F5D2C02"/>
    <w:rsid w:val="34BF4FB0"/>
    <w:rsid w:val="36177D24"/>
    <w:rsid w:val="428E3EF7"/>
    <w:rsid w:val="4ABA7703"/>
    <w:rsid w:val="4BAF2671"/>
    <w:rsid w:val="4BB0030E"/>
    <w:rsid w:val="4F340929"/>
    <w:rsid w:val="4F8C7615"/>
    <w:rsid w:val="4FBC621D"/>
    <w:rsid w:val="547679E2"/>
    <w:rsid w:val="5F7A46CF"/>
    <w:rsid w:val="657A1E4D"/>
    <w:rsid w:val="69F73BDA"/>
    <w:rsid w:val="6C26623E"/>
    <w:rsid w:val="6F1475C7"/>
    <w:rsid w:val="701B7D3D"/>
    <w:rsid w:val="761D731A"/>
    <w:rsid w:val="77812ED2"/>
    <w:rsid w:val="7C41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Liberation Serif" w:hAnsi="Liberation Serif" w:eastAsia="SimSun" w:cs="Arial Unicode MS"/>
      <w:kern w:val="3"/>
      <w:sz w:val="24"/>
      <w:szCs w:val="24"/>
      <w:lang w:val="pl-PL" w:eastAsia="zh-CN" w:bidi="hi-IN"/>
    </w:rPr>
  </w:style>
  <w:style w:type="paragraph" w:styleId="2">
    <w:name w:val="heading 1"/>
    <w:basedOn w:val="1"/>
    <w:next w:val="1"/>
    <w:link w:val="33"/>
    <w:qFormat/>
    <w:uiPriority w:val="0"/>
    <w:pPr>
      <w:keepNext/>
      <w:widowControl/>
      <w:autoSpaceDN/>
      <w:spacing w:before="240" w:after="60"/>
      <w:textAlignment w:val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eastAsia="ar-SA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0"/>
    <w:semiHidden/>
    <w:unhideWhenUsed/>
    <w:qFormat/>
    <w:uiPriority w:val="99"/>
    <w:rPr>
      <w:rFonts w:ascii="Tahoma" w:hAnsi="Tahoma" w:cs="Mangal"/>
      <w:sz w:val="16"/>
      <w:szCs w:val="14"/>
    </w:rPr>
  </w:style>
  <w:style w:type="paragraph" w:styleId="6">
    <w:name w:val="Body Text"/>
    <w:basedOn w:val="1"/>
    <w:link w:val="35"/>
    <w:qFormat/>
    <w:uiPriority w:val="0"/>
    <w:pPr>
      <w:widowControl/>
      <w:tabs>
        <w:tab w:val="left" w:pos="900"/>
      </w:tabs>
      <w:suppressAutoHyphens w:val="0"/>
      <w:autoSpaceDN/>
      <w:jc w:val="both"/>
      <w:textAlignment w:val="auto"/>
    </w:pPr>
    <w:rPr>
      <w:rFonts w:ascii="Times New Roman" w:hAnsi="Times New Roman" w:eastAsia="Calibri" w:cs="Times New Roman"/>
      <w:kern w:val="0"/>
      <w:lang w:eastAsia="pl-PL" w:bidi="ar-SA"/>
    </w:rPr>
  </w:style>
  <w:style w:type="character" w:styleId="7">
    <w:name w:val="annotation reference"/>
    <w:basedOn w:val="3"/>
    <w:semiHidden/>
    <w:unhideWhenUsed/>
    <w:qFormat/>
    <w:uiPriority w:val="99"/>
    <w:rPr>
      <w:sz w:val="16"/>
      <w:szCs w:val="16"/>
    </w:rPr>
  </w:style>
  <w:style w:type="paragraph" w:styleId="8">
    <w:name w:val="annotation text"/>
    <w:basedOn w:val="1"/>
    <w:link w:val="41"/>
    <w:semiHidden/>
    <w:unhideWhenUsed/>
    <w:qFormat/>
    <w:uiPriority w:val="99"/>
    <w:rPr>
      <w:rFonts w:cs="Mangal"/>
      <w:sz w:val="20"/>
      <w:szCs w:val="18"/>
    </w:rPr>
  </w:style>
  <w:style w:type="paragraph" w:styleId="9">
    <w:name w:val="annotation subject"/>
    <w:basedOn w:val="8"/>
    <w:next w:val="8"/>
    <w:link w:val="42"/>
    <w:semiHidden/>
    <w:unhideWhenUsed/>
    <w:qFormat/>
    <w:uiPriority w:val="99"/>
    <w:rPr>
      <w:b/>
      <w:bCs/>
    </w:rPr>
  </w:style>
  <w:style w:type="character" w:styleId="10">
    <w:name w:val="Emphasis"/>
    <w:qFormat/>
    <w:uiPriority w:val="0"/>
    <w:rPr>
      <w:i/>
      <w:iCs/>
    </w:rPr>
  </w:style>
  <w:style w:type="paragraph" w:styleId="11">
    <w:name w:val="footer"/>
    <w:basedOn w:val="1"/>
    <w:link w:val="28"/>
    <w:unhideWhenUsed/>
    <w:qFormat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12">
    <w:name w:val="footnote reference"/>
    <w:basedOn w:val="3"/>
    <w:semiHidden/>
    <w:unhideWhenUsed/>
    <w:qFormat/>
    <w:uiPriority w:val="99"/>
    <w:rPr>
      <w:vertAlign w:val="superscript"/>
    </w:rPr>
  </w:style>
  <w:style w:type="paragraph" w:styleId="13">
    <w:name w:val="footnote text"/>
    <w:basedOn w:val="1"/>
    <w:link w:val="31"/>
    <w:semiHidden/>
    <w:unhideWhenUsed/>
    <w:qFormat/>
    <w:uiPriority w:val="99"/>
    <w:rPr>
      <w:rFonts w:cs="Mangal"/>
      <w:sz w:val="20"/>
      <w:szCs w:val="18"/>
    </w:rPr>
  </w:style>
  <w:style w:type="paragraph" w:styleId="14">
    <w:name w:val="header"/>
    <w:basedOn w:val="1"/>
    <w:link w:val="27"/>
    <w:unhideWhenUsed/>
    <w:qFormat/>
    <w:uiPriority w:val="0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1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List"/>
    <w:basedOn w:val="17"/>
    <w:qFormat/>
    <w:uiPriority w:val="0"/>
  </w:style>
  <w:style w:type="paragraph" w:customStyle="1" w:styleId="17">
    <w:name w:val="Text body"/>
    <w:basedOn w:val="18"/>
    <w:qFormat/>
    <w:uiPriority w:val="0"/>
    <w:pPr>
      <w:spacing w:after="140" w:line="288" w:lineRule="auto"/>
    </w:pPr>
  </w:style>
  <w:style w:type="paragraph" w:customStyle="1" w:styleId="18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Liberation Serif" w:hAnsi="Liberation Serif" w:eastAsia="SimSun" w:cs="Arial Unicode MS"/>
      <w:kern w:val="3"/>
      <w:sz w:val="24"/>
      <w:szCs w:val="24"/>
      <w:lang w:val="pl-PL" w:eastAsia="zh-CN" w:bidi="hi-IN"/>
    </w:rPr>
  </w:style>
  <w:style w:type="character" w:styleId="19">
    <w:name w:val="Strong"/>
    <w:basedOn w:val="3"/>
    <w:qFormat/>
    <w:uiPriority w:val="22"/>
    <w:rPr>
      <w:b/>
      <w:bCs/>
    </w:rPr>
  </w:style>
  <w:style w:type="table" w:styleId="20">
    <w:name w:val="Table Grid"/>
    <w:basedOn w:val="4"/>
    <w:qFormat/>
    <w:uiPriority w:val="39"/>
    <w:rPr>
      <w:rFonts w:asciiTheme="minorHAnsi" w:hAnsiTheme="minorHAnsi" w:eastAsiaTheme="minorHAnsi" w:cstheme="minorBidi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">
    <w:name w:val="Heading"/>
    <w:basedOn w:val="18"/>
    <w:next w:val="17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22">
    <w:name w:val="Legenda1"/>
    <w:basedOn w:val="18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23">
    <w:name w:val="Index"/>
    <w:basedOn w:val="18"/>
    <w:qFormat/>
    <w:uiPriority w:val="0"/>
    <w:pPr>
      <w:suppressLineNumbers/>
    </w:pPr>
  </w:style>
  <w:style w:type="paragraph" w:customStyle="1" w:styleId="24">
    <w:name w:val="Stopka1"/>
    <w:basedOn w:val="18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25">
    <w:name w:val="Nagłówek1"/>
    <w:basedOn w:val="18"/>
    <w:qFormat/>
    <w:uiPriority w:val="0"/>
    <w:pPr>
      <w:suppressLineNumbers/>
      <w:tabs>
        <w:tab w:val="center" w:pos="4819"/>
        <w:tab w:val="right" w:pos="9638"/>
      </w:tabs>
    </w:pPr>
  </w:style>
  <w:style w:type="character" w:customStyle="1" w:styleId="26">
    <w:name w:val="Strong Emphasis"/>
    <w:qFormat/>
    <w:uiPriority w:val="0"/>
    <w:rPr>
      <w:b/>
      <w:bCs/>
    </w:rPr>
  </w:style>
  <w:style w:type="character" w:customStyle="1" w:styleId="27">
    <w:name w:val="Nagłówek Znak"/>
    <w:basedOn w:val="3"/>
    <w:link w:val="14"/>
    <w:qFormat/>
    <w:uiPriority w:val="0"/>
    <w:rPr>
      <w:rFonts w:cs="Mangal"/>
      <w:szCs w:val="21"/>
    </w:rPr>
  </w:style>
  <w:style w:type="character" w:customStyle="1" w:styleId="28">
    <w:name w:val="Stopka Znak"/>
    <w:basedOn w:val="3"/>
    <w:link w:val="11"/>
    <w:qFormat/>
    <w:uiPriority w:val="99"/>
    <w:rPr>
      <w:rFonts w:cs="Mangal"/>
      <w:szCs w:val="21"/>
    </w:rPr>
  </w:style>
  <w:style w:type="paragraph" w:styleId="29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customStyle="1" w:styleId="30">
    <w:name w:val="Tekst dymka Znak"/>
    <w:basedOn w:val="3"/>
    <w:link w:val="5"/>
    <w:semiHidden/>
    <w:qFormat/>
    <w:uiPriority w:val="99"/>
    <w:rPr>
      <w:rFonts w:ascii="Tahoma" w:hAnsi="Tahoma" w:cs="Mangal"/>
      <w:sz w:val="16"/>
      <w:szCs w:val="14"/>
    </w:rPr>
  </w:style>
  <w:style w:type="character" w:customStyle="1" w:styleId="31">
    <w:name w:val="Tekst przypisu dolnego Znak"/>
    <w:basedOn w:val="3"/>
    <w:link w:val="13"/>
    <w:semiHidden/>
    <w:qFormat/>
    <w:uiPriority w:val="99"/>
    <w:rPr>
      <w:rFonts w:cs="Mangal"/>
      <w:sz w:val="20"/>
      <w:szCs w:val="18"/>
    </w:rPr>
  </w:style>
  <w:style w:type="paragraph" w:customStyle="1" w:styleId="32">
    <w:name w:val="Poprawka1"/>
    <w:hidden/>
    <w:semiHidden/>
    <w:qFormat/>
    <w:uiPriority w:val="99"/>
    <w:rPr>
      <w:rFonts w:ascii="Liberation Serif" w:hAnsi="Liberation Serif" w:eastAsia="SimSun" w:cs="Mangal"/>
      <w:kern w:val="3"/>
      <w:sz w:val="24"/>
      <w:szCs w:val="21"/>
      <w:lang w:val="pl-PL" w:eastAsia="zh-CN" w:bidi="hi-IN"/>
    </w:rPr>
  </w:style>
  <w:style w:type="character" w:customStyle="1" w:styleId="33">
    <w:name w:val="Nagłówek 1 Znak"/>
    <w:basedOn w:val="3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  <w:lang w:eastAsia="ar-SA" w:bidi="ar-SA"/>
    </w:rPr>
  </w:style>
  <w:style w:type="paragraph" w:customStyle="1" w:styleId="34">
    <w:name w:val="Akapit z listą1"/>
    <w:basedOn w:val="1"/>
    <w:qFormat/>
    <w:uiPriority w:val="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eastAsia="Times New Roman" w:cs="Times New Roman"/>
      <w:kern w:val="0"/>
      <w:sz w:val="22"/>
      <w:szCs w:val="22"/>
      <w:lang w:eastAsia="en-US" w:bidi="ar-SA"/>
    </w:rPr>
  </w:style>
  <w:style w:type="character" w:customStyle="1" w:styleId="35">
    <w:name w:val="Tekst podstawowy Znak"/>
    <w:basedOn w:val="3"/>
    <w:link w:val="6"/>
    <w:qFormat/>
    <w:uiPriority w:val="0"/>
    <w:rPr>
      <w:rFonts w:ascii="Times New Roman" w:hAnsi="Times New Roman" w:eastAsia="Calibri" w:cs="Times New Roman"/>
      <w:kern w:val="0"/>
      <w:lang w:eastAsia="pl-PL" w:bidi="ar-SA"/>
    </w:rPr>
  </w:style>
  <w:style w:type="paragraph" w:customStyle="1" w:styleId="36">
    <w:name w:val="Table Contents"/>
    <w:basedOn w:val="18"/>
    <w:qFormat/>
    <w:uiPriority w:val="0"/>
    <w:pPr>
      <w:suppressLineNumbers/>
    </w:pPr>
  </w:style>
  <w:style w:type="paragraph" w:customStyle="1" w:styleId="37">
    <w:name w:val="Akapit z listą11"/>
    <w:basedOn w:val="1"/>
    <w:qFormat/>
    <w:uiPriority w:val="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eastAsia="Times New Roman" w:cs="Times New Roman"/>
      <w:kern w:val="0"/>
      <w:sz w:val="22"/>
      <w:szCs w:val="22"/>
      <w:lang w:eastAsia="en-US" w:bidi="ar-SA"/>
    </w:rPr>
  </w:style>
  <w:style w:type="paragraph" w:styleId="38">
    <w:name w:val="List Paragraph"/>
    <w:basedOn w:val="1"/>
    <w:qFormat/>
    <w:uiPriority w:val="3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customStyle="1" w:styleId="39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character" w:customStyle="1" w:styleId="40">
    <w:name w:val="st"/>
    <w:basedOn w:val="3"/>
    <w:qFormat/>
    <w:uiPriority w:val="0"/>
  </w:style>
  <w:style w:type="character" w:customStyle="1" w:styleId="41">
    <w:name w:val="Tekst komentarza Znak"/>
    <w:basedOn w:val="3"/>
    <w:link w:val="8"/>
    <w:semiHidden/>
    <w:qFormat/>
    <w:uiPriority w:val="99"/>
    <w:rPr>
      <w:rFonts w:cs="Mangal"/>
      <w:sz w:val="20"/>
      <w:szCs w:val="18"/>
    </w:rPr>
  </w:style>
  <w:style w:type="character" w:customStyle="1" w:styleId="42">
    <w:name w:val="Temat komentarza Znak"/>
    <w:basedOn w:val="41"/>
    <w:link w:val="9"/>
    <w:semiHidden/>
    <w:qFormat/>
    <w:uiPriority w:val="99"/>
    <w:rPr>
      <w:rFonts w:cs="Mangal"/>
      <w:b/>
      <w:bCs/>
      <w:sz w:val="20"/>
      <w:szCs w:val="18"/>
    </w:rPr>
  </w:style>
  <w:style w:type="character" w:customStyle="1" w:styleId="43">
    <w:name w:val="Nierozpoznana wzmianka1"/>
    <w:basedOn w:val="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4">
    <w:name w:val="Normal1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customStyle="1" w:styleId="45">
    <w:name w:val="Normalny1"/>
    <w:basedOn w:val="1"/>
    <w:qFormat/>
    <w:uiPriority w:val="0"/>
    <w:pPr>
      <w:autoSpaceDE w:val="0"/>
    </w:pPr>
    <w:rPr>
      <w:rFonts w:ascii="Times New Roman" w:hAnsi="Times New Roman" w:eastAsia="Times New Roman" w:cs="Times New Roman"/>
      <w:lang w:eastAsia="pl-PL"/>
    </w:rPr>
  </w:style>
  <w:style w:type="paragraph" w:customStyle="1" w:styleId="46">
    <w:name w:val="przypis_ok"/>
    <w:basedOn w:val="1"/>
    <w:qFormat/>
    <w:uiPriority w:val="0"/>
    <w:pPr>
      <w:autoSpaceDE w:val="0"/>
      <w:adjustRightInd w:val="0"/>
      <w:spacing w:before="100" w:beforeAutospacing="1" w:after="100" w:afterAutospacing="1" w:line="240" w:lineRule="atLeast"/>
      <w:textAlignment w:val="center"/>
    </w:pPr>
    <w:rPr>
      <w:rFonts w:ascii="Open Sans Light" w:hAnsi="Open Sans Light" w:eastAsia="Times New Roman" w:cs="Open Sans Light"/>
      <w:color w:val="000000"/>
      <w:lang w:eastAsia="pl-PL"/>
    </w:rPr>
  </w:style>
  <w:style w:type="character" w:customStyle="1" w:styleId="47">
    <w:name w:val="font3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48">
    <w:name w:val="font4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C0C9-442A-4E94-B4AA-0C62FB78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2465</Words>
  <Characters>14796</Characters>
  <Lines>123</Lines>
  <Paragraphs>34</Paragraphs>
  <TotalTime>12</TotalTime>
  <ScaleCrop>false</ScaleCrop>
  <LinksUpToDate>false</LinksUpToDate>
  <CharactersWithSpaces>17227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2023-01-29T12:26:00Z</dcterms:created>
  <dc:creator>Karol Kurp</dc:creator>
  <cp:lastModifiedBy>Beata Supeł</cp:lastModifiedBy>
  <cp:lastPrinted>2022-06-07T17:58:00Z</cp:lastPrinted>
  <dcterms:modified xsi:type="dcterms:W3CDTF">2023-02-08T21:32:35Z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B10886FE8BFD46FE9E5F8069F3B664AE</vt:lpwstr>
  </property>
</Properties>
</file>