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96" w:rsidRDefault="00103A96" w:rsidP="00103A96">
      <w:pPr>
        <w:pStyle w:val="Nagwek1"/>
        <w:rPr>
          <w:caps w:val="0"/>
        </w:rPr>
      </w:pPr>
      <w:bookmarkStart w:id="0" w:name="_Toc521903550"/>
      <w:bookmarkStart w:id="1" w:name="_Toc523252501"/>
      <w:r w:rsidRPr="00ED32D1">
        <w:t>D-</w:t>
      </w:r>
      <w:r>
        <w:t xml:space="preserve">07.01.01. </w:t>
      </w:r>
      <w:r>
        <w:rPr>
          <w:caps w:val="0"/>
        </w:rPr>
        <w:t>OZNAKOWANIE POZIOME</w:t>
      </w:r>
      <w:bookmarkEnd w:id="0"/>
      <w:bookmarkEnd w:id="1"/>
    </w:p>
    <w:p w:rsidR="00103A96" w:rsidRPr="001715E2" w:rsidRDefault="00103A96" w:rsidP="00103A96">
      <w:pPr>
        <w:pStyle w:val="Tytu"/>
        <w:jc w:val="left"/>
      </w:pPr>
      <w:bookmarkStart w:id="2" w:name="_Toc484426472"/>
      <w:bookmarkStart w:id="3" w:name="_Toc521903551"/>
      <w:bookmarkStart w:id="4" w:name="_Toc523252502"/>
      <w:r w:rsidRPr="001715E2">
        <w:t>1. WSTĘP</w:t>
      </w:r>
      <w:bookmarkEnd w:id="2"/>
      <w:bookmarkEnd w:id="3"/>
      <w:bookmarkEnd w:id="4"/>
    </w:p>
    <w:p w:rsidR="00103A96" w:rsidRPr="001715E2" w:rsidRDefault="00103A96" w:rsidP="00103A96">
      <w:pPr>
        <w:pStyle w:val="Nagwek2"/>
        <w:rPr>
          <w:rFonts w:cs="Arial"/>
          <w:sz w:val="20"/>
        </w:rPr>
      </w:pPr>
      <w:bookmarkStart w:id="5" w:name="_Toc484426473"/>
      <w:bookmarkStart w:id="6" w:name="_Toc521903552"/>
      <w:bookmarkStart w:id="7" w:name="_Toc523252503"/>
      <w:r w:rsidRPr="001715E2">
        <w:rPr>
          <w:rFonts w:cs="Arial"/>
          <w:sz w:val="20"/>
        </w:rPr>
        <w:t>1.1. Przedmiot ST</w:t>
      </w:r>
      <w:bookmarkEnd w:id="5"/>
      <w:bookmarkEnd w:id="6"/>
      <w:bookmarkEnd w:id="7"/>
    </w:p>
    <w:p w:rsidR="00103A96" w:rsidRPr="00165C89" w:rsidRDefault="00103A96" w:rsidP="00103A96">
      <w:pPr>
        <w:autoSpaceDE w:val="0"/>
        <w:autoSpaceDN w:val="0"/>
        <w:adjustRightInd w:val="0"/>
        <w:jc w:val="both"/>
        <w:rPr>
          <w:rFonts w:cs="Arial"/>
          <w:color w:val="010101"/>
        </w:rPr>
      </w:pPr>
      <w:r w:rsidRPr="001715E2">
        <w:rPr>
          <w:rFonts w:cs="Arial"/>
        </w:rPr>
        <w:tab/>
        <w:t>Przedmiotem niniejszej specyfikacji technicznej (ST) są wymagania dotyczące odtworzenia i odb</w:t>
      </w:r>
      <w:r>
        <w:rPr>
          <w:rFonts w:cs="Arial"/>
        </w:rPr>
        <w:t xml:space="preserve">ioru oznakowania poziomego dla zadania: </w:t>
      </w:r>
      <w:r w:rsidRPr="00726F89">
        <w:t>„</w:t>
      </w:r>
      <w:r w:rsidR="0007229B">
        <w:rPr>
          <w:rFonts w:cs="Arial"/>
          <w:color w:val="010101"/>
        </w:rPr>
        <w:t>Przebudowa ul. Grunwaldzkiej od granicy Państwa do ulicy 11 Listopada w Świnoujściu</w:t>
      </w:r>
      <w:r>
        <w:rPr>
          <w:rFonts w:cs="Arial"/>
          <w:color w:val="010101"/>
        </w:rPr>
        <w:t>"</w:t>
      </w:r>
    </w:p>
    <w:p w:rsidR="00103A96" w:rsidRPr="001715E2" w:rsidRDefault="00103A96" w:rsidP="00103A96">
      <w:pPr>
        <w:autoSpaceDE w:val="0"/>
        <w:autoSpaceDN w:val="0"/>
        <w:adjustRightInd w:val="0"/>
        <w:jc w:val="both"/>
        <w:rPr>
          <w:rFonts w:cs="Arial"/>
        </w:rPr>
      </w:pPr>
    </w:p>
    <w:p w:rsidR="00103A96" w:rsidRPr="001715E2" w:rsidRDefault="00103A96" w:rsidP="00103A96">
      <w:pPr>
        <w:pStyle w:val="Standardowytekst"/>
        <w:rPr>
          <w:rFonts w:ascii="Arial" w:hAnsi="Arial" w:cs="Arial"/>
        </w:rPr>
      </w:pPr>
      <w:r w:rsidRPr="001715E2">
        <w:rPr>
          <w:rFonts w:ascii="Arial" w:hAnsi="Arial" w:cs="Arial"/>
        </w:rPr>
        <w:tab/>
        <w:t xml:space="preserve">Specyfikacja techniczna (ST) stanowi dokument przetargowy i kontraktowy przy zlecaniu </w:t>
      </w:r>
      <w:r>
        <w:rPr>
          <w:rFonts w:ascii="Arial" w:hAnsi="Arial" w:cs="Arial"/>
        </w:rPr>
        <w:br/>
      </w:r>
      <w:r w:rsidRPr="001715E2">
        <w:rPr>
          <w:rFonts w:ascii="Arial" w:hAnsi="Arial" w:cs="Arial"/>
        </w:rPr>
        <w:t>i realizacji robót wg pkt. 1.1.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8" w:name="_Toc484426475"/>
      <w:bookmarkStart w:id="9" w:name="_Toc521903553"/>
      <w:bookmarkStart w:id="10" w:name="_Toc523252504"/>
      <w:r w:rsidRPr="001715E2">
        <w:rPr>
          <w:rFonts w:cs="Arial"/>
          <w:sz w:val="20"/>
        </w:rPr>
        <w:t>1.3. Zakres robót objętych ST</w:t>
      </w:r>
      <w:bookmarkEnd w:id="8"/>
      <w:bookmarkEnd w:id="9"/>
      <w:bookmarkEnd w:id="10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 xml:space="preserve">Ustalenia zawarte w niniejszej specyfikacji dotyczą zasad prowadzenia robót związanych </w:t>
      </w:r>
      <w:r>
        <w:rPr>
          <w:rFonts w:cs="Arial"/>
        </w:rPr>
        <w:br/>
      </w:r>
      <w:r w:rsidRPr="001715E2">
        <w:rPr>
          <w:rFonts w:cs="Arial"/>
        </w:rPr>
        <w:t>z wykonaniem i odbiorem oznakowania poziom</w:t>
      </w:r>
      <w:r>
        <w:rPr>
          <w:rFonts w:cs="Arial"/>
        </w:rPr>
        <w:t>ego cienkowarstwowego natryskowego wykonanego za pomocą farb drogowych chemoutwardzalnych.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11" w:name="_Toc484426476"/>
      <w:bookmarkStart w:id="12" w:name="_Toc521903554"/>
      <w:bookmarkStart w:id="13" w:name="_Toc523252505"/>
      <w:r w:rsidRPr="001715E2">
        <w:rPr>
          <w:rFonts w:cs="Arial"/>
          <w:sz w:val="20"/>
        </w:rPr>
        <w:t>1.4. Określenia podstawowe</w:t>
      </w:r>
      <w:bookmarkEnd w:id="11"/>
      <w:bookmarkEnd w:id="12"/>
      <w:bookmarkEnd w:id="13"/>
    </w:p>
    <w:p w:rsidR="00103A96" w:rsidRPr="001715E2" w:rsidRDefault="00103A96" w:rsidP="00103A96">
      <w:pPr>
        <w:spacing w:before="120"/>
        <w:jc w:val="both"/>
        <w:rPr>
          <w:rFonts w:cs="Arial"/>
        </w:rPr>
      </w:pPr>
      <w:r w:rsidRPr="001715E2">
        <w:rPr>
          <w:rFonts w:cs="Arial"/>
          <w:b/>
        </w:rPr>
        <w:t xml:space="preserve">1.4.1. </w:t>
      </w:r>
      <w:r w:rsidRPr="001715E2">
        <w:rPr>
          <w:rFonts w:cs="Arial"/>
        </w:rPr>
        <w:t>Znaki poprzeczne - znaki wyznaczające miejsca przeznaczone do ruchu pieszych i rowerzystów w poprzek jezdni oraz miejsca zatrzymania pojazdów.</w:t>
      </w:r>
    </w:p>
    <w:p w:rsidR="00103A96" w:rsidRPr="001715E2" w:rsidRDefault="00103A96" w:rsidP="00103A96">
      <w:pPr>
        <w:spacing w:before="120"/>
        <w:jc w:val="both"/>
        <w:rPr>
          <w:rFonts w:cs="Arial"/>
        </w:rPr>
      </w:pPr>
      <w:r w:rsidRPr="001715E2">
        <w:rPr>
          <w:rFonts w:cs="Arial"/>
          <w:b/>
        </w:rPr>
        <w:t xml:space="preserve">1.4.2. </w:t>
      </w:r>
      <w:r w:rsidRPr="001715E2">
        <w:rPr>
          <w:rFonts w:cs="Arial"/>
        </w:rPr>
        <w:t xml:space="preserve">Materiały do poziomego znakowania dróg - materiały zawierające rozpuszczalniki, wolne od rozpuszczalników lub punktowe elementy odblaskowe, które mogą zostać naniesione albo wbudowane przez malowanie, natryskiwanie, odlewanie, wytłaczanie, rolowanie, klejenie itp. na nawierzchnie drogowe, stosowane w temperaturze otoczenia lub w temperaturze podwyższonej. Materiały te powinny być </w:t>
      </w:r>
      <w:proofErr w:type="spellStart"/>
      <w:r w:rsidRPr="001715E2">
        <w:rPr>
          <w:rFonts w:cs="Arial"/>
        </w:rPr>
        <w:t>retrorefleksyjne</w:t>
      </w:r>
      <w:proofErr w:type="spellEnd"/>
      <w:r w:rsidRPr="001715E2">
        <w:rPr>
          <w:rFonts w:cs="Arial"/>
        </w:rPr>
        <w:t>.</w:t>
      </w:r>
    </w:p>
    <w:p w:rsidR="00103A96" w:rsidRPr="001715E2" w:rsidRDefault="00103A96" w:rsidP="00103A96">
      <w:pPr>
        <w:spacing w:before="120"/>
        <w:jc w:val="both"/>
        <w:rPr>
          <w:rFonts w:cs="Arial"/>
        </w:rPr>
      </w:pPr>
      <w:r w:rsidRPr="001715E2">
        <w:rPr>
          <w:rFonts w:cs="Arial"/>
          <w:b/>
        </w:rPr>
        <w:t xml:space="preserve">1.4.3. </w:t>
      </w:r>
      <w:r w:rsidRPr="001715E2">
        <w:rPr>
          <w:rFonts w:cs="Arial"/>
        </w:rPr>
        <w:t xml:space="preserve">Materiały do znakowania cienkowarstwowego - farby nakładane warstwą grubości </w:t>
      </w:r>
      <w:r>
        <w:rPr>
          <w:rFonts w:cs="Arial"/>
        </w:rPr>
        <w:t>0.50 mm</w:t>
      </w:r>
    </w:p>
    <w:p w:rsidR="00103A96" w:rsidRPr="001715E2" w:rsidRDefault="00103A96" w:rsidP="00103A96">
      <w:pPr>
        <w:spacing w:before="120"/>
        <w:jc w:val="both"/>
        <w:rPr>
          <w:rFonts w:cs="Arial"/>
        </w:rPr>
      </w:pPr>
      <w:r w:rsidRPr="001715E2">
        <w:rPr>
          <w:rFonts w:cs="Arial"/>
          <w:b/>
        </w:rPr>
        <w:t xml:space="preserve">1.4.4. </w:t>
      </w:r>
      <w:r w:rsidRPr="001715E2">
        <w:rPr>
          <w:rFonts w:cs="Arial"/>
        </w:rPr>
        <w:t xml:space="preserve">Pozostałe określenia są zgodne z obowiązującymi, odpowiednimi polskimi normami </w:t>
      </w:r>
      <w:r>
        <w:rPr>
          <w:rFonts w:cs="Arial"/>
        </w:rPr>
        <w:br/>
      </w:r>
      <w:r w:rsidRPr="001715E2">
        <w:rPr>
          <w:rFonts w:cs="Arial"/>
        </w:rPr>
        <w:t xml:space="preserve">i z definicjami podanymi w ST D-00.00.00 „Wymagania ogólne” pkt 1.4. 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14" w:name="_Toc484426477"/>
      <w:bookmarkStart w:id="15" w:name="_Toc521903555"/>
      <w:bookmarkStart w:id="16" w:name="_Toc523252506"/>
      <w:r w:rsidRPr="001715E2">
        <w:rPr>
          <w:rFonts w:cs="Arial"/>
          <w:sz w:val="20"/>
        </w:rPr>
        <w:t>1.5. Ogólne wymagania dotyczące robót</w:t>
      </w:r>
      <w:bookmarkEnd w:id="14"/>
      <w:bookmarkEnd w:id="15"/>
      <w:bookmarkEnd w:id="16"/>
    </w:p>
    <w:p w:rsidR="00103A96" w:rsidRPr="001715E2" w:rsidRDefault="00103A96" w:rsidP="00103A96">
      <w:pPr>
        <w:spacing w:after="120"/>
        <w:jc w:val="both"/>
        <w:rPr>
          <w:rFonts w:cs="Arial"/>
        </w:rPr>
      </w:pPr>
      <w:r w:rsidRPr="001715E2">
        <w:rPr>
          <w:rFonts w:cs="Arial"/>
        </w:rPr>
        <w:tab/>
        <w:t xml:space="preserve">Ogólne wymagania dotyczące robót podano w ST D-00.00.00 „Wymagania ogólne” pkt 1.5. </w:t>
      </w:r>
    </w:p>
    <w:p w:rsidR="00103A96" w:rsidRPr="001715E2" w:rsidRDefault="00103A96" w:rsidP="00103A96">
      <w:pPr>
        <w:pStyle w:val="Tytu"/>
        <w:jc w:val="left"/>
      </w:pPr>
      <w:bookmarkStart w:id="17" w:name="_Toc420816681"/>
      <w:bookmarkStart w:id="18" w:name="_Toc484426478"/>
      <w:bookmarkStart w:id="19" w:name="_Toc521903556"/>
      <w:bookmarkStart w:id="20" w:name="_Toc523252507"/>
      <w:r w:rsidRPr="001715E2">
        <w:t>2. MATERIAŁY</w:t>
      </w:r>
      <w:bookmarkEnd w:id="17"/>
      <w:bookmarkEnd w:id="18"/>
      <w:bookmarkEnd w:id="19"/>
      <w:bookmarkEnd w:id="20"/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21" w:name="_Toc484426479"/>
      <w:bookmarkStart w:id="22" w:name="_Toc521903557"/>
      <w:bookmarkStart w:id="23" w:name="_Toc523252508"/>
      <w:r w:rsidRPr="001715E2">
        <w:rPr>
          <w:rFonts w:cs="Arial"/>
          <w:sz w:val="20"/>
        </w:rPr>
        <w:t>2.1. Ogólne wymagania dotyczące materiałów</w:t>
      </w:r>
      <w:bookmarkEnd w:id="21"/>
      <w:bookmarkEnd w:id="22"/>
      <w:bookmarkEnd w:id="23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Ogólne wymagania dotyczące materiałów i ich składowania podano w SST D-00.00.00 „Wymagania ogólne” pkt 2.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24" w:name="_Toc484426480"/>
      <w:bookmarkStart w:id="25" w:name="_Toc521903558"/>
      <w:bookmarkStart w:id="26" w:name="_Toc523252509"/>
      <w:r w:rsidRPr="001715E2">
        <w:rPr>
          <w:rFonts w:cs="Arial"/>
          <w:sz w:val="20"/>
        </w:rPr>
        <w:t>2.2. Dokument dopuszczający do stosowania materiałów</w:t>
      </w:r>
      <w:bookmarkEnd w:id="24"/>
      <w:bookmarkEnd w:id="25"/>
      <w:bookmarkEnd w:id="26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Każdy materiał używany przez Wykonawcę do poziomego znakowania dróg musi posiadać aprobatę techniczną.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27" w:name="_Toc484426481"/>
      <w:bookmarkStart w:id="28" w:name="_Toc521903559"/>
      <w:bookmarkStart w:id="29" w:name="_Toc523252510"/>
      <w:r w:rsidRPr="001715E2">
        <w:rPr>
          <w:rFonts w:cs="Arial"/>
          <w:sz w:val="20"/>
        </w:rPr>
        <w:t>2.3. Badanie materiałów, których jakość budzi wątpliwość</w:t>
      </w:r>
      <w:bookmarkEnd w:id="27"/>
      <w:bookmarkEnd w:id="28"/>
      <w:bookmarkEnd w:id="29"/>
    </w:p>
    <w:p w:rsidR="00103A96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Wykonawca powinien przeprowadzić dodatkowe badania tych materiałów, które budzą wątpliwości jego lub przedstawiciela Inwestora, co do jakości, w celu stwierdzenia czy odpowiadają one wymaganiom określonym w punkcie 2. Badania te Wykonawca zleci laboratorium. Badania powinny być wykonane zgodnie z „Warunkami technicznymi POD-97”.</w:t>
      </w:r>
    </w:p>
    <w:p w:rsidR="00103A96" w:rsidRPr="001715E2" w:rsidRDefault="00103A96" w:rsidP="00103A96">
      <w:pPr>
        <w:jc w:val="both"/>
        <w:rPr>
          <w:rFonts w:cs="Arial"/>
        </w:rPr>
      </w:pP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  <w:b/>
          <w:bCs/>
        </w:rPr>
        <w:t>2.4.</w:t>
      </w:r>
      <w:r w:rsidRPr="001715E2">
        <w:rPr>
          <w:rFonts w:cs="Arial"/>
        </w:rPr>
        <w:t xml:space="preserve"> </w:t>
      </w:r>
      <w:r w:rsidRPr="001715E2">
        <w:rPr>
          <w:rFonts w:cs="Arial"/>
          <w:b/>
          <w:bCs/>
        </w:rPr>
        <w:t>Oznakowanie opakowań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Wykonawca powinien żądać od producenta, aby oznakowanie opakowań materiałów do poziomego znakowania dróg było wykonane zgodnie z PN-O-79252, a ponadto aby na każdym opakowaniu był umieszczony trwały napis zawierający: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nazwę producenta i materiału do znakowania dróg,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val="en-US"/>
        </w:rPr>
      </w:pPr>
      <w:proofErr w:type="spellStart"/>
      <w:r w:rsidRPr="001715E2">
        <w:rPr>
          <w:rFonts w:cs="Arial"/>
          <w:lang w:val="en-US"/>
        </w:rPr>
        <w:t>masę</w:t>
      </w:r>
      <w:proofErr w:type="spellEnd"/>
      <w:r w:rsidRPr="001715E2">
        <w:rPr>
          <w:rFonts w:cs="Arial"/>
          <w:lang w:val="en-US"/>
        </w:rPr>
        <w:t xml:space="preserve"> </w:t>
      </w:r>
      <w:proofErr w:type="spellStart"/>
      <w:r w:rsidRPr="001715E2">
        <w:rPr>
          <w:rFonts w:cs="Arial"/>
          <w:lang w:val="en-US"/>
        </w:rPr>
        <w:t>brutto</w:t>
      </w:r>
      <w:proofErr w:type="spellEnd"/>
      <w:r w:rsidRPr="001715E2">
        <w:rPr>
          <w:rFonts w:cs="Arial"/>
          <w:lang w:val="en-US"/>
        </w:rPr>
        <w:t xml:space="preserve"> </w:t>
      </w:r>
      <w:proofErr w:type="spellStart"/>
      <w:r w:rsidRPr="001715E2">
        <w:rPr>
          <w:rFonts w:cs="Arial"/>
          <w:lang w:val="en-US"/>
        </w:rPr>
        <w:t>i</w:t>
      </w:r>
      <w:proofErr w:type="spellEnd"/>
      <w:r w:rsidRPr="001715E2">
        <w:rPr>
          <w:rFonts w:cs="Arial"/>
          <w:lang w:val="en-US"/>
        </w:rPr>
        <w:t xml:space="preserve"> </w:t>
      </w:r>
      <w:proofErr w:type="spellStart"/>
      <w:r w:rsidRPr="001715E2">
        <w:rPr>
          <w:rFonts w:cs="Arial"/>
          <w:lang w:val="en-US"/>
        </w:rPr>
        <w:t>netto</w:t>
      </w:r>
      <w:proofErr w:type="spellEnd"/>
      <w:r w:rsidRPr="001715E2">
        <w:rPr>
          <w:rFonts w:cs="Arial"/>
          <w:lang w:val="en-US"/>
        </w:rPr>
        <w:t>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lastRenderedPageBreak/>
        <w:t>numer partii i datę produkcji,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informację o szkodliwości i klasie zagrożenia pożarowego,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ewentualne wskazówki dla użytkowników.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30" w:name="_Toc484426482"/>
      <w:bookmarkStart w:id="31" w:name="_Toc521903560"/>
      <w:bookmarkStart w:id="32" w:name="_Toc523252511"/>
      <w:r w:rsidRPr="001715E2">
        <w:rPr>
          <w:rFonts w:cs="Arial"/>
          <w:sz w:val="20"/>
        </w:rPr>
        <w:t>2.5. Przepisy określające wymagania dla materiałów</w:t>
      </w:r>
      <w:bookmarkEnd w:id="30"/>
      <w:bookmarkEnd w:id="31"/>
      <w:bookmarkEnd w:id="32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Podstawowe wymagania dotyczące materiałów podano w punkcie 2.6, a szczegółowe wymagania określone są w „Warunkach technicznych POD-97”.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33" w:name="_Toc484426483"/>
      <w:bookmarkStart w:id="34" w:name="_Toc521903561"/>
      <w:bookmarkStart w:id="35" w:name="_Toc523252512"/>
      <w:r w:rsidRPr="001715E2">
        <w:rPr>
          <w:rFonts w:cs="Arial"/>
          <w:sz w:val="20"/>
        </w:rPr>
        <w:t>2.6. Wymagania wobec materiałów do poziomego znakowania dróg</w:t>
      </w:r>
      <w:bookmarkEnd w:id="33"/>
      <w:bookmarkEnd w:id="34"/>
      <w:bookmarkEnd w:id="35"/>
    </w:p>
    <w:p w:rsidR="00103A96" w:rsidRPr="001715E2" w:rsidRDefault="00103A96" w:rsidP="00103A96">
      <w:pPr>
        <w:spacing w:after="120"/>
        <w:jc w:val="both"/>
        <w:rPr>
          <w:rFonts w:cs="Arial"/>
        </w:rPr>
      </w:pPr>
      <w:r w:rsidRPr="001715E2">
        <w:rPr>
          <w:rFonts w:cs="Arial"/>
          <w:b/>
        </w:rPr>
        <w:t xml:space="preserve">2.6.1. </w:t>
      </w:r>
      <w:r w:rsidRPr="001715E2">
        <w:rPr>
          <w:rFonts w:cs="Arial"/>
        </w:rPr>
        <w:t xml:space="preserve"> Materiały do znakowania cienkowarstwowego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Materiałami do znakowania cienkowarstwowego powinny być farby nakładane warstwą grubości od 0,3 mm do 0,8 mm (na mokro). Powinny być nimi ciekłe produkty zawierające ciała stałe rozproszone w organicznym rozpuszczalniku lub wodzie, które mogą występować w układach jedno- lub wieloskładnikowych.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 xml:space="preserve"> Podczas nakładania farb, do znakowania cienkowarstwowego, na nawierzchnię pędzlem, wałkiem lub przez natrysk, powinny one tworzyć warstwę kohezyjną w procesie odparowania i/lub </w:t>
      </w:r>
      <w:r>
        <w:rPr>
          <w:rFonts w:cs="Arial"/>
        </w:rPr>
        <w:br/>
      </w:r>
      <w:r w:rsidRPr="001715E2">
        <w:rPr>
          <w:rFonts w:cs="Arial"/>
        </w:rPr>
        <w:t>w procesie chemicznym.</w:t>
      </w:r>
    </w:p>
    <w:p w:rsidR="00103A96" w:rsidRPr="001715E2" w:rsidRDefault="00103A96" w:rsidP="00103A96">
      <w:pPr>
        <w:spacing w:after="120"/>
        <w:jc w:val="both"/>
        <w:rPr>
          <w:rFonts w:cs="Arial"/>
        </w:rPr>
      </w:pPr>
      <w:r w:rsidRPr="001715E2">
        <w:rPr>
          <w:rFonts w:cs="Arial"/>
        </w:rPr>
        <w:tab/>
        <w:t>Właściwości fizyczne materiałów do znakowania cienkowarstwowego określa aprobata techniczna odpowiadająca wymaganiom POD-97.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  <w:b/>
        </w:rPr>
        <w:t xml:space="preserve">2.6.2. </w:t>
      </w:r>
      <w:r w:rsidRPr="001715E2">
        <w:rPr>
          <w:rFonts w:cs="Arial"/>
        </w:rPr>
        <w:t>Zawartość   składników   lotnych  w  materiałach   do  znakowania   cienkowarstwowego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Zawartość składników lotnych (rozpuszczalników organicznych) nie powinna przekraczać 30% (m/m)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Nie dopuszcza się stosowania materiałów zawierających rozpuszczalnik aromatyczny (jak np. toluen, ksylen) w ilości większej niż 10%. Nie dopuszcza się stosowania materiałów zawierających benzen i rozpuszczalniki chlorowane.</w:t>
      </w:r>
    </w:p>
    <w:p w:rsidR="00103A96" w:rsidRPr="001715E2" w:rsidRDefault="00103A96" w:rsidP="00103A96">
      <w:pPr>
        <w:spacing w:before="120"/>
        <w:jc w:val="both"/>
        <w:rPr>
          <w:rFonts w:cs="Arial"/>
        </w:rPr>
      </w:pPr>
      <w:r w:rsidRPr="001715E2">
        <w:rPr>
          <w:rFonts w:cs="Arial"/>
          <w:b/>
        </w:rPr>
        <w:t xml:space="preserve">2.6.3. </w:t>
      </w:r>
      <w:r w:rsidRPr="001715E2">
        <w:rPr>
          <w:rFonts w:cs="Arial"/>
        </w:rPr>
        <w:t>Wymagania wobec materiałów ze względu na ochronę warunków pracy i środowiska</w:t>
      </w:r>
    </w:p>
    <w:p w:rsidR="00103A96" w:rsidRPr="001715E2" w:rsidRDefault="00103A96" w:rsidP="00103A96">
      <w:pPr>
        <w:spacing w:before="120"/>
        <w:jc w:val="both"/>
        <w:rPr>
          <w:rFonts w:cs="Arial"/>
        </w:rPr>
      </w:pPr>
      <w:r w:rsidRPr="001715E2">
        <w:rPr>
          <w:rFonts w:cs="Arial"/>
        </w:rPr>
        <w:tab/>
        <w:t>Materiały stosowane do znakowania nawierzchni nie powinny zawierać substancji zagrażających zdrowiu ludzi i powodujących skażenie środowiska.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36" w:name="_Toc484426484"/>
      <w:bookmarkStart w:id="37" w:name="_Toc521903562"/>
      <w:bookmarkStart w:id="38" w:name="_Toc523252513"/>
      <w:r w:rsidRPr="001715E2">
        <w:rPr>
          <w:rFonts w:cs="Arial"/>
          <w:sz w:val="20"/>
        </w:rPr>
        <w:t>2.7. Przechowywanie i składowanie materiałów</w:t>
      </w:r>
      <w:bookmarkEnd w:id="36"/>
      <w:bookmarkEnd w:id="37"/>
      <w:bookmarkEnd w:id="38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Materiały do znakowania cienko-warstwowego nawierzchni powinny zachować stałość swoich właściwości chemicznych i fizykochemicznych przez okres co najmniej 6 miesięcy składowania w warunkach określonych przez producenta.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Materiały do poziomego znakowania dróg należy przechowywać w magazynach odpowiadających zaleceniom producenta, zwłaszcza zabezpieczających je od napromieniowania słonecznego, opadów i w temperaturze, dla:</w:t>
      </w:r>
    </w:p>
    <w:p w:rsidR="00103A96" w:rsidRPr="001715E2" w:rsidRDefault="00103A96" w:rsidP="00103A9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farb wodorozcieńczalnych od 5</w:t>
      </w:r>
      <w:r w:rsidRPr="001715E2">
        <w:rPr>
          <w:rFonts w:cs="Arial"/>
          <w:vertAlign w:val="superscript"/>
        </w:rPr>
        <w:t>o</w:t>
      </w:r>
      <w:r w:rsidRPr="001715E2">
        <w:rPr>
          <w:rFonts w:cs="Arial"/>
        </w:rPr>
        <w:t xml:space="preserve"> do 40</w:t>
      </w:r>
      <w:r w:rsidRPr="001715E2">
        <w:rPr>
          <w:rFonts w:cs="Arial"/>
          <w:vertAlign w:val="superscript"/>
        </w:rPr>
        <w:t>o</w:t>
      </w:r>
      <w:r w:rsidRPr="001715E2">
        <w:rPr>
          <w:rFonts w:cs="Arial"/>
        </w:rPr>
        <w:t>C,</w:t>
      </w:r>
    </w:p>
    <w:p w:rsidR="00103A96" w:rsidRPr="001715E2" w:rsidRDefault="00103A96" w:rsidP="00103A9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farb rozpuszczalnikowych od 0</w:t>
      </w:r>
      <w:r w:rsidRPr="001715E2">
        <w:rPr>
          <w:rFonts w:cs="Arial"/>
          <w:vertAlign w:val="superscript"/>
        </w:rPr>
        <w:t>o</w:t>
      </w:r>
      <w:r w:rsidRPr="001715E2">
        <w:rPr>
          <w:rFonts w:cs="Arial"/>
        </w:rPr>
        <w:t xml:space="preserve"> do 25</w:t>
      </w:r>
      <w:r w:rsidRPr="001715E2">
        <w:rPr>
          <w:rFonts w:cs="Arial"/>
          <w:vertAlign w:val="superscript"/>
        </w:rPr>
        <w:t>o</w:t>
      </w:r>
      <w:r w:rsidRPr="001715E2">
        <w:rPr>
          <w:rFonts w:cs="Arial"/>
        </w:rPr>
        <w:t>C,</w:t>
      </w:r>
    </w:p>
    <w:p w:rsidR="00103A96" w:rsidRPr="001715E2" w:rsidRDefault="00103A96" w:rsidP="00103A9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cs="Arial"/>
        </w:rPr>
      </w:pPr>
      <w:r w:rsidRPr="001715E2">
        <w:rPr>
          <w:rFonts w:cs="Arial"/>
        </w:rPr>
        <w:t>pozostałych materiałów - poniżej 40</w:t>
      </w:r>
      <w:r w:rsidRPr="001715E2">
        <w:rPr>
          <w:rFonts w:cs="Arial"/>
          <w:vertAlign w:val="superscript"/>
        </w:rPr>
        <w:t>o</w:t>
      </w:r>
      <w:r w:rsidRPr="001715E2">
        <w:rPr>
          <w:rFonts w:cs="Arial"/>
        </w:rPr>
        <w:t>C.</w:t>
      </w:r>
    </w:p>
    <w:p w:rsidR="00103A96" w:rsidRPr="001715E2" w:rsidRDefault="00103A96" w:rsidP="00103A96">
      <w:pPr>
        <w:pStyle w:val="Tytu"/>
        <w:jc w:val="left"/>
      </w:pPr>
      <w:bookmarkStart w:id="39" w:name="_Toc420816682"/>
      <w:bookmarkStart w:id="40" w:name="_Toc484426485"/>
      <w:bookmarkStart w:id="41" w:name="_Toc521903563"/>
      <w:bookmarkStart w:id="42" w:name="_Toc523252514"/>
      <w:r w:rsidRPr="001715E2">
        <w:t>3. SPRZĘT</w:t>
      </w:r>
      <w:bookmarkEnd w:id="39"/>
      <w:bookmarkEnd w:id="40"/>
      <w:bookmarkEnd w:id="41"/>
      <w:bookmarkEnd w:id="42"/>
    </w:p>
    <w:p w:rsidR="00103A96" w:rsidRPr="001715E2" w:rsidRDefault="00103A96" w:rsidP="00103A96">
      <w:pPr>
        <w:pStyle w:val="Nagwek2"/>
        <w:rPr>
          <w:rFonts w:cs="Arial"/>
          <w:sz w:val="20"/>
        </w:rPr>
      </w:pPr>
      <w:bookmarkStart w:id="43" w:name="_Toc484426486"/>
      <w:bookmarkStart w:id="44" w:name="_Toc521903564"/>
      <w:bookmarkStart w:id="45" w:name="_Toc523252515"/>
      <w:r w:rsidRPr="001715E2">
        <w:rPr>
          <w:rFonts w:cs="Arial"/>
          <w:sz w:val="20"/>
        </w:rPr>
        <w:t>3.1. Ogólne wymagania dotyczące sprzętu</w:t>
      </w:r>
      <w:bookmarkEnd w:id="43"/>
      <w:bookmarkEnd w:id="44"/>
      <w:bookmarkEnd w:id="45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Ogólne wymagania dotyczące sprzętu podano w ST D-00.00.00 „Wymagania ogólne” pkt 3.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46" w:name="_Toc484426487"/>
      <w:bookmarkStart w:id="47" w:name="_Toc521903565"/>
      <w:bookmarkStart w:id="48" w:name="_Toc523252516"/>
      <w:r w:rsidRPr="001715E2">
        <w:rPr>
          <w:rFonts w:cs="Arial"/>
          <w:sz w:val="20"/>
        </w:rPr>
        <w:t>3.2. Sprzęt do wykonania oznakowania poziomego</w:t>
      </w:r>
      <w:bookmarkEnd w:id="46"/>
      <w:bookmarkEnd w:id="47"/>
      <w:bookmarkEnd w:id="48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Wykonawca przystępujący do wykonania oznakowania poziomego, w zależności od zakresu robót, powinien wykazać się możliwością korzystania z następującego sprzętu, zaakceptowanego przez przedstawiciela Inwestora: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sprężarek,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proofErr w:type="spellStart"/>
      <w:r w:rsidRPr="001715E2">
        <w:rPr>
          <w:rFonts w:cs="Arial"/>
        </w:rPr>
        <w:t>malowarek</w:t>
      </w:r>
      <w:proofErr w:type="spellEnd"/>
      <w:r w:rsidRPr="001715E2">
        <w:rPr>
          <w:rFonts w:cs="Arial"/>
        </w:rPr>
        <w:t>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cs="Arial"/>
        </w:rPr>
      </w:pPr>
      <w:r w:rsidRPr="001715E2">
        <w:rPr>
          <w:rFonts w:cs="Arial"/>
        </w:rPr>
        <w:t>sprzętu do badań, określonych w ST.</w:t>
      </w:r>
    </w:p>
    <w:p w:rsidR="00103A96" w:rsidRPr="001715E2" w:rsidRDefault="00103A96" w:rsidP="00103A96">
      <w:pPr>
        <w:pStyle w:val="Tytu"/>
        <w:jc w:val="left"/>
      </w:pPr>
      <w:bookmarkStart w:id="49" w:name="_Toc420816683"/>
      <w:bookmarkStart w:id="50" w:name="_Toc484426488"/>
      <w:bookmarkStart w:id="51" w:name="_Toc521903566"/>
      <w:bookmarkStart w:id="52" w:name="_Toc523252517"/>
      <w:r w:rsidRPr="001715E2">
        <w:lastRenderedPageBreak/>
        <w:t>4. TRANSPORT</w:t>
      </w:r>
      <w:bookmarkEnd w:id="49"/>
      <w:bookmarkEnd w:id="50"/>
      <w:bookmarkEnd w:id="51"/>
      <w:bookmarkEnd w:id="52"/>
    </w:p>
    <w:p w:rsidR="00103A96" w:rsidRPr="001715E2" w:rsidRDefault="00103A96" w:rsidP="00103A96">
      <w:pPr>
        <w:pStyle w:val="Nagwek2"/>
        <w:rPr>
          <w:rFonts w:cs="Arial"/>
          <w:sz w:val="20"/>
        </w:rPr>
      </w:pPr>
      <w:bookmarkStart w:id="53" w:name="_Toc484426489"/>
      <w:bookmarkStart w:id="54" w:name="_Toc521903567"/>
      <w:bookmarkStart w:id="55" w:name="_Toc523252518"/>
      <w:r w:rsidRPr="001715E2">
        <w:rPr>
          <w:rFonts w:cs="Arial"/>
          <w:sz w:val="20"/>
        </w:rPr>
        <w:t>4.1. Ogólne wymagania dotyczące transportu</w:t>
      </w:r>
      <w:bookmarkEnd w:id="53"/>
      <w:bookmarkEnd w:id="54"/>
      <w:bookmarkEnd w:id="55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Ogólne wymagania dotyczące transportu podano w ST D-00.00.00 „Wymagania ogólne” pkt 4.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56" w:name="_Toc484426490"/>
      <w:bookmarkStart w:id="57" w:name="_Toc521903568"/>
      <w:bookmarkStart w:id="58" w:name="_Toc523252519"/>
      <w:r w:rsidRPr="001715E2">
        <w:rPr>
          <w:rFonts w:cs="Arial"/>
          <w:sz w:val="20"/>
        </w:rPr>
        <w:t>4.2. Przewóz materiałów do poziomego znakowania dróg</w:t>
      </w:r>
      <w:bookmarkEnd w:id="56"/>
      <w:bookmarkEnd w:id="57"/>
      <w:bookmarkEnd w:id="58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 xml:space="preserve">Materiały do poziomego znakowania dróg należy przewozić w pojemnikach zapewniających szczelność, bezpieczny transport i zachowanie wymaganych właściwości materiałów. Pojemniki powinny być oznakowane zgodnie z normą PN-O-79252. </w:t>
      </w:r>
    </w:p>
    <w:p w:rsidR="00103A96" w:rsidRPr="001715E2" w:rsidRDefault="00103A96" w:rsidP="00103A96">
      <w:pPr>
        <w:spacing w:after="120"/>
        <w:jc w:val="both"/>
        <w:rPr>
          <w:rFonts w:cs="Arial"/>
        </w:rPr>
      </w:pPr>
      <w:r w:rsidRPr="001715E2">
        <w:rPr>
          <w:rFonts w:cs="Arial"/>
        </w:rPr>
        <w:tab/>
        <w:t xml:space="preserve">Materiały do znakowania poziomego należy przewozić krytymi środkami transportowymi, chroniąc opakowania przed uszkodzeniem mechanicznym, zgodnie z PN-C-81400 oraz zgodnie </w:t>
      </w:r>
      <w:r>
        <w:rPr>
          <w:rFonts w:cs="Arial"/>
        </w:rPr>
        <w:br/>
      </w:r>
      <w:r w:rsidRPr="001715E2">
        <w:rPr>
          <w:rFonts w:cs="Arial"/>
        </w:rPr>
        <w:t>z prawem przewozowym.</w:t>
      </w:r>
    </w:p>
    <w:p w:rsidR="00103A96" w:rsidRPr="001715E2" w:rsidRDefault="00103A96" w:rsidP="00103A96">
      <w:pPr>
        <w:pStyle w:val="Tytu"/>
        <w:jc w:val="left"/>
      </w:pPr>
      <w:bookmarkStart w:id="59" w:name="_Toc420816684"/>
      <w:bookmarkStart w:id="60" w:name="_Toc484426491"/>
      <w:bookmarkStart w:id="61" w:name="_Toc521903569"/>
      <w:bookmarkStart w:id="62" w:name="_Toc523252520"/>
      <w:r w:rsidRPr="001715E2">
        <w:t>5. WYKONANIE ROBÓT</w:t>
      </w:r>
      <w:bookmarkEnd w:id="59"/>
      <w:bookmarkEnd w:id="60"/>
      <w:bookmarkEnd w:id="61"/>
      <w:bookmarkEnd w:id="62"/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63" w:name="_Toc484426492"/>
      <w:bookmarkStart w:id="64" w:name="_Toc521903570"/>
      <w:bookmarkStart w:id="65" w:name="_Toc523252521"/>
      <w:r w:rsidRPr="001715E2">
        <w:rPr>
          <w:rFonts w:cs="Arial"/>
          <w:sz w:val="20"/>
        </w:rPr>
        <w:t>5.1. Ogólne zasady wykonania robót</w:t>
      </w:r>
      <w:bookmarkEnd w:id="63"/>
      <w:bookmarkEnd w:id="64"/>
      <w:bookmarkEnd w:id="65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Ogólne zasady wykonania robót podano w ST D-00.00.00 „Wymagania ogólne” pkt 5.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66" w:name="_Toc484426493"/>
      <w:bookmarkStart w:id="67" w:name="_Toc521903571"/>
      <w:bookmarkStart w:id="68" w:name="_Toc523252522"/>
      <w:r w:rsidRPr="001715E2">
        <w:rPr>
          <w:rFonts w:cs="Arial"/>
          <w:sz w:val="20"/>
        </w:rPr>
        <w:t>5.2. Warunki atmosferyczne</w:t>
      </w:r>
      <w:bookmarkEnd w:id="66"/>
      <w:bookmarkEnd w:id="67"/>
      <w:bookmarkEnd w:id="68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W czasie wykonywania oznakowania temperatura nawierzchni i powietrza powinna wynosić co najmniej 5</w:t>
      </w:r>
      <w:r w:rsidRPr="001715E2">
        <w:rPr>
          <w:rFonts w:cs="Arial"/>
          <w:vertAlign w:val="superscript"/>
        </w:rPr>
        <w:t>o</w:t>
      </w:r>
      <w:r w:rsidRPr="001715E2">
        <w:rPr>
          <w:rFonts w:cs="Arial"/>
        </w:rPr>
        <w:t>C, a wilgotność względna powietrza powinna być zgodna z zaleceniami producenta lub wynosić co najwyżej 85%.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69" w:name="_Toc484426494"/>
      <w:bookmarkStart w:id="70" w:name="_Toc521903572"/>
      <w:bookmarkStart w:id="71" w:name="_Toc523252523"/>
      <w:r w:rsidRPr="001715E2">
        <w:rPr>
          <w:rFonts w:cs="Arial"/>
          <w:sz w:val="20"/>
        </w:rPr>
        <w:t>5.3. Przygotowanie podłoża do wykonania oznakowania</w:t>
      </w:r>
      <w:bookmarkEnd w:id="69"/>
      <w:bookmarkEnd w:id="70"/>
      <w:bookmarkEnd w:id="71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Przed wykonaniem znakowania poziomego należy oczyścić powierzchnię nawierzchni malowanej z pyłu, kurzu, piasku, smarów, olejów i innych zanieczyszczeń, przy użyciu sprzętu wymienionego w ST i zaakceptowanego przez przedstawiciela I</w:t>
      </w:r>
      <w:r>
        <w:rPr>
          <w:rFonts w:cs="Arial"/>
        </w:rPr>
        <w:t>n</w:t>
      </w:r>
      <w:r w:rsidRPr="001715E2">
        <w:rPr>
          <w:rFonts w:cs="Arial"/>
        </w:rPr>
        <w:t>westora.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Powierzchnia nawierzchni przygotowana do wykonania oznakowania poziomego musi być czysta i sucha.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72" w:name="_Toc484426495"/>
      <w:bookmarkStart w:id="73" w:name="_Toc521903573"/>
      <w:bookmarkStart w:id="74" w:name="_Toc523252524"/>
      <w:r w:rsidRPr="001715E2">
        <w:rPr>
          <w:rFonts w:cs="Arial"/>
          <w:sz w:val="20"/>
        </w:rPr>
        <w:t>5.4. Przedznakowanie</w:t>
      </w:r>
      <w:bookmarkEnd w:id="72"/>
      <w:bookmarkEnd w:id="73"/>
      <w:bookmarkEnd w:id="74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 xml:space="preserve">W celu dokładnego wykonania poziomego oznakowania drogi, należy wykonać </w:t>
      </w:r>
      <w:proofErr w:type="spellStart"/>
      <w:r w:rsidRPr="001715E2">
        <w:rPr>
          <w:rFonts w:cs="Arial"/>
        </w:rPr>
        <w:t>przedznakowanie</w:t>
      </w:r>
      <w:proofErr w:type="spellEnd"/>
      <w:r w:rsidRPr="001715E2">
        <w:rPr>
          <w:rFonts w:cs="Arial"/>
        </w:rPr>
        <w:t xml:space="preserve">, stosując się do ustaleń zawartych w „Instrukcji o znakach drogowych poziomych” </w:t>
      </w:r>
      <w:r>
        <w:rPr>
          <w:rFonts w:cs="Arial"/>
        </w:rPr>
        <w:br/>
      </w:r>
      <w:r w:rsidRPr="001715E2">
        <w:rPr>
          <w:rFonts w:cs="Arial"/>
        </w:rPr>
        <w:t>i wskazaniach przedstawiciela Inwestora.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 xml:space="preserve">Do wykonania </w:t>
      </w:r>
      <w:proofErr w:type="spellStart"/>
      <w:r w:rsidRPr="001715E2">
        <w:rPr>
          <w:rFonts w:cs="Arial"/>
        </w:rPr>
        <w:t>przedznakowania</w:t>
      </w:r>
      <w:proofErr w:type="spellEnd"/>
      <w:r w:rsidRPr="001715E2">
        <w:rPr>
          <w:rFonts w:cs="Arial"/>
        </w:rPr>
        <w:t xml:space="preserve"> można stosować farbę silnie rozcieńczoną rozpuszczalnikiem. Zaleca się wykonywanie </w:t>
      </w:r>
      <w:proofErr w:type="spellStart"/>
      <w:r w:rsidRPr="001715E2">
        <w:rPr>
          <w:rFonts w:cs="Arial"/>
        </w:rPr>
        <w:t>przedznakowania</w:t>
      </w:r>
      <w:proofErr w:type="spellEnd"/>
      <w:r w:rsidRPr="001715E2">
        <w:rPr>
          <w:rFonts w:cs="Arial"/>
        </w:rPr>
        <w:t xml:space="preserve"> w postaci cienkich linii lub kropek. Początek i koniec znakowania należy zaznaczyć małą kreską poprzeczną.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75" w:name="_Toc484426496"/>
      <w:bookmarkStart w:id="76" w:name="_Toc521903574"/>
      <w:bookmarkStart w:id="77" w:name="_Toc523252525"/>
      <w:r w:rsidRPr="001715E2">
        <w:rPr>
          <w:rFonts w:cs="Arial"/>
          <w:sz w:val="20"/>
        </w:rPr>
        <w:t>5.5. Wykonanie znakowania drogi</w:t>
      </w:r>
      <w:bookmarkEnd w:id="75"/>
      <w:bookmarkEnd w:id="76"/>
      <w:bookmarkEnd w:id="77"/>
    </w:p>
    <w:p w:rsidR="00103A96" w:rsidRPr="001715E2" w:rsidRDefault="00103A96" w:rsidP="00103A96">
      <w:pPr>
        <w:pStyle w:val="Nagwek2"/>
        <w:spacing w:before="0"/>
        <w:jc w:val="both"/>
        <w:rPr>
          <w:rFonts w:cs="Arial"/>
          <w:sz w:val="20"/>
        </w:rPr>
      </w:pPr>
      <w:bookmarkStart w:id="78" w:name="_Toc484426497"/>
      <w:bookmarkStart w:id="79" w:name="_Toc521903575"/>
      <w:bookmarkStart w:id="80" w:name="_Toc523252526"/>
      <w:r w:rsidRPr="001715E2">
        <w:rPr>
          <w:rFonts w:cs="Arial"/>
          <w:sz w:val="20"/>
        </w:rPr>
        <w:t>5.5.1.</w:t>
      </w:r>
      <w:r w:rsidRPr="001715E2">
        <w:rPr>
          <w:rFonts w:cs="Arial"/>
          <w:b w:val="0"/>
          <w:sz w:val="20"/>
        </w:rPr>
        <w:t xml:space="preserve"> </w:t>
      </w:r>
      <w:r w:rsidRPr="001715E2">
        <w:rPr>
          <w:rFonts w:cs="Arial"/>
          <w:sz w:val="20"/>
        </w:rPr>
        <w:t xml:space="preserve"> </w:t>
      </w:r>
      <w:r w:rsidRPr="001715E2">
        <w:rPr>
          <w:rFonts w:cs="Arial"/>
          <w:b w:val="0"/>
          <w:sz w:val="20"/>
        </w:rPr>
        <w:t>Dostarczenie materiałów i spełnienie zaleceń producenta materiałów</w:t>
      </w:r>
      <w:bookmarkEnd w:id="78"/>
      <w:bookmarkEnd w:id="79"/>
      <w:bookmarkEnd w:id="80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Materiały do znakowania drogi, spełniające wymagania podane w punkcie 2, powinny być dostarczone w oryginalnych opakowaniach handlowych i stosowane zgodnie z zaleceniami ST, producenta oraz wymaganiami znajdującymi się w aprobacie technicznej.</w:t>
      </w:r>
    </w:p>
    <w:p w:rsidR="00103A96" w:rsidRPr="001715E2" w:rsidRDefault="00103A96" w:rsidP="00103A96">
      <w:pPr>
        <w:spacing w:before="120"/>
        <w:jc w:val="both"/>
        <w:rPr>
          <w:rFonts w:cs="Arial"/>
        </w:rPr>
      </w:pPr>
      <w:r w:rsidRPr="001715E2">
        <w:rPr>
          <w:rFonts w:cs="Arial"/>
          <w:b/>
        </w:rPr>
        <w:t xml:space="preserve">5.5.2. </w:t>
      </w:r>
      <w:r w:rsidRPr="001715E2">
        <w:rPr>
          <w:rFonts w:cs="Arial"/>
        </w:rPr>
        <w:t>Wykonanie znakowania drogi materiałami cienkowarstwowymi</w:t>
      </w:r>
    </w:p>
    <w:p w:rsidR="00103A96" w:rsidRPr="001715E2" w:rsidRDefault="00103A96" w:rsidP="00103A96">
      <w:pPr>
        <w:spacing w:before="120"/>
        <w:jc w:val="both"/>
        <w:rPr>
          <w:rFonts w:cs="Arial"/>
        </w:rPr>
      </w:pPr>
      <w:r w:rsidRPr="001715E2">
        <w:rPr>
          <w:rFonts w:cs="Arial"/>
        </w:rPr>
        <w:tab/>
        <w:t xml:space="preserve">Wykonanie znakowania powinno być zgodne z zaleceniami producenta materiałów, </w:t>
      </w:r>
      <w:r>
        <w:rPr>
          <w:rFonts w:cs="Arial"/>
        </w:rPr>
        <w:br/>
      </w:r>
      <w:r w:rsidRPr="001715E2">
        <w:rPr>
          <w:rFonts w:cs="Arial"/>
        </w:rPr>
        <w:t>a w przypadku ich braku lub niepełnych danych - zgodne z poniższymi wskazaniami.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 xml:space="preserve">Farbę do znakowania cienkowarstwowego po otwarciu opakowania należy wymieszać w czasie od 2 do 4 min do uzyskania pełnej jednorodności. Przed lub w czasie napełniania zbiornika </w:t>
      </w:r>
      <w:proofErr w:type="spellStart"/>
      <w:r w:rsidRPr="001715E2">
        <w:rPr>
          <w:rFonts w:cs="Arial"/>
        </w:rPr>
        <w:t>malowarki</w:t>
      </w:r>
      <w:proofErr w:type="spellEnd"/>
      <w:r w:rsidRPr="001715E2">
        <w:rPr>
          <w:rFonts w:cs="Arial"/>
        </w:rPr>
        <w:t xml:space="preserve"> zaleca się przecedzić farbę przez sito 0,6 mm. Nie wolno stosować do malowania mechanicznego farby, w której osad na dnie opakowania nie daje się całkowicie wymieszać lub na jej powierzchni znajduje się kożuch.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 xml:space="preserve">Farbę należy nakładać równomierną warstwą o grubości 0,5 mm, zachowując wymiary </w:t>
      </w:r>
      <w:r>
        <w:rPr>
          <w:rFonts w:cs="Arial"/>
        </w:rPr>
        <w:br/>
      </w:r>
      <w:r w:rsidRPr="001715E2">
        <w:rPr>
          <w:rFonts w:cs="Arial"/>
        </w:rPr>
        <w:t xml:space="preserve">i ostrość krawędzi. Prace powinny być wykonane przy użyciu samojezdnych </w:t>
      </w:r>
      <w:proofErr w:type="spellStart"/>
      <w:r w:rsidRPr="001715E2">
        <w:rPr>
          <w:rFonts w:cs="Arial"/>
        </w:rPr>
        <w:t>malowarek</w:t>
      </w:r>
      <w:proofErr w:type="spellEnd"/>
      <w:r w:rsidRPr="001715E2">
        <w:rPr>
          <w:rFonts w:cs="Arial"/>
        </w:rPr>
        <w:t xml:space="preserve"> </w:t>
      </w:r>
      <w:r>
        <w:rPr>
          <w:rFonts w:cs="Arial"/>
        </w:rPr>
        <w:br/>
      </w:r>
      <w:r w:rsidRPr="001715E2">
        <w:rPr>
          <w:rFonts w:cs="Arial"/>
        </w:rPr>
        <w:t>z automatycznym podziałem linii i posypywaniem kulkami szklanymi.</w:t>
      </w:r>
    </w:p>
    <w:p w:rsidR="00103A96" w:rsidRPr="001715E2" w:rsidRDefault="00103A96" w:rsidP="00103A96">
      <w:pPr>
        <w:pStyle w:val="Tytu"/>
        <w:jc w:val="left"/>
      </w:pPr>
      <w:bookmarkStart w:id="81" w:name="_Toc420816685"/>
      <w:bookmarkStart w:id="82" w:name="_Toc484426498"/>
      <w:bookmarkStart w:id="83" w:name="_Toc521903576"/>
      <w:bookmarkStart w:id="84" w:name="_Toc523252527"/>
      <w:r w:rsidRPr="001715E2">
        <w:lastRenderedPageBreak/>
        <w:t>6. KONTROLA JAKOŚCI ROBÓT</w:t>
      </w:r>
      <w:bookmarkEnd w:id="81"/>
      <w:bookmarkEnd w:id="82"/>
      <w:bookmarkEnd w:id="83"/>
      <w:bookmarkEnd w:id="84"/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85" w:name="_Toc484426499"/>
      <w:bookmarkStart w:id="86" w:name="_Toc521903577"/>
      <w:bookmarkStart w:id="87" w:name="_Toc523252528"/>
      <w:r w:rsidRPr="001715E2">
        <w:rPr>
          <w:rFonts w:cs="Arial"/>
          <w:sz w:val="20"/>
        </w:rPr>
        <w:t>6.1. Ogólne zasady kontroli jakości robót</w:t>
      </w:r>
      <w:bookmarkEnd w:id="85"/>
      <w:bookmarkEnd w:id="86"/>
      <w:bookmarkEnd w:id="87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Ogólne zasady kontroli jakości robót podano w ST D-00.00.00 „Wymagania ogólne” pkt 6.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88" w:name="_Toc484426500"/>
      <w:bookmarkStart w:id="89" w:name="_Toc521903578"/>
      <w:bookmarkStart w:id="90" w:name="_Toc523252529"/>
      <w:r w:rsidRPr="001715E2">
        <w:rPr>
          <w:rFonts w:cs="Arial"/>
          <w:sz w:val="20"/>
        </w:rPr>
        <w:t>6.2. Badanie przygotowania podłoża i przedznakowania</w:t>
      </w:r>
      <w:bookmarkEnd w:id="88"/>
      <w:bookmarkEnd w:id="89"/>
      <w:bookmarkEnd w:id="90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 xml:space="preserve">Powierzchnia jezdni przed wykonaniem znakowania poziomego musi być całkowicie czysta </w:t>
      </w:r>
      <w:r>
        <w:rPr>
          <w:rFonts w:cs="Arial"/>
        </w:rPr>
        <w:br/>
      </w:r>
      <w:r w:rsidRPr="001715E2">
        <w:rPr>
          <w:rFonts w:cs="Arial"/>
        </w:rPr>
        <w:t>i sucha.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</w:r>
      <w:proofErr w:type="spellStart"/>
      <w:r w:rsidRPr="001715E2">
        <w:rPr>
          <w:rFonts w:cs="Arial"/>
        </w:rPr>
        <w:t>Przedznakowanie</w:t>
      </w:r>
      <w:proofErr w:type="spellEnd"/>
      <w:r w:rsidRPr="001715E2">
        <w:rPr>
          <w:rFonts w:cs="Arial"/>
        </w:rPr>
        <w:t xml:space="preserve"> powinno być wykonane zgodnie z wymaganiami punktu 5.5.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91" w:name="_Toc484426501"/>
      <w:bookmarkStart w:id="92" w:name="_Toc521903579"/>
      <w:bookmarkStart w:id="93" w:name="_Toc523252530"/>
      <w:r w:rsidRPr="001715E2">
        <w:rPr>
          <w:rFonts w:cs="Arial"/>
          <w:sz w:val="20"/>
        </w:rPr>
        <w:t>6.3. Badania wykonania oznakowania poziomego</w:t>
      </w:r>
      <w:bookmarkEnd w:id="91"/>
      <w:bookmarkEnd w:id="92"/>
      <w:bookmarkEnd w:id="93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  <w:b/>
        </w:rPr>
        <w:t xml:space="preserve">6.3.1. </w:t>
      </w:r>
      <w:r w:rsidRPr="001715E2">
        <w:rPr>
          <w:rFonts w:cs="Arial"/>
        </w:rPr>
        <w:t>Wymagania wobec oznakowania poziomego</w:t>
      </w:r>
    </w:p>
    <w:p w:rsidR="00103A96" w:rsidRPr="001715E2" w:rsidRDefault="00103A96" w:rsidP="00103A96">
      <w:pPr>
        <w:spacing w:before="120"/>
        <w:jc w:val="both"/>
        <w:rPr>
          <w:rFonts w:cs="Arial"/>
        </w:rPr>
      </w:pPr>
      <w:r w:rsidRPr="001715E2">
        <w:rPr>
          <w:rFonts w:cs="Arial"/>
        </w:rPr>
        <w:t>6.3.1.1. Widzialność w dzień</w:t>
      </w:r>
    </w:p>
    <w:p w:rsidR="00103A96" w:rsidRPr="001715E2" w:rsidRDefault="00103A96" w:rsidP="00103A96">
      <w:pPr>
        <w:spacing w:before="120"/>
        <w:jc w:val="both"/>
        <w:rPr>
          <w:rFonts w:cs="Arial"/>
        </w:rPr>
      </w:pPr>
      <w:r w:rsidRPr="001715E2">
        <w:rPr>
          <w:rFonts w:cs="Arial"/>
        </w:rPr>
        <w:tab/>
        <w:t>Widzialność oznakowania w dzień jest określona współczynnikiem luminancji i barwą oznakowania.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Pomiary luminancji w świetle rozproszonym wykonuje się w praktyce miernikiem luminancji wg POD-97. Wartość współczynnika Q powinna wynosić dla oznakowania świeżego, barwy białej na nawierzchni asfaltowej, co najmniej 130 mcd m</w:t>
      </w:r>
      <w:r w:rsidRPr="001715E2">
        <w:rPr>
          <w:rFonts w:cs="Arial"/>
          <w:vertAlign w:val="superscript"/>
        </w:rPr>
        <w:t>-2</w:t>
      </w:r>
      <w:r w:rsidRPr="001715E2">
        <w:rPr>
          <w:rFonts w:cs="Arial"/>
        </w:rPr>
        <w:t xml:space="preserve"> lx</w:t>
      </w:r>
      <w:r w:rsidRPr="001715E2">
        <w:rPr>
          <w:rFonts w:cs="Arial"/>
          <w:vertAlign w:val="superscript"/>
        </w:rPr>
        <w:t>-1</w:t>
      </w:r>
      <w:r w:rsidRPr="001715E2">
        <w:rPr>
          <w:rFonts w:cs="Arial"/>
        </w:rPr>
        <w:t>,</w:t>
      </w:r>
    </w:p>
    <w:p w:rsidR="00103A96" w:rsidRPr="001715E2" w:rsidRDefault="00103A96" w:rsidP="00103A96">
      <w:pPr>
        <w:spacing w:before="120" w:after="120"/>
        <w:jc w:val="both"/>
        <w:rPr>
          <w:rFonts w:cs="Arial"/>
        </w:rPr>
      </w:pPr>
      <w:r w:rsidRPr="001715E2">
        <w:rPr>
          <w:rFonts w:cs="Arial"/>
        </w:rPr>
        <w:t>6.3.1.2. Widzialność w nocy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>Za miarę widzialności w nocy przyjęto powierzchniowy współczynnik odblasku R</w:t>
      </w:r>
      <w:r w:rsidRPr="001715E2">
        <w:rPr>
          <w:rFonts w:cs="Arial"/>
          <w:vertAlign w:val="subscript"/>
        </w:rPr>
        <w:t>L</w:t>
      </w:r>
      <w:r w:rsidRPr="001715E2">
        <w:rPr>
          <w:rFonts w:cs="Arial"/>
        </w:rPr>
        <w:t>, określany wg POD-97.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Wartość współczynnika R</w:t>
      </w:r>
      <w:r w:rsidRPr="001715E2">
        <w:rPr>
          <w:rFonts w:cs="Arial"/>
          <w:vertAlign w:val="subscript"/>
        </w:rPr>
        <w:t>L</w:t>
      </w:r>
      <w:r w:rsidRPr="001715E2">
        <w:rPr>
          <w:rFonts w:cs="Arial"/>
        </w:rPr>
        <w:t xml:space="preserve"> powinna wynosić dla oznakowania świeżego w stanie suchym, barwy białej, co najmniej 300 mcd m</w:t>
      </w:r>
      <w:r w:rsidRPr="001715E2">
        <w:rPr>
          <w:rFonts w:cs="Arial"/>
          <w:vertAlign w:val="superscript"/>
        </w:rPr>
        <w:t>-2</w:t>
      </w:r>
      <w:r w:rsidRPr="001715E2">
        <w:rPr>
          <w:rFonts w:cs="Arial"/>
        </w:rPr>
        <w:t xml:space="preserve"> lx</w:t>
      </w:r>
      <w:r w:rsidRPr="001715E2">
        <w:rPr>
          <w:rFonts w:cs="Arial"/>
          <w:vertAlign w:val="superscript"/>
        </w:rPr>
        <w:t>-1</w:t>
      </w:r>
      <w:r w:rsidRPr="001715E2">
        <w:rPr>
          <w:rFonts w:cs="Arial"/>
        </w:rPr>
        <w:t>.</w:t>
      </w:r>
    </w:p>
    <w:p w:rsidR="00103A96" w:rsidRPr="001715E2" w:rsidRDefault="00103A96" w:rsidP="00103A96">
      <w:pPr>
        <w:spacing w:before="120"/>
        <w:jc w:val="both"/>
        <w:rPr>
          <w:rFonts w:cs="Arial"/>
        </w:rPr>
      </w:pPr>
      <w:r w:rsidRPr="001715E2">
        <w:rPr>
          <w:rFonts w:cs="Arial"/>
        </w:rPr>
        <w:t>6.3.1.3. Szorstkość oznakowania</w:t>
      </w:r>
    </w:p>
    <w:p w:rsidR="00103A96" w:rsidRPr="001715E2" w:rsidRDefault="00103A96" w:rsidP="00103A96">
      <w:pPr>
        <w:spacing w:before="120"/>
        <w:jc w:val="both"/>
        <w:rPr>
          <w:rFonts w:cs="Arial"/>
        </w:rPr>
      </w:pPr>
      <w:r w:rsidRPr="001715E2">
        <w:rPr>
          <w:rFonts w:cs="Arial"/>
        </w:rPr>
        <w:tab/>
        <w:t>Miarą szorstkości oznakowania jest wartość wskaźnika szorstkości SRT (</w:t>
      </w:r>
      <w:proofErr w:type="spellStart"/>
      <w:r w:rsidRPr="001715E2">
        <w:rPr>
          <w:rFonts w:cs="Arial"/>
        </w:rPr>
        <w:t>Skid</w:t>
      </w:r>
      <w:proofErr w:type="spellEnd"/>
      <w:r w:rsidRPr="001715E2">
        <w:rPr>
          <w:rFonts w:cs="Arial"/>
        </w:rPr>
        <w:t xml:space="preserve"> </w:t>
      </w:r>
      <w:proofErr w:type="spellStart"/>
      <w:r w:rsidRPr="001715E2">
        <w:rPr>
          <w:rFonts w:cs="Arial"/>
        </w:rPr>
        <w:t>Resistance</w:t>
      </w:r>
      <w:proofErr w:type="spellEnd"/>
      <w:r w:rsidRPr="001715E2">
        <w:rPr>
          <w:rFonts w:cs="Arial"/>
        </w:rPr>
        <w:t xml:space="preserve"> Tester) mierzona wahadłem angielskim, wg POD-97. Wartość SRT symuluje warunki, w których pojazd wyposażony w typowe opony hamuje z blokadą kół przy prędkości 50 km/h na mokrej  nawierzchni.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Wymaga się, aby wartość wskaźnika szorstkości SRT wynosiła na oznakowaniu co najmniej 50 jednostek SRT.</w:t>
      </w:r>
    </w:p>
    <w:p w:rsidR="00103A96" w:rsidRPr="001715E2" w:rsidRDefault="00103A96" w:rsidP="00103A96">
      <w:pPr>
        <w:spacing w:before="120"/>
        <w:jc w:val="both"/>
        <w:rPr>
          <w:rFonts w:cs="Arial"/>
        </w:rPr>
      </w:pPr>
      <w:r w:rsidRPr="001715E2">
        <w:rPr>
          <w:rFonts w:cs="Arial"/>
        </w:rPr>
        <w:t>6.3.1.4. Trwałość oznakowania</w:t>
      </w:r>
    </w:p>
    <w:p w:rsidR="00103A96" w:rsidRPr="001715E2" w:rsidRDefault="00103A96" w:rsidP="00103A96">
      <w:pPr>
        <w:spacing w:before="120"/>
        <w:jc w:val="both"/>
        <w:rPr>
          <w:rFonts w:cs="Arial"/>
        </w:rPr>
      </w:pPr>
      <w:r w:rsidRPr="001715E2">
        <w:rPr>
          <w:rFonts w:cs="Arial"/>
        </w:rPr>
        <w:tab/>
        <w:t>Trwałość oznakowania oceniana jako stopień zużycia w 10-stopniowej skali na zasadzie porównania z wzorcami, wg POD-97, powinna wynosić po 12-miesięcznym okresie eksploatacji oznakowania wykonanego farbami wodorozcieńczalnymi, co najmniej 5.</w:t>
      </w:r>
    </w:p>
    <w:p w:rsidR="00103A96" w:rsidRPr="001715E2" w:rsidRDefault="00103A96" w:rsidP="00103A96">
      <w:pPr>
        <w:keepNext/>
        <w:spacing w:before="120"/>
        <w:jc w:val="both"/>
        <w:rPr>
          <w:rFonts w:cs="Arial"/>
        </w:rPr>
      </w:pPr>
      <w:r w:rsidRPr="001715E2">
        <w:rPr>
          <w:rFonts w:cs="Arial"/>
        </w:rPr>
        <w:t>6.3.1.5. Czas schnięcia oznakowania (wzgl. czas przejezdności oznakowania)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Czas schnięcia oznakowania nie powinien przekraczać czasu gwarantowanego przez producenta, z tym że nie może przekraczać 2 godzin.</w:t>
      </w:r>
    </w:p>
    <w:p w:rsidR="00103A96" w:rsidRPr="001715E2" w:rsidRDefault="00103A96" w:rsidP="00103A96">
      <w:pPr>
        <w:spacing w:before="120"/>
        <w:jc w:val="both"/>
        <w:rPr>
          <w:rFonts w:cs="Arial"/>
        </w:rPr>
      </w:pPr>
      <w:r w:rsidRPr="001715E2">
        <w:rPr>
          <w:rFonts w:cs="Arial"/>
          <w:b/>
        </w:rPr>
        <w:t xml:space="preserve">6.3.2. </w:t>
      </w:r>
      <w:r w:rsidRPr="001715E2">
        <w:rPr>
          <w:rFonts w:cs="Arial"/>
        </w:rPr>
        <w:t>Badania wykonania znakowania poziomego z materiału cienkowarstwowego.</w:t>
      </w:r>
    </w:p>
    <w:p w:rsidR="00103A96" w:rsidRPr="001715E2" w:rsidRDefault="00103A96" w:rsidP="00103A96">
      <w:pPr>
        <w:spacing w:before="120"/>
        <w:jc w:val="both"/>
        <w:rPr>
          <w:rFonts w:cs="Arial"/>
        </w:rPr>
      </w:pPr>
      <w:r w:rsidRPr="001715E2">
        <w:rPr>
          <w:rFonts w:cs="Arial"/>
        </w:rPr>
        <w:tab/>
        <w:t>Wykonawca wykonując znakowanie poziome z materiału cienko-warstwowego przeprowadza przed rozpoczęciem każdej pracy oraz w czasie jej wykonywania, co najmniej raz dziennie, lub zgodnie z ustaleniem ST, następujące badania: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>a) przed rozpoczęciem pracy: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sprawdzenie oznakowania opakowań,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wizualną ocenę stanu  materiału, w zakresie jego jednorodności i widocznych wad,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pomiar wilgotności względnej powietrza,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pomiar temperatury powietrza i nawierzchni,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badanie lepkości farby, wg POD-97,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>b) w czasie wykonywania pracy: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pomiar grubości warstwy oznakowania,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pomiar czasu schnięcia, wg POD-97,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wizualną ocenę równomierności rozłożenia kulek szklanych,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pomiar poziomych wymiarów oznakowania, na zgodność z „Instrukcją o znakach drogowych poziomych”,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lastRenderedPageBreak/>
        <w:t>wizualną ocenę równomierności skropienia (rozłożenia materiału) na całej szerokości linii,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oznaczenia czasu przejezdności, wg POD-97.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Protokół z przeprowadzonych badań wraz z jedną próbką na blasze (300 x 250 x 0,8 mm) Wykonawca powinien przechować do czasu upływu okresu gwarancji.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W przypadku wątpliwości dotyczących wykonania oznakowania poziomego, przedstawiciel Inwestora może zlecić wykonanie badań: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widzialności w dzień,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widzialności w nocy,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szorstkości,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>odpowiadających wymaganiom podanym w punkcie 6.3.1 i wykonanych według metod określonych w „Warunkach technicznych POD-97”. Jeżeli wyniki tych badań wykażą wadliwość wykonanego oznakowania to koszt badań ponosi Wykonawca, w przypadku przeciwnym - Zamawiający.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94" w:name="_Toc484426502"/>
      <w:bookmarkStart w:id="95" w:name="_Toc521903580"/>
      <w:bookmarkStart w:id="96" w:name="_Toc523252531"/>
      <w:r w:rsidRPr="001715E2">
        <w:rPr>
          <w:rFonts w:cs="Arial"/>
          <w:sz w:val="20"/>
        </w:rPr>
        <w:t>6.4. Tolerancje wymiarów oznakowania</w:t>
      </w:r>
      <w:bookmarkEnd w:id="94"/>
      <w:bookmarkEnd w:id="95"/>
      <w:bookmarkEnd w:id="96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  <w:b/>
        </w:rPr>
        <w:t xml:space="preserve">6.4.1. </w:t>
      </w:r>
      <w:r w:rsidRPr="001715E2">
        <w:rPr>
          <w:rFonts w:cs="Arial"/>
        </w:rPr>
        <w:t>Tolerancje nowo wykonanego oznakowania</w:t>
      </w:r>
    </w:p>
    <w:p w:rsidR="00103A96" w:rsidRPr="001715E2" w:rsidRDefault="00103A96" w:rsidP="00103A96">
      <w:pPr>
        <w:spacing w:before="120"/>
        <w:jc w:val="both"/>
        <w:rPr>
          <w:rFonts w:cs="Arial"/>
        </w:rPr>
      </w:pPr>
      <w:r w:rsidRPr="001715E2">
        <w:rPr>
          <w:rFonts w:cs="Arial"/>
        </w:rPr>
        <w:tab/>
        <w:t>Tolerancje nowo wykonanego oznakowania poziomego, zgodnego z „Instrukcją o znakach drogowych poziomych”, powinny odpowiadać następującym warunkom: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 xml:space="preserve">szerokość linii może różnić się od wymaganej o </w:t>
      </w:r>
      <w:r w:rsidRPr="001715E2">
        <w:rPr>
          <w:rFonts w:cs="Arial"/>
        </w:rPr>
        <w:sym w:font="Symbol" w:char="F0B1"/>
      </w:r>
      <w:r w:rsidRPr="001715E2">
        <w:rPr>
          <w:rFonts w:cs="Arial"/>
        </w:rPr>
        <w:t xml:space="preserve"> 5 mm,</w:t>
      </w:r>
    </w:p>
    <w:p w:rsidR="00103A96" w:rsidRPr="001715E2" w:rsidRDefault="00103A96" w:rsidP="00103A96">
      <w:pPr>
        <w:pStyle w:val="Tytu"/>
        <w:jc w:val="left"/>
      </w:pPr>
      <w:bookmarkStart w:id="97" w:name="_Toc420816686"/>
      <w:bookmarkStart w:id="98" w:name="_Toc484426503"/>
      <w:bookmarkStart w:id="99" w:name="_Toc521903581"/>
      <w:bookmarkStart w:id="100" w:name="_Toc523252532"/>
      <w:r w:rsidRPr="001715E2">
        <w:t>7. OBMIAR ROBÓT</w:t>
      </w:r>
      <w:bookmarkEnd w:id="97"/>
      <w:bookmarkEnd w:id="98"/>
      <w:bookmarkEnd w:id="99"/>
      <w:bookmarkEnd w:id="100"/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101" w:name="_Toc484426504"/>
      <w:bookmarkStart w:id="102" w:name="_Toc521903582"/>
      <w:bookmarkStart w:id="103" w:name="_Toc523252533"/>
      <w:r w:rsidRPr="001715E2">
        <w:rPr>
          <w:rFonts w:cs="Arial"/>
          <w:sz w:val="20"/>
        </w:rPr>
        <w:t>7.1. Ogólne zasady obmiaru robót</w:t>
      </w:r>
      <w:bookmarkEnd w:id="101"/>
      <w:bookmarkEnd w:id="102"/>
      <w:bookmarkEnd w:id="103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Ogólne zasady obmiaru robót podano w ST D-00.00.00 „Wymagania ogólne” pkt 7.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104" w:name="_Toc484426505"/>
      <w:bookmarkStart w:id="105" w:name="_Toc521903583"/>
      <w:bookmarkStart w:id="106" w:name="_Toc523252534"/>
      <w:r w:rsidRPr="001715E2">
        <w:rPr>
          <w:rFonts w:cs="Arial"/>
          <w:sz w:val="20"/>
        </w:rPr>
        <w:t>7.2. Jednostka obmiarowa</w:t>
      </w:r>
      <w:bookmarkEnd w:id="104"/>
      <w:bookmarkEnd w:id="105"/>
      <w:bookmarkEnd w:id="106"/>
    </w:p>
    <w:p w:rsidR="00103A96" w:rsidRPr="001715E2" w:rsidRDefault="00103A96" w:rsidP="00103A96">
      <w:pPr>
        <w:spacing w:after="120"/>
        <w:jc w:val="both"/>
        <w:rPr>
          <w:rFonts w:cs="Arial"/>
        </w:rPr>
      </w:pPr>
      <w:r w:rsidRPr="001715E2">
        <w:rPr>
          <w:rFonts w:cs="Arial"/>
        </w:rPr>
        <w:tab/>
        <w:t>Jednostką obmiarową oznakowania poziomego jest m</w:t>
      </w:r>
      <w:r w:rsidRPr="001715E2">
        <w:rPr>
          <w:rFonts w:cs="Arial"/>
          <w:vertAlign w:val="superscript"/>
        </w:rPr>
        <w:t>2</w:t>
      </w:r>
      <w:r w:rsidRPr="001715E2">
        <w:rPr>
          <w:rFonts w:cs="Arial"/>
        </w:rPr>
        <w:t xml:space="preserve"> (metr kwadratowy) powierzchni naniesionych znaków.</w:t>
      </w:r>
    </w:p>
    <w:p w:rsidR="00103A96" w:rsidRPr="001715E2" w:rsidRDefault="00103A96" w:rsidP="00103A96">
      <w:pPr>
        <w:pStyle w:val="Tytu"/>
        <w:jc w:val="left"/>
      </w:pPr>
      <w:bookmarkStart w:id="107" w:name="_Toc420816687"/>
      <w:bookmarkStart w:id="108" w:name="_Toc484426506"/>
      <w:bookmarkStart w:id="109" w:name="_Toc521903584"/>
      <w:bookmarkStart w:id="110" w:name="_Toc523252535"/>
      <w:r w:rsidRPr="001715E2">
        <w:t>8. ODBIÓR ROBÓT</w:t>
      </w:r>
      <w:bookmarkEnd w:id="107"/>
      <w:bookmarkEnd w:id="108"/>
      <w:bookmarkEnd w:id="109"/>
      <w:bookmarkEnd w:id="110"/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111" w:name="_Toc484426507"/>
      <w:bookmarkStart w:id="112" w:name="_Toc521903585"/>
      <w:bookmarkStart w:id="113" w:name="_Toc523252536"/>
      <w:r w:rsidRPr="001715E2">
        <w:rPr>
          <w:rFonts w:cs="Arial"/>
          <w:sz w:val="20"/>
        </w:rPr>
        <w:t>8.1. Ogólne zasady odbioru robót</w:t>
      </w:r>
      <w:bookmarkEnd w:id="111"/>
      <w:bookmarkEnd w:id="112"/>
      <w:bookmarkEnd w:id="113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Ogólne zasady odbioru robót podano w ST D-00.00.00 „Wymagania ogólne” pkt 8.</w:t>
      </w:r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Roboty uznaje się za wykonane zgodnie z  ST i wymaganiami przedstawiciela Inwestora, jeżeli wszystkie pomiary i badania, z zachowaniem tolerancji wg pkt 6, dały wyniki pozytywne.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114" w:name="_Toc484426508"/>
      <w:bookmarkStart w:id="115" w:name="_Toc521903586"/>
      <w:bookmarkStart w:id="116" w:name="_Toc523252537"/>
      <w:r w:rsidRPr="001715E2">
        <w:rPr>
          <w:rFonts w:cs="Arial"/>
          <w:sz w:val="20"/>
        </w:rPr>
        <w:t>8.2. Odbiór robót zanikających i ulegających zakryciu</w:t>
      </w:r>
      <w:bookmarkEnd w:id="114"/>
      <w:bookmarkEnd w:id="115"/>
      <w:bookmarkEnd w:id="116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Odbiór robót zanikających i ulegających zakryciu, w zależności od przyjętego sposobu wykonania robót, może być dokonany po: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oczyszczeniu powierzchni nawierzchni,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proofErr w:type="spellStart"/>
      <w:r w:rsidRPr="001715E2">
        <w:rPr>
          <w:rFonts w:cs="Arial"/>
        </w:rPr>
        <w:t>przedznakowaniu</w:t>
      </w:r>
      <w:proofErr w:type="spellEnd"/>
      <w:r w:rsidRPr="001715E2">
        <w:rPr>
          <w:rFonts w:cs="Arial"/>
        </w:rPr>
        <w:t>,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117" w:name="_Toc484426509"/>
      <w:bookmarkStart w:id="118" w:name="_Toc521903587"/>
      <w:bookmarkStart w:id="119" w:name="_Toc523252538"/>
      <w:r w:rsidRPr="001715E2">
        <w:rPr>
          <w:rFonts w:cs="Arial"/>
          <w:sz w:val="20"/>
        </w:rPr>
        <w:t>8.3. Odbiór ostateczny</w:t>
      </w:r>
      <w:bookmarkEnd w:id="117"/>
      <w:bookmarkEnd w:id="118"/>
      <w:bookmarkEnd w:id="119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Odbioru ostatecznego należy dokonać po całkowitym zakończeniu robót, na podstawie wyników pomiarów i badań jakościowych określonych w punktach od 2 do 6.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120" w:name="_Toc484426510"/>
      <w:bookmarkStart w:id="121" w:name="_Toc521903588"/>
      <w:bookmarkStart w:id="122" w:name="_Toc523252539"/>
      <w:r w:rsidRPr="001715E2">
        <w:rPr>
          <w:rFonts w:cs="Arial"/>
          <w:sz w:val="20"/>
        </w:rPr>
        <w:t>8.4. Odbiór pogwarancyjny</w:t>
      </w:r>
      <w:bookmarkEnd w:id="120"/>
      <w:bookmarkEnd w:id="121"/>
      <w:bookmarkEnd w:id="122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 xml:space="preserve">Odbioru pogwarancyjnego należy dokonać po upływie okresu gwarancyjnego, ustalonego </w:t>
      </w:r>
      <w:r>
        <w:rPr>
          <w:rFonts w:cs="Arial"/>
        </w:rPr>
        <w:br/>
      </w:r>
      <w:r w:rsidRPr="001715E2">
        <w:rPr>
          <w:rFonts w:cs="Arial"/>
        </w:rPr>
        <w:t>w ST. Sprawdzeniu podlegają cechy oznakowania określone w POD-97.</w:t>
      </w:r>
    </w:p>
    <w:p w:rsidR="00103A96" w:rsidRPr="001715E2" w:rsidRDefault="00103A96" w:rsidP="00103A96">
      <w:pPr>
        <w:jc w:val="both"/>
        <w:rPr>
          <w:rFonts w:cs="Arial"/>
        </w:rPr>
      </w:pPr>
      <w:r>
        <w:rPr>
          <w:rFonts w:cs="Arial"/>
        </w:rPr>
        <w:tab/>
        <w:t>Okres</w:t>
      </w:r>
      <w:r w:rsidRPr="001715E2">
        <w:rPr>
          <w:rFonts w:cs="Arial"/>
        </w:rPr>
        <w:t xml:space="preserve"> gwarancyjny wynosi co najmniej 6 miesięcy.</w:t>
      </w:r>
    </w:p>
    <w:p w:rsidR="00103A96" w:rsidRPr="00651555" w:rsidRDefault="00103A96" w:rsidP="00103A96">
      <w:pPr>
        <w:pStyle w:val="Tytu"/>
        <w:jc w:val="left"/>
      </w:pPr>
      <w:bookmarkStart w:id="123" w:name="_Toc484426511"/>
      <w:bookmarkStart w:id="124" w:name="_Toc521903589"/>
      <w:bookmarkStart w:id="125" w:name="_Toc523252540"/>
      <w:r w:rsidRPr="001715E2">
        <w:t xml:space="preserve">9. </w:t>
      </w:r>
      <w:bookmarkStart w:id="126" w:name="_Toc420816688"/>
      <w:r w:rsidRPr="001715E2">
        <w:t>PODSTAWA PŁATNOŚCI</w:t>
      </w:r>
      <w:bookmarkEnd w:id="123"/>
      <w:bookmarkEnd w:id="124"/>
      <w:bookmarkEnd w:id="125"/>
      <w:bookmarkEnd w:id="126"/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127" w:name="_Toc484426512"/>
      <w:bookmarkStart w:id="128" w:name="_Toc521903590"/>
      <w:bookmarkStart w:id="129" w:name="_Toc523252541"/>
      <w:r w:rsidRPr="001715E2">
        <w:rPr>
          <w:rFonts w:cs="Arial"/>
          <w:sz w:val="20"/>
        </w:rPr>
        <w:t>9.1. Ogólne ustalenia dotyczące podstawy płatności</w:t>
      </w:r>
      <w:bookmarkEnd w:id="127"/>
      <w:bookmarkEnd w:id="128"/>
      <w:bookmarkEnd w:id="129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Ogólne ustalenia dotyczące podstawy płatności podano w ST D-00.00.00 „Wymagania ogólne” pkt 9.</w:t>
      </w:r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130" w:name="_Toc484426513"/>
      <w:bookmarkStart w:id="131" w:name="_Toc521903591"/>
      <w:bookmarkStart w:id="132" w:name="_Toc523252542"/>
      <w:r w:rsidRPr="001715E2">
        <w:rPr>
          <w:rFonts w:cs="Arial"/>
          <w:sz w:val="20"/>
        </w:rPr>
        <w:lastRenderedPageBreak/>
        <w:t>9.2. Cena jednostki obmiarowej</w:t>
      </w:r>
      <w:bookmarkEnd w:id="130"/>
      <w:bookmarkEnd w:id="131"/>
      <w:bookmarkEnd w:id="132"/>
    </w:p>
    <w:p w:rsidR="00103A96" w:rsidRPr="001715E2" w:rsidRDefault="00103A96" w:rsidP="00103A96">
      <w:pPr>
        <w:jc w:val="both"/>
        <w:rPr>
          <w:rFonts w:cs="Arial"/>
        </w:rPr>
      </w:pPr>
      <w:r w:rsidRPr="001715E2">
        <w:rPr>
          <w:rFonts w:cs="Arial"/>
        </w:rPr>
        <w:tab/>
        <w:t>Cena 1 m</w:t>
      </w:r>
      <w:r w:rsidRPr="001715E2">
        <w:rPr>
          <w:rFonts w:cs="Arial"/>
          <w:vertAlign w:val="superscript"/>
        </w:rPr>
        <w:t>2</w:t>
      </w:r>
      <w:r w:rsidRPr="001715E2">
        <w:rPr>
          <w:rFonts w:cs="Arial"/>
        </w:rPr>
        <w:t xml:space="preserve"> wykonania robót obejmuje: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prace pomiarowe, roboty przygotowawcze i oznakowanie robót,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przygotowanie i dostarczenie materiałów,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oczyszczenie podłoża (nawierzchni),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proofErr w:type="spellStart"/>
      <w:r w:rsidRPr="001715E2">
        <w:rPr>
          <w:rFonts w:cs="Arial"/>
        </w:rPr>
        <w:t>przedznakowanie</w:t>
      </w:r>
      <w:proofErr w:type="spellEnd"/>
      <w:r w:rsidRPr="001715E2">
        <w:rPr>
          <w:rFonts w:cs="Arial"/>
        </w:rPr>
        <w:t>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naniesienie powłoki znaków na nawierzchnię drogi o kształtach i wymiarach zgodnych z „Instrukcją o znakach drogowych poziomych”,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>ochrona znaków przed zniszczeniem przez pojazdy w czasie prowadzenia robót,</w:t>
      </w:r>
    </w:p>
    <w:p w:rsidR="00103A96" w:rsidRPr="001715E2" w:rsidRDefault="00103A96" w:rsidP="00103A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cs="Arial"/>
        </w:rPr>
      </w:pPr>
      <w:r w:rsidRPr="001715E2">
        <w:rPr>
          <w:rFonts w:cs="Arial"/>
        </w:rPr>
        <w:t>przeprowadzenie pomiarów i badań laboratoryjnych wymaganych w specyfikacji technicznej.</w:t>
      </w:r>
    </w:p>
    <w:p w:rsidR="00103A96" w:rsidRPr="001715E2" w:rsidRDefault="00103A96" w:rsidP="00103A96">
      <w:pPr>
        <w:pStyle w:val="Tytu"/>
        <w:jc w:val="left"/>
      </w:pPr>
      <w:bookmarkStart w:id="133" w:name="_Toc420816689"/>
      <w:bookmarkStart w:id="134" w:name="_Toc484426514"/>
      <w:bookmarkStart w:id="135" w:name="_Toc521903592"/>
      <w:bookmarkStart w:id="136" w:name="_Toc523252543"/>
      <w:r w:rsidRPr="001715E2">
        <w:t>10. PRZEPISY ZWIĄZANE</w:t>
      </w:r>
      <w:bookmarkEnd w:id="133"/>
      <w:bookmarkEnd w:id="134"/>
      <w:bookmarkEnd w:id="135"/>
      <w:bookmarkEnd w:id="136"/>
    </w:p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137" w:name="_Toc484426515"/>
      <w:bookmarkStart w:id="138" w:name="_Toc521903593"/>
      <w:bookmarkStart w:id="139" w:name="_Toc523252544"/>
      <w:r w:rsidRPr="001715E2">
        <w:rPr>
          <w:rFonts w:cs="Arial"/>
          <w:sz w:val="20"/>
        </w:rPr>
        <w:t>10.1. Normy</w:t>
      </w:r>
      <w:bookmarkEnd w:id="137"/>
      <w:bookmarkEnd w:id="138"/>
      <w:bookmarkEnd w:id="139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842"/>
        <w:gridCol w:w="5172"/>
      </w:tblGrid>
      <w:tr w:rsidR="00103A96" w:rsidRPr="001715E2" w:rsidTr="00DD4D6F">
        <w:tc>
          <w:tcPr>
            <w:tcW w:w="496" w:type="dxa"/>
          </w:tcPr>
          <w:p w:rsidR="00103A96" w:rsidRPr="001715E2" w:rsidRDefault="00103A96" w:rsidP="00DD4D6F">
            <w:pPr>
              <w:rPr>
                <w:rFonts w:cs="Arial"/>
              </w:rPr>
            </w:pPr>
            <w:r w:rsidRPr="001715E2">
              <w:rPr>
                <w:rFonts w:cs="Arial"/>
              </w:rPr>
              <w:t>1.</w:t>
            </w:r>
          </w:p>
        </w:tc>
        <w:tc>
          <w:tcPr>
            <w:tcW w:w="1842" w:type="dxa"/>
          </w:tcPr>
          <w:p w:rsidR="00103A96" w:rsidRPr="001715E2" w:rsidRDefault="00103A96" w:rsidP="00DD4D6F">
            <w:pPr>
              <w:rPr>
                <w:rFonts w:cs="Arial"/>
              </w:rPr>
            </w:pPr>
            <w:r w:rsidRPr="001715E2">
              <w:rPr>
                <w:rFonts w:cs="Arial"/>
              </w:rPr>
              <w:t>PN-C-81400</w:t>
            </w:r>
          </w:p>
        </w:tc>
        <w:tc>
          <w:tcPr>
            <w:tcW w:w="5172" w:type="dxa"/>
          </w:tcPr>
          <w:p w:rsidR="00103A96" w:rsidRPr="001715E2" w:rsidRDefault="00103A96" w:rsidP="00DD4D6F">
            <w:pPr>
              <w:rPr>
                <w:rFonts w:cs="Arial"/>
              </w:rPr>
            </w:pPr>
            <w:r w:rsidRPr="001715E2">
              <w:rPr>
                <w:rFonts w:cs="Arial"/>
              </w:rPr>
              <w:t>Wyroby lakierowe. Pakowanie, przechowywanie i transport</w:t>
            </w:r>
          </w:p>
        </w:tc>
      </w:tr>
      <w:tr w:rsidR="00103A96" w:rsidRPr="001715E2" w:rsidTr="00DD4D6F">
        <w:tc>
          <w:tcPr>
            <w:tcW w:w="496" w:type="dxa"/>
          </w:tcPr>
          <w:p w:rsidR="00103A96" w:rsidRPr="001715E2" w:rsidRDefault="00103A96" w:rsidP="00DD4D6F">
            <w:pPr>
              <w:rPr>
                <w:rFonts w:cs="Arial"/>
              </w:rPr>
            </w:pPr>
            <w:r w:rsidRPr="001715E2">
              <w:rPr>
                <w:rFonts w:cs="Arial"/>
              </w:rPr>
              <w:t>2.</w:t>
            </w:r>
          </w:p>
        </w:tc>
        <w:tc>
          <w:tcPr>
            <w:tcW w:w="1842" w:type="dxa"/>
          </w:tcPr>
          <w:p w:rsidR="00103A96" w:rsidRPr="001715E2" w:rsidRDefault="00103A96" w:rsidP="00DD4D6F">
            <w:pPr>
              <w:rPr>
                <w:rFonts w:cs="Arial"/>
              </w:rPr>
            </w:pPr>
            <w:r w:rsidRPr="001715E2">
              <w:rPr>
                <w:rFonts w:cs="Arial"/>
              </w:rPr>
              <w:t>PN-O-79252</w:t>
            </w:r>
          </w:p>
        </w:tc>
        <w:tc>
          <w:tcPr>
            <w:tcW w:w="5172" w:type="dxa"/>
          </w:tcPr>
          <w:p w:rsidR="00103A96" w:rsidRPr="001715E2" w:rsidRDefault="00103A96" w:rsidP="00DD4D6F">
            <w:pPr>
              <w:rPr>
                <w:rFonts w:cs="Arial"/>
              </w:rPr>
            </w:pPr>
            <w:r w:rsidRPr="001715E2">
              <w:rPr>
                <w:rFonts w:cs="Arial"/>
              </w:rPr>
              <w:t>Opakowania transportowe z zawartością. Znaki i znakowanie. Wymagania podstawowe.</w:t>
            </w:r>
          </w:p>
        </w:tc>
      </w:tr>
    </w:tbl>
    <w:p w:rsidR="00103A96" w:rsidRPr="001715E2" w:rsidRDefault="00103A96" w:rsidP="00103A96">
      <w:pPr>
        <w:pStyle w:val="Nagwek2"/>
        <w:jc w:val="both"/>
        <w:rPr>
          <w:rFonts w:cs="Arial"/>
          <w:sz w:val="20"/>
        </w:rPr>
      </w:pPr>
      <w:bookmarkStart w:id="140" w:name="_Toc484426516"/>
      <w:bookmarkStart w:id="141" w:name="_Toc521903594"/>
      <w:bookmarkStart w:id="142" w:name="_Toc523252545"/>
      <w:r w:rsidRPr="001715E2">
        <w:rPr>
          <w:rFonts w:cs="Arial"/>
          <w:sz w:val="20"/>
        </w:rPr>
        <w:t>10.2. Inne dokumenty</w:t>
      </w:r>
      <w:bookmarkEnd w:id="140"/>
      <w:bookmarkEnd w:id="141"/>
      <w:bookmarkEnd w:id="142"/>
    </w:p>
    <w:p w:rsidR="00103A96" w:rsidRPr="001715E2" w:rsidRDefault="00103A96" w:rsidP="00103A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 xml:space="preserve">Szczegółowe warunki techniczne dla znaków i sygnałów drogowych oraz urządzeń bezpieczeństwa ruchu drogowego i warunki ich umieszczania na drogach. </w:t>
      </w:r>
    </w:p>
    <w:p w:rsidR="00103A96" w:rsidRPr="001715E2" w:rsidRDefault="00103A96" w:rsidP="00103A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1715E2">
        <w:rPr>
          <w:rFonts w:cs="Arial"/>
        </w:rPr>
        <w:t xml:space="preserve">Warunki techniczne. Poziome znakowanie dróg. POD-97. Seria „I” - Informacje, Instrukcje. Zeszyt nr 55. </w:t>
      </w:r>
      <w:proofErr w:type="spellStart"/>
      <w:r w:rsidRPr="001715E2">
        <w:rPr>
          <w:rFonts w:cs="Arial"/>
        </w:rPr>
        <w:t>IBDiM</w:t>
      </w:r>
      <w:proofErr w:type="spellEnd"/>
      <w:r w:rsidRPr="001715E2">
        <w:rPr>
          <w:rFonts w:cs="Arial"/>
        </w:rPr>
        <w:t>, Warszawa, 1997.</w:t>
      </w:r>
    </w:p>
    <w:p w:rsidR="00A24427" w:rsidRDefault="00A24427"/>
    <w:sectPr w:rsidR="00A24427" w:rsidSect="00AF2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styleLink w:val="Punktowane261"/>
    <w:lvl w:ilvl="0">
      <w:numFmt w:val="decimal"/>
      <w:lvlText w:val="*"/>
      <w:lvlJc w:val="left"/>
    </w:lvl>
  </w:abstractNum>
  <w:abstractNum w:abstractNumId="1">
    <w:nsid w:val="1FCC0DE9"/>
    <w:multiLevelType w:val="singleLevel"/>
    <w:tmpl w:val="ABDA7450"/>
    <w:lvl w:ilvl="0">
      <w:start w:val="3"/>
      <w:numFmt w:val="decimal"/>
      <w:lvlText w:val="%1."/>
      <w:legacy w:legacy="1" w:legacySpace="113" w:legacyIndent="397"/>
      <w:lvlJc w:val="right"/>
      <w:pPr>
        <w:ind w:left="397" w:hanging="397"/>
      </w:pPr>
    </w:lvl>
  </w:abstractNum>
  <w:abstractNum w:abstractNumId="2">
    <w:nsid w:val="37340C9B"/>
    <w:multiLevelType w:val="singleLevel"/>
    <w:tmpl w:val="AE1E5D6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03A96"/>
    <w:rsid w:val="000530A6"/>
    <w:rsid w:val="0007229B"/>
    <w:rsid w:val="00103A96"/>
    <w:rsid w:val="00A24427"/>
    <w:rsid w:val="00AF233C"/>
    <w:rsid w:val="00F7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A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1">
    <w:name w:val="heading 1"/>
    <w:aliases w:val="Znak"/>
    <w:basedOn w:val="Normalny"/>
    <w:next w:val="Normalny"/>
    <w:link w:val="Nagwek1Znak"/>
    <w:qFormat/>
    <w:rsid w:val="00103A96"/>
    <w:pPr>
      <w:keepNext/>
      <w:spacing w:before="240" w:after="60"/>
      <w:outlineLvl w:val="0"/>
    </w:pPr>
    <w:rPr>
      <w:b/>
      <w:caps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103A96"/>
    <w:pPr>
      <w:keepNext/>
      <w:spacing w:before="240" w:after="60"/>
      <w:outlineLvl w:val="1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"/>
    <w:basedOn w:val="Domylnaczcionkaakapitu"/>
    <w:link w:val="Nagwek1"/>
    <w:rsid w:val="00103A96"/>
    <w:rPr>
      <w:rFonts w:ascii="Arial" w:eastAsia="Times New Roman" w:hAnsi="Arial" w:cs="Times New Roman"/>
      <w:b/>
      <w:caps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03A96"/>
    <w:rPr>
      <w:rFonts w:ascii="Arial" w:eastAsia="Times New Roman" w:hAnsi="Arial" w:cs="Times New Roman"/>
      <w:b/>
      <w:caps/>
      <w:sz w:val="24"/>
      <w:szCs w:val="20"/>
      <w:lang w:eastAsia="pl-PL"/>
    </w:rPr>
  </w:style>
  <w:style w:type="paragraph" w:customStyle="1" w:styleId="Standardowytekst">
    <w:name w:val="Standardowy.tekst"/>
    <w:link w:val="StandardowytekstZnak2"/>
    <w:rsid w:val="00103A9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103A96"/>
    <w:pPr>
      <w:keepNext/>
      <w:widowControl w:val="0"/>
      <w:suppressAutoHyphens/>
      <w:spacing w:before="240" w:after="120"/>
      <w:ind w:left="283" w:hanging="283"/>
      <w:jc w:val="center"/>
      <w:outlineLvl w:val="0"/>
    </w:pPr>
    <w:rPr>
      <w:rFonts w:eastAsia="MS Mincho" w:cs="Tahoma"/>
      <w:b/>
      <w:bCs/>
      <w:sz w:val="24"/>
      <w:szCs w:val="36"/>
    </w:rPr>
  </w:style>
  <w:style w:type="character" w:customStyle="1" w:styleId="TytuZnak">
    <w:name w:val="Tytuł Znak"/>
    <w:basedOn w:val="Domylnaczcionkaakapitu"/>
    <w:link w:val="Tytu"/>
    <w:rsid w:val="00103A96"/>
    <w:rPr>
      <w:rFonts w:ascii="Arial" w:eastAsia="MS Mincho" w:hAnsi="Arial" w:cs="Tahoma"/>
      <w:b/>
      <w:bCs/>
      <w:sz w:val="24"/>
      <w:szCs w:val="36"/>
      <w:lang w:eastAsia="pl-PL"/>
    </w:rPr>
  </w:style>
  <w:style w:type="character" w:customStyle="1" w:styleId="StandardowytekstZnak2">
    <w:name w:val="Standardowy.tekst Znak2"/>
    <w:basedOn w:val="Domylnaczcionkaakapitu"/>
    <w:link w:val="Standardowytekst"/>
    <w:locked/>
    <w:rsid w:val="00103A9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Punktowane261">
    <w:name w:val="Punktowane261"/>
    <w:basedOn w:val="Bezlisty"/>
    <w:rsid w:val="00103A9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2088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P.K.PROJECT</dc:creator>
  <cp:lastModifiedBy>Marcin Jurewicz</cp:lastModifiedBy>
  <cp:revision>4</cp:revision>
  <dcterms:created xsi:type="dcterms:W3CDTF">2021-02-02T07:28:00Z</dcterms:created>
  <dcterms:modified xsi:type="dcterms:W3CDTF">2021-02-02T08:25:00Z</dcterms:modified>
</cp:coreProperties>
</file>