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4" w:rsidRPr="00614A29" w:rsidRDefault="00C267B4">
      <w:r w:rsidRPr="00614A29">
        <w:rPr>
          <w:noProof/>
          <w:lang w:eastAsia="pl-PL"/>
        </w:rPr>
        <w:drawing>
          <wp:inline distT="0" distB="0" distL="0" distR="0">
            <wp:extent cx="5760720" cy="62876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78" w:rsidRPr="00614A29" w:rsidRDefault="00640FDE">
      <w:r>
        <w:t>Dodatek nr 8</w:t>
      </w:r>
      <w:r w:rsidR="00770ABE" w:rsidRPr="00614A29">
        <w:t xml:space="preserve">- </w:t>
      </w:r>
      <w:r w:rsidR="00B41D59" w:rsidRPr="00614A29">
        <w:t>Funkcjonalności</w:t>
      </w:r>
      <w:r w:rsidR="00770ABE" w:rsidRPr="00614A29">
        <w:t xml:space="preserve"> </w:t>
      </w:r>
      <w:r w:rsidR="00FA35FB" w:rsidRPr="00614A29">
        <w:t>dodatkowe</w:t>
      </w:r>
    </w:p>
    <w:p w:rsidR="007A1D10" w:rsidRPr="00614A29" w:rsidRDefault="007A1D10">
      <w:r w:rsidRPr="00614A29">
        <w:t xml:space="preserve">Za każde spełnione wymaganie Wykonawca dostanie </w:t>
      </w:r>
      <w:r w:rsidR="00D37163" w:rsidRPr="00614A29">
        <w:t>3</w:t>
      </w:r>
      <w:r w:rsidRPr="00614A29">
        <w:t xml:space="preserve"> </w:t>
      </w:r>
      <w:r w:rsidR="00D37163" w:rsidRPr="00614A29">
        <w:t>pkt. Maksymalnie można uzyskać 3</w:t>
      </w:r>
      <w:r w:rsidR="003D5648" w:rsidRPr="00614A29">
        <w:t xml:space="preserve">0 pkt. </w:t>
      </w:r>
    </w:p>
    <w:tbl>
      <w:tblPr>
        <w:tblStyle w:val="Tabela-Siatka"/>
        <w:tblpPr w:leftFromText="141" w:rightFromText="141" w:vertAnchor="page" w:horzAnchor="margin" w:tblpY="4309"/>
        <w:tblW w:w="0" w:type="auto"/>
        <w:tblLayout w:type="fixed"/>
        <w:tblLook w:val="04A0"/>
      </w:tblPr>
      <w:tblGrid>
        <w:gridCol w:w="5695"/>
        <w:gridCol w:w="1134"/>
        <w:gridCol w:w="1134"/>
      </w:tblGrid>
      <w:tr w:rsidR="007A1D10" w:rsidRPr="00614A29" w:rsidTr="00C267B4">
        <w:tc>
          <w:tcPr>
            <w:tcW w:w="5695" w:type="dxa"/>
            <w:vMerge w:val="restart"/>
          </w:tcPr>
          <w:p w:rsidR="007A1D10" w:rsidRPr="00614A29" w:rsidRDefault="007A1D10" w:rsidP="00C267B4">
            <w:pPr>
              <w:ind w:left="360"/>
              <w:contextualSpacing/>
              <w:rPr>
                <w:b/>
              </w:rPr>
            </w:pPr>
            <w:r w:rsidRPr="00614A29">
              <w:rPr>
                <w:b/>
              </w:rPr>
              <w:t>FUNKCJONALNOŚCI DODATKOWE</w:t>
            </w:r>
          </w:p>
        </w:tc>
        <w:tc>
          <w:tcPr>
            <w:tcW w:w="2268" w:type="dxa"/>
            <w:gridSpan w:val="2"/>
          </w:tcPr>
          <w:p w:rsidR="007A1D10" w:rsidRPr="00614A29" w:rsidRDefault="007A1D10" w:rsidP="00C267B4">
            <w:pPr>
              <w:ind w:left="360"/>
              <w:contextualSpacing/>
              <w:jc w:val="center"/>
              <w:rPr>
                <w:b/>
              </w:rPr>
            </w:pPr>
            <w:r w:rsidRPr="00614A2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PARAMETRY OFEROWANE: Potwierdzenie Wykonawcy TAK lub NIE</w:t>
            </w:r>
          </w:p>
        </w:tc>
      </w:tr>
      <w:tr w:rsidR="007A1D10" w:rsidRPr="00614A29" w:rsidTr="00C267B4">
        <w:tc>
          <w:tcPr>
            <w:tcW w:w="5695" w:type="dxa"/>
            <w:vMerge/>
          </w:tcPr>
          <w:p w:rsidR="007A1D10" w:rsidRPr="00614A29" w:rsidRDefault="007A1D10" w:rsidP="00C267B4">
            <w:pPr>
              <w:ind w:left="360"/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7A1D10" w:rsidRPr="00614A29" w:rsidRDefault="007A1D10" w:rsidP="00C267B4">
            <w:pPr>
              <w:ind w:left="360"/>
              <w:contextualSpacing/>
              <w:rPr>
                <w:b/>
              </w:rPr>
            </w:pPr>
            <w:r w:rsidRPr="00614A29">
              <w:rPr>
                <w:b/>
              </w:rPr>
              <w:t>TAK</w:t>
            </w:r>
          </w:p>
        </w:tc>
        <w:tc>
          <w:tcPr>
            <w:tcW w:w="1134" w:type="dxa"/>
          </w:tcPr>
          <w:p w:rsidR="007A1D10" w:rsidRPr="00614A29" w:rsidRDefault="007A1D10" w:rsidP="00C267B4">
            <w:pPr>
              <w:ind w:left="360"/>
              <w:contextualSpacing/>
              <w:rPr>
                <w:b/>
              </w:rPr>
            </w:pPr>
            <w:r w:rsidRPr="00614A29">
              <w:rPr>
                <w:b/>
              </w:rPr>
              <w:t>NIE</w:t>
            </w:r>
          </w:p>
        </w:tc>
      </w:tr>
      <w:tr w:rsidR="003D5648" w:rsidRPr="00614A29" w:rsidTr="00C267B4">
        <w:tc>
          <w:tcPr>
            <w:tcW w:w="5695" w:type="dxa"/>
          </w:tcPr>
          <w:p w:rsidR="00936870" w:rsidRPr="00614A29" w:rsidRDefault="003D5648" w:rsidP="003D5648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System zabezpieczeń firewall musi umożliwiać sprawdzenie wpływu nowo pobranych aktualizacji</w:t>
            </w:r>
            <w:r w:rsidR="00936870" w:rsidRPr="00614A29">
              <w:rPr>
                <w:rFonts w:asciiTheme="minorHAnsi" w:hAnsiTheme="minorHAnsi"/>
              </w:rPr>
              <w:t>:</w:t>
            </w:r>
          </w:p>
          <w:p w:rsidR="00047B23" w:rsidRPr="00614A29" w:rsidRDefault="00047B23" w:rsidP="00047B23">
            <w:pPr>
              <w:pStyle w:val="Akapitzlist"/>
              <w:numPr>
                <w:ilvl w:val="1"/>
                <w:numId w:val="2"/>
              </w:numPr>
              <w:contextualSpacing/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Sygnatur ochronnych (np. IPS);</w:t>
            </w:r>
          </w:p>
          <w:p w:rsidR="00047B23" w:rsidRPr="00614A29" w:rsidRDefault="00047B23" w:rsidP="00047B23">
            <w:pPr>
              <w:pStyle w:val="Akapitzlist"/>
              <w:numPr>
                <w:ilvl w:val="1"/>
                <w:numId w:val="2"/>
              </w:numPr>
              <w:contextualSpacing/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Sygnatur aplikacyjnych (nowych definicji aplikacji);</w:t>
            </w:r>
          </w:p>
          <w:p w:rsidR="003D5648" w:rsidRPr="00614A29" w:rsidRDefault="003D5648" w:rsidP="00047B23">
            <w:pPr>
              <w:ind w:left="720"/>
              <w:contextualSpacing/>
              <w:rPr>
                <w:rFonts w:cs="Times New Roman"/>
                <w:sz w:val="24"/>
                <w:szCs w:val="24"/>
              </w:rPr>
            </w:pPr>
            <w:r w:rsidRPr="00614A29">
              <w:rPr>
                <w:rFonts w:cs="Times New Roman"/>
                <w:sz w:val="24"/>
                <w:szCs w:val="24"/>
              </w:rPr>
              <w:t>(przed ich zatwierdzeniem na urządzeniu) na istniejące polityki bezpieczeństwa – funkcja ta musi być wbudowana w firewall i nie może wymagać korzystania z rozwiązań trzecich.</w:t>
            </w: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  <w:contextualSpacing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  <w:contextualSpacing/>
            </w:pPr>
          </w:p>
        </w:tc>
      </w:tr>
      <w:tr w:rsidR="003D5648" w:rsidRPr="00614A29" w:rsidTr="00C267B4">
        <w:tc>
          <w:tcPr>
            <w:tcW w:w="5695" w:type="dxa"/>
          </w:tcPr>
          <w:p w:rsidR="003D5648" w:rsidRPr="00614A29" w:rsidRDefault="003D5648" w:rsidP="003D5648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System zabezpiecze</w:t>
            </w:r>
            <w:r w:rsidR="00F35613" w:rsidRPr="00614A29">
              <w:rPr>
                <w:rFonts w:asciiTheme="minorHAnsi" w:hAnsiTheme="minorHAnsi"/>
              </w:rPr>
              <w:t>ń firewall pozwala na analizę i </w:t>
            </w:r>
            <w:r w:rsidRPr="00614A29">
              <w:rPr>
                <w:rFonts w:asciiTheme="minorHAnsi" w:hAnsiTheme="minorHAnsi"/>
              </w:rPr>
              <w:t xml:space="preserve">blokowanie plików przesyłanych w zidentyfikowanych aplikacjach, przy czym w przypadku gdy kilka aplikacji pracuje na tym samym porcie UDP/TCP (np. </w:t>
            </w:r>
            <w:proofErr w:type="spellStart"/>
            <w:r w:rsidRPr="00614A29">
              <w:rPr>
                <w:rFonts w:asciiTheme="minorHAnsi" w:hAnsiTheme="minorHAnsi"/>
              </w:rPr>
              <w:t>tcp</w:t>
            </w:r>
            <w:proofErr w:type="spellEnd"/>
            <w:r w:rsidRPr="00614A29">
              <w:rPr>
                <w:rFonts w:asciiTheme="minorHAnsi" w:hAnsiTheme="minorHAnsi"/>
              </w:rPr>
              <w:t>/80) musi istnieć możliwość przydzielania innych, osobny</w:t>
            </w:r>
            <w:r w:rsidR="00614A29">
              <w:rPr>
                <w:rFonts w:asciiTheme="minorHAnsi" w:hAnsiTheme="minorHAnsi"/>
              </w:rPr>
              <w:t>ch profili analizujących i </w:t>
            </w:r>
            <w:r w:rsidRPr="00614A29">
              <w:rPr>
                <w:rFonts w:asciiTheme="minorHAnsi" w:hAnsiTheme="minorHAnsi"/>
              </w:rPr>
              <w:t>blokujących dla każdej aplikacji.</w:t>
            </w:r>
          </w:p>
        </w:tc>
        <w:tc>
          <w:tcPr>
            <w:tcW w:w="1134" w:type="dxa"/>
          </w:tcPr>
          <w:p w:rsidR="003B4AC6" w:rsidRPr="00614A29" w:rsidRDefault="003B4AC6" w:rsidP="00C267B4">
            <w:pPr>
              <w:ind w:left="360"/>
              <w:contextualSpacing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  <w:contextualSpacing/>
            </w:pPr>
          </w:p>
        </w:tc>
      </w:tr>
      <w:tr w:rsidR="003D5648" w:rsidRPr="00614A29" w:rsidTr="00C267B4">
        <w:tc>
          <w:tcPr>
            <w:tcW w:w="5695" w:type="dxa"/>
          </w:tcPr>
          <w:p w:rsidR="003D5648" w:rsidRPr="00614A29" w:rsidRDefault="00693511" w:rsidP="003D5648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 xml:space="preserve">System zabezpieczeń firewall posiada moduł inspekcji antywirusowej, który za pomocą lokalnych sygnatur i definicji wirusów </w:t>
            </w:r>
            <w:r w:rsidR="00AB7DC1" w:rsidRPr="00614A29">
              <w:rPr>
                <w:rFonts w:asciiTheme="minorHAnsi" w:hAnsiTheme="minorHAnsi"/>
              </w:rPr>
              <w:t>umożliwia inspekcje</w:t>
            </w:r>
            <w:r w:rsidRPr="00614A29">
              <w:rPr>
                <w:rFonts w:asciiTheme="minorHAnsi" w:hAnsiTheme="minorHAnsi"/>
              </w:rPr>
              <w:t xml:space="preserve"> plików archiwalnych pod kątem zawartości złośliwego oprogramowania, min: archiwa typu zip, </w:t>
            </w:r>
            <w:proofErr w:type="spellStart"/>
            <w:r w:rsidRPr="00614A29">
              <w:rPr>
                <w:rFonts w:asciiTheme="minorHAnsi" w:hAnsiTheme="minorHAnsi"/>
              </w:rPr>
              <w:t>gzip</w:t>
            </w:r>
            <w:proofErr w:type="spellEnd"/>
            <w:r w:rsidRPr="00614A29">
              <w:rPr>
                <w:rFonts w:asciiTheme="minorHAnsi" w:hAnsiTheme="minorHAnsi"/>
              </w:rPr>
              <w:t xml:space="preserve">, bz2, </w:t>
            </w:r>
            <w:proofErr w:type="spellStart"/>
            <w:r w:rsidRPr="00614A29">
              <w:rPr>
                <w:rFonts w:asciiTheme="minorHAnsi" w:hAnsiTheme="minorHAnsi"/>
              </w:rPr>
              <w:t>rar</w:t>
            </w:r>
            <w:proofErr w:type="spellEnd"/>
            <w:r w:rsidRPr="00614A29">
              <w:rPr>
                <w:rFonts w:asciiTheme="minorHAnsi" w:hAnsiTheme="minorHAnsi"/>
              </w:rPr>
              <w:t xml:space="preserve">, tar, 7zip. System musi mieć możliwość zablokowania </w:t>
            </w:r>
            <w:r w:rsidR="00A81569" w:rsidRPr="00614A29">
              <w:rPr>
                <w:rFonts w:asciiTheme="minorHAnsi" w:hAnsiTheme="minorHAnsi"/>
              </w:rPr>
              <w:t xml:space="preserve"> w locie</w:t>
            </w:r>
            <w:r w:rsidR="000272C5" w:rsidRPr="00614A29">
              <w:rPr>
                <w:rFonts w:asciiTheme="minorHAnsi" w:hAnsiTheme="minorHAnsi"/>
              </w:rPr>
              <w:t xml:space="preserve"> </w:t>
            </w:r>
            <w:r w:rsidRPr="00614A29">
              <w:rPr>
                <w:rFonts w:asciiTheme="minorHAnsi" w:hAnsiTheme="minorHAnsi"/>
              </w:rPr>
              <w:t xml:space="preserve">w/w typów archiwów jeśli w środku znajduje się plik, który poprzez sygnatury AV jest </w:t>
            </w:r>
            <w:r w:rsidR="00475491" w:rsidRPr="00614A29">
              <w:rPr>
                <w:rFonts w:asciiTheme="minorHAnsi" w:hAnsiTheme="minorHAnsi"/>
              </w:rPr>
              <w:t>zaklasyfikowany</w:t>
            </w:r>
            <w:r w:rsidRPr="00614A29">
              <w:rPr>
                <w:rFonts w:asciiTheme="minorHAnsi" w:hAnsiTheme="minorHAnsi"/>
              </w:rPr>
              <w:t xml:space="preserve"> jako niebezpieczny.</w:t>
            </w:r>
          </w:p>
        </w:tc>
        <w:tc>
          <w:tcPr>
            <w:tcW w:w="1134" w:type="dxa"/>
          </w:tcPr>
          <w:p w:rsidR="00693511" w:rsidRPr="00614A29" w:rsidRDefault="00693511" w:rsidP="00641698">
            <w:pPr>
              <w:ind w:left="360"/>
              <w:contextualSpacing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  <w:contextualSpacing/>
            </w:pPr>
          </w:p>
        </w:tc>
      </w:tr>
      <w:tr w:rsidR="003D5648" w:rsidRPr="00614A29" w:rsidTr="00C267B4">
        <w:tc>
          <w:tcPr>
            <w:tcW w:w="5695" w:type="dxa"/>
          </w:tcPr>
          <w:p w:rsidR="003D5648" w:rsidRPr="00614A29" w:rsidRDefault="001F23E9" w:rsidP="003D564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System zabezpieczeń firewall musi posiadać moduł filtrowania poczty elektronicznej pod kątem spamu. Filtrowanie mus</w:t>
            </w:r>
            <w:r w:rsidR="00F35613" w:rsidRPr="00614A29">
              <w:rPr>
                <w:rFonts w:asciiTheme="minorHAnsi" w:hAnsiTheme="minorHAnsi"/>
              </w:rPr>
              <w:t>i obejmować ruch przychodzący i </w:t>
            </w:r>
            <w:r w:rsidRPr="00614A29">
              <w:rPr>
                <w:rFonts w:asciiTheme="minorHAnsi" w:hAnsiTheme="minorHAnsi"/>
              </w:rPr>
              <w:t>wychodzący</w:t>
            </w:r>
            <w:r w:rsidR="001E0A69" w:rsidRPr="00614A29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B64C65" w:rsidRPr="00614A29" w:rsidRDefault="00B64C65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  <w:tr w:rsidR="003D5648" w:rsidRPr="00614A29" w:rsidTr="00C267B4">
        <w:tc>
          <w:tcPr>
            <w:tcW w:w="5695" w:type="dxa"/>
          </w:tcPr>
          <w:p w:rsidR="003D5648" w:rsidRPr="00614A29" w:rsidRDefault="003D5648" w:rsidP="003D564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System zabezpieczeń firewall musi zapewniać wydzielenie modułu zarządzania i modułu przetwarzania danych na poziomie sprzętowym. Logowanie zdarzeń w urządzeniu nie może powodować degradac</w:t>
            </w:r>
            <w:r w:rsidR="00F35613" w:rsidRPr="00614A29">
              <w:rPr>
                <w:rFonts w:asciiTheme="minorHAnsi" w:hAnsiTheme="minorHAnsi"/>
              </w:rPr>
              <w:t>ji wydajności tego urządzenia i </w:t>
            </w:r>
            <w:r w:rsidRPr="00614A29">
              <w:rPr>
                <w:rFonts w:asciiTheme="minorHAnsi" w:hAnsiTheme="minorHAnsi"/>
              </w:rPr>
              <w:t xml:space="preserve">obciążenie procesora przekazującego ruch nie </w:t>
            </w:r>
            <w:r w:rsidRPr="00614A29">
              <w:rPr>
                <w:rFonts w:asciiTheme="minorHAnsi" w:hAnsiTheme="minorHAnsi"/>
              </w:rPr>
              <w:lastRenderedPageBreak/>
              <w:t>może degradować wydajności zarządzania urządzeniem.</w:t>
            </w:r>
          </w:p>
        </w:tc>
        <w:tc>
          <w:tcPr>
            <w:tcW w:w="1134" w:type="dxa"/>
          </w:tcPr>
          <w:p w:rsidR="00921544" w:rsidRPr="00614A29" w:rsidRDefault="00921544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  <w:tr w:rsidR="003D5648" w:rsidRPr="00614A29" w:rsidTr="00C267B4">
        <w:tc>
          <w:tcPr>
            <w:tcW w:w="5695" w:type="dxa"/>
          </w:tcPr>
          <w:p w:rsidR="00F23A08" w:rsidRPr="00614A29" w:rsidRDefault="00F23A08" w:rsidP="00F23A0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lastRenderedPageBreak/>
              <w:t xml:space="preserve">System zabezpieczeń firewall musi posiadać moduł </w:t>
            </w:r>
            <w:proofErr w:type="spellStart"/>
            <w:r w:rsidRPr="00614A29">
              <w:rPr>
                <w:rFonts w:asciiTheme="minorHAnsi" w:hAnsiTheme="minorHAnsi"/>
              </w:rPr>
              <w:t>anty-spyware</w:t>
            </w:r>
            <w:proofErr w:type="spellEnd"/>
            <w:r w:rsidRPr="00614A29">
              <w:rPr>
                <w:rFonts w:asciiTheme="minorHAnsi" w:hAnsiTheme="minorHAnsi"/>
              </w:rPr>
              <w:t xml:space="preserve"> bez konieczności zakupu jakichkolwiek dodatkowych komponentów, poza subskrypcją. Baza sygnatur </w:t>
            </w:r>
            <w:proofErr w:type="spellStart"/>
            <w:r w:rsidRPr="00614A29">
              <w:rPr>
                <w:rFonts w:asciiTheme="minorHAnsi" w:hAnsiTheme="minorHAnsi"/>
              </w:rPr>
              <w:t>anty-spyware</w:t>
            </w:r>
            <w:proofErr w:type="spellEnd"/>
            <w:r w:rsidRPr="00614A29">
              <w:rPr>
                <w:rFonts w:asciiTheme="minorHAnsi" w:hAnsiTheme="minorHAnsi"/>
              </w:rPr>
              <w:t xml:space="preserve"> musi być przechowywania na urządzeniu, regularnie aktualizowana w sposób automatyczny i pochodzić od tego samego producenta co producent systemu zabezpieczeń.</w:t>
            </w:r>
          </w:p>
          <w:p w:rsidR="003D5648" w:rsidRPr="00614A29" w:rsidRDefault="003D5648" w:rsidP="00F23A08"/>
        </w:tc>
        <w:tc>
          <w:tcPr>
            <w:tcW w:w="1134" w:type="dxa"/>
          </w:tcPr>
          <w:p w:rsidR="00A81A37" w:rsidRPr="00614A29" w:rsidRDefault="00A81A37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  <w:tr w:rsidR="003D5648" w:rsidRPr="00614A29" w:rsidTr="00C267B4">
        <w:tc>
          <w:tcPr>
            <w:tcW w:w="5695" w:type="dxa"/>
          </w:tcPr>
          <w:p w:rsidR="00F23A08" w:rsidRPr="00614A29" w:rsidRDefault="00F23A08" w:rsidP="00F23A0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 xml:space="preserve">System zabezpieczeń firewall musi posiadać moduł </w:t>
            </w:r>
            <w:proofErr w:type="spellStart"/>
            <w:r w:rsidRPr="00614A29">
              <w:rPr>
                <w:rFonts w:asciiTheme="minorHAnsi" w:hAnsiTheme="minorHAnsi"/>
              </w:rPr>
              <w:t>anty-spyware</w:t>
            </w:r>
            <w:proofErr w:type="spellEnd"/>
            <w:r w:rsidRPr="00614A29">
              <w:rPr>
                <w:rFonts w:asciiTheme="minorHAnsi" w:hAnsiTheme="minorHAnsi"/>
              </w:rPr>
              <w:t xml:space="preserve"> uruchamiany per reguła polityki bezpieczeństwa firewall. Nie jest dopuszczalne, aby funkcja </w:t>
            </w:r>
            <w:proofErr w:type="spellStart"/>
            <w:r w:rsidRPr="00614A29">
              <w:rPr>
                <w:rFonts w:asciiTheme="minorHAnsi" w:hAnsiTheme="minorHAnsi"/>
              </w:rPr>
              <w:t>anty-spyware</w:t>
            </w:r>
            <w:proofErr w:type="spellEnd"/>
            <w:r w:rsidRPr="00614A29">
              <w:rPr>
                <w:rFonts w:asciiTheme="minorHAnsi" w:hAnsiTheme="minorHAnsi"/>
              </w:rPr>
              <w:t xml:space="preserve"> uruchamiana była per urządzenie lub jego część (np. interfejs sieciowy, strefa bezpieczeństwa).</w:t>
            </w:r>
          </w:p>
          <w:p w:rsidR="003D5648" w:rsidRPr="00614A29" w:rsidRDefault="003D5648" w:rsidP="00D30C04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75491" w:rsidRPr="00614A29" w:rsidRDefault="00475491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  <w:tr w:rsidR="003D5648" w:rsidRPr="00614A29" w:rsidTr="00C267B4">
        <w:tc>
          <w:tcPr>
            <w:tcW w:w="5695" w:type="dxa"/>
          </w:tcPr>
          <w:p w:rsidR="003D5648" w:rsidRPr="00614A29" w:rsidRDefault="003D5648" w:rsidP="002451EF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 xml:space="preserve">System </w:t>
            </w:r>
            <w:r w:rsidR="006B7FAA" w:rsidRPr="00614A29">
              <w:rPr>
                <w:rFonts w:asciiTheme="minorHAnsi" w:hAnsiTheme="minorHAnsi"/>
              </w:rPr>
              <w:t xml:space="preserve"> zabezpieczeń firewall musi </w:t>
            </w:r>
            <w:r w:rsidR="00614A29">
              <w:rPr>
                <w:rFonts w:asciiTheme="minorHAnsi" w:hAnsiTheme="minorHAnsi"/>
              </w:rPr>
              <w:t>realizować w </w:t>
            </w:r>
            <w:bookmarkStart w:id="0" w:name="_GoBack"/>
            <w:bookmarkEnd w:id="0"/>
            <w:r w:rsidR="001C4C8E" w:rsidRPr="00614A29">
              <w:rPr>
                <w:rFonts w:asciiTheme="minorHAnsi" w:hAnsiTheme="minorHAnsi"/>
              </w:rPr>
              <w:t xml:space="preserve">ramach oferowanych subskrypcji </w:t>
            </w:r>
            <w:r w:rsidR="006B7FAA" w:rsidRPr="00614A29">
              <w:rPr>
                <w:rFonts w:asciiTheme="minorHAnsi" w:hAnsiTheme="minorHAnsi"/>
              </w:rPr>
              <w:t xml:space="preserve"> przechwytywani</w:t>
            </w:r>
            <w:r w:rsidR="001C4C8E" w:rsidRPr="00614A29">
              <w:rPr>
                <w:rFonts w:asciiTheme="minorHAnsi" w:hAnsiTheme="minorHAnsi"/>
              </w:rPr>
              <w:t>e</w:t>
            </w:r>
            <w:r w:rsidR="006B7FAA" w:rsidRPr="00614A29">
              <w:rPr>
                <w:rFonts w:asciiTheme="minorHAnsi" w:hAnsiTheme="minorHAnsi"/>
              </w:rPr>
              <w:t xml:space="preserve"> i przesyłani</w:t>
            </w:r>
            <w:r w:rsidR="001C4C8E" w:rsidRPr="00614A29">
              <w:rPr>
                <w:rFonts w:asciiTheme="minorHAnsi" w:hAnsiTheme="minorHAnsi"/>
              </w:rPr>
              <w:t>e</w:t>
            </w:r>
            <w:r w:rsidR="006B7FAA" w:rsidRPr="00614A29">
              <w:rPr>
                <w:rFonts w:asciiTheme="minorHAnsi" w:hAnsiTheme="minorHAnsi"/>
              </w:rPr>
              <w:t xml:space="preserve"> do zewnętrznych systemów typu „</w:t>
            </w:r>
            <w:proofErr w:type="spellStart"/>
            <w:r w:rsidR="006B7FAA" w:rsidRPr="00614A29">
              <w:rPr>
                <w:rFonts w:asciiTheme="minorHAnsi" w:hAnsiTheme="minorHAnsi"/>
              </w:rPr>
              <w:t>Sand-Box</w:t>
            </w:r>
            <w:proofErr w:type="spellEnd"/>
            <w:r w:rsidR="006B7FAA" w:rsidRPr="00614A29">
              <w:rPr>
                <w:rFonts w:asciiTheme="minorHAnsi" w:hAnsiTheme="minorHAnsi"/>
              </w:rPr>
              <w:t>”, minimum następując</w:t>
            </w:r>
            <w:r w:rsidR="00C64660" w:rsidRPr="00614A29">
              <w:rPr>
                <w:rFonts w:asciiTheme="minorHAnsi" w:hAnsiTheme="minorHAnsi"/>
              </w:rPr>
              <w:t>ych</w:t>
            </w:r>
            <w:r w:rsidR="006B7FAA" w:rsidRPr="00614A29">
              <w:rPr>
                <w:rFonts w:asciiTheme="minorHAnsi" w:hAnsiTheme="minorHAnsi"/>
              </w:rPr>
              <w:t xml:space="preserve"> typy plików (</w:t>
            </w:r>
            <w:proofErr w:type="spellStart"/>
            <w:r w:rsidR="006B7FAA" w:rsidRPr="00614A29">
              <w:rPr>
                <w:rFonts w:asciiTheme="minorHAnsi" w:hAnsiTheme="minorHAnsi"/>
              </w:rPr>
              <w:t>exe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dll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pdf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msoffice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java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jpg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swf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, </w:t>
            </w:r>
            <w:proofErr w:type="spellStart"/>
            <w:r w:rsidR="006B7FAA" w:rsidRPr="00614A29">
              <w:rPr>
                <w:rFonts w:asciiTheme="minorHAnsi" w:hAnsiTheme="minorHAnsi"/>
              </w:rPr>
              <w:t>apk</w:t>
            </w:r>
            <w:proofErr w:type="spellEnd"/>
            <w:r w:rsidR="006B7FAA" w:rsidRPr="00614A29">
              <w:rPr>
                <w:rFonts w:asciiTheme="minorHAnsi" w:hAnsiTheme="minorHAnsi"/>
              </w:rPr>
              <w:t>,</w:t>
            </w:r>
            <w:r w:rsidR="000272C5" w:rsidRPr="00614A29">
              <w:rPr>
                <w:rFonts w:asciiTheme="minorHAnsi" w:hAnsiTheme="minorHAnsi"/>
              </w:rPr>
              <w:t xml:space="preserve"> </w:t>
            </w:r>
            <w:proofErr w:type="spellStart"/>
            <w:r w:rsidR="006B7FAA" w:rsidRPr="00614A29">
              <w:rPr>
                <w:rFonts w:asciiTheme="minorHAnsi" w:hAnsiTheme="minorHAnsi"/>
              </w:rPr>
              <w:t>js</w:t>
            </w:r>
            <w:proofErr w:type="spellEnd"/>
            <w:r w:rsidR="006B7FAA" w:rsidRPr="00614A29">
              <w:rPr>
                <w:rFonts w:asciiTheme="minorHAnsi" w:hAnsiTheme="minorHAnsi"/>
              </w:rPr>
              <w:t>,</w:t>
            </w:r>
            <w:r w:rsidR="000272C5" w:rsidRPr="00614A29">
              <w:rPr>
                <w:rFonts w:asciiTheme="minorHAnsi" w:hAnsiTheme="minorHAnsi"/>
              </w:rPr>
              <w:t xml:space="preserve"> </w:t>
            </w:r>
            <w:proofErr w:type="spellStart"/>
            <w:r w:rsidR="006B7FAA" w:rsidRPr="00614A29">
              <w:rPr>
                <w:rFonts w:asciiTheme="minorHAnsi" w:hAnsiTheme="minorHAnsi"/>
              </w:rPr>
              <w:t>vbs</w:t>
            </w:r>
            <w:proofErr w:type="spellEnd"/>
            <w:r w:rsidR="006B7FAA" w:rsidRPr="00614A29">
              <w:rPr>
                <w:rFonts w:asciiTheme="minorHAnsi" w:hAnsiTheme="minorHAnsi"/>
              </w:rPr>
              <w:t>,</w:t>
            </w:r>
            <w:r w:rsidR="000272C5" w:rsidRPr="00614A29">
              <w:rPr>
                <w:rFonts w:asciiTheme="minorHAnsi" w:hAnsiTheme="minorHAnsi"/>
              </w:rPr>
              <w:t xml:space="preserve"> </w:t>
            </w:r>
            <w:r w:rsidR="006B7FAA" w:rsidRPr="00614A29">
              <w:rPr>
                <w:rFonts w:asciiTheme="minorHAnsi" w:hAnsiTheme="minorHAnsi"/>
              </w:rPr>
              <w:t>ps1,</w:t>
            </w:r>
            <w:r w:rsidR="000272C5" w:rsidRPr="00614A29">
              <w:rPr>
                <w:rFonts w:asciiTheme="minorHAnsi" w:hAnsiTheme="minorHAnsi"/>
              </w:rPr>
              <w:t xml:space="preserve"> </w:t>
            </w:r>
            <w:proofErr w:type="spellStart"/>
            <w:r w:rsidR="006B7FAA" w:rsidRPr="00614A29">
              <w:rPr>
                <w:rFonts w:asciiTheme="minorHAnsi" w:hAnsiTheme="minorHAnsi"/>
              </w:rPr>
              <w:t>eml</w:t>
            </w:r>
            <w:proofErr w:type="spellEnd"/>
            <w:r w:rsidR="006B7FAA" w:rsidRPr="00614A29">
              <w:rPr>
                <w:rFonts w:asciiTheme="minorHAnsi" w:hAnsiTheme="minorHAnsi"/>
              </w:rPr>
              <w:t xml:space="preserve">), które będą mogły zostać poddane pełnej analizie </w:t>
            </w:r>
            <w:r w:rsidR="002451EF" w:rsidRPr="00614A29">
              <w:rPr>
                <w:rFonts w:asciiTheme="minorHAnsi" w:hAnsiTheme="minorHAnsi"/>
              </w:rPr>
              <w:t>behawioralnej.</w:t>
            </w: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  <w:tr w:rsidR="003D5648" w:rsidRPr="00614A29" w:rsidTr="00C267B4">
        <w:tc>
          <w:tcPr>
            <w:tcW w:w="5695" w:type="dxa"/>
          </w:tcPr>
          <w:p w:rsidR="005277FD" w:rsidRPr="00614A29" w:rsidRDefault="005277FD" w:rsidP="005277F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 xml:space="preserve">System  zabezpieczeń firewall musi posiadać możliwość ręcznego tworzenia sygnatur </w:t>
            </w:r>
            <w:proofErr w:type="spellStart"/>
            <w:r w:rsidRPr="00614A29">
              <w:rPr>
                <w:rFonts w:asciiTheme="minorHAnsi" w:hAnsiTheme="minorHAnsi"/>
              </w:rPr>
              <w:t>anty-spyware</w:t>
            </w:r>
            <w:proofErr w:type="spellEnd"/>
            <w:r w:rsidRPr="00614A29">
              <w:rPr>
                <w:rFonts w:asciiTheme="minorHAnsi" w:hAnsiTheme="minorHAnsi"/>
              </w:rPr>
              <w:t xml:space="preserve"> bezpośrednio na urządzeniu bez użycia zewnętrznych narzędzi i wsparcia producenta. </w:t>
            </w:r>
          </w:p>
          <w:p w:rsidR="003D5648" w:rsidRPr="00614A29" w:rsidRDefault="003D5648" w:rsidP="005277FD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4C65" w:rsidRPr="00614A29" w:rsidRDefault="00B64C65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  <w:tr w:rsidR="003D5648" w:rsidRPr="00614A29" w:rsidTr="00C267B4">
        <w:tc>
          <w:tcPr>
            <w:tcW w:w="5695" w:type="dxa"/>
          </w:tcPr>
          <w:p w:rsidR="003D5648" w:rsidRPr="00614A29" w:rsidRDefault="00641698" w:rsidP="007518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4A29">
              <w:rPr>
                <w:rFonts w:asciiTheme="minorHAnsi" w:hAnsiTheme="minorHAnsi"/>
              </w:rPr>
              <w:t>System  zabezpieczeń firewall musi umożliwiać zdefiniowanie stron WWW i serwisów do których użytkownicy mogą</w:t>
            </w:r>
            <w:r w:rsidR="00F35613" w:rsidRPr="00614A29">
              <w:rPr>
                <w:rFonts w:asciiTheme="minorHAnsi" w:hAnsiTheme="minorHAnsi"/>
              </w:rPr>
              <w:t xml:space="preserve"> wysyłać swoje poświadczenia. W </w:t>
            </w:r>
            <w:r w:rsidRPr="00614A29">
              <w:rPr>
                <w:rFonts w:asciiTheme="minorHAnsi" w:hAnsiTheme="minorHAnsi"/>
              </w:rPr>
              <w:t>przypadku próby wysłania poświadczeń do niezaufanej strony lub serwisu ruch musi zostać zablokowany.</w:t>
            </w:r>
          </w:p>
        </w:tc>
        <w:tc>
          <w:tcPr>
            <w:tcW w:w="1134" w:type="dxa"/>
          </w:tcPr>
          <w:p w:rsidR="00B64C65" w:rsidRPr="00614A29" w:rsidRDefault="00B64C65" w:rsidP="00C267B4">
            <w:pPr>
              <w:ind w:left="360"/>
            </w:pPr>
          </w:p>
        </w:tc>
        <w:tc>
          <w:tcPr>
            <w:tcW w:w="1134" w:type="dxa"/>
          </w:tcPr>
          <w:p w:rsidR="003D5648" w:rsidRPr="00614A29" w:rsidRDefault="003D5648" w:rsidP="00C267B4">
            <w:pPr>
              <w:ind w:left="360"/>
            </w:pPr>
          </w:p>
        </w:tc>
      </w:tr>
    </w:tbl>
    <w:tbl>
      <w:tblPr>
        <w:tblW w:w="4608" w:type="dxa"/>
        <w:tblLayout w:type="fixed"/>
        <w:tblLook w:val="0000"/>
      </w:tblPr>
      <w:tblGrid>
        <w:gridCol w:w="4608"/>
      </w:tblGrid>
      <w:tr w:rsidR="004A7388" w:rsidRPr="00614A29" w:rsidTr="004A7388">
        <w:tc>
          <w:tcPr>
            <w:tcW w:w="4608" w:type="dxa"/>
          </w:tcPr>
          <w:p w:rsidR="004A7388" w:rsidRPr="00614A29" w:rsidRDefault="004A7388" w:rsidP="00671781">
            <w:pPr>
              <w:jc w:val="both"/>
              <w:rPr>
                <w:color w:val="000000"/>
              </w:rPr>
            </w:pPr>
          </w:p>
          <w:p w:rsidR="004A7388" w:rsidRPr="00614A29" w:rsidRDefault="004A7388" w:rsidP="00671781">
            <w:pPr>
              <w:jc w:val="both"/>
              <w:rPr>
                <w:color w:val="000000"/>
              </w:rPr>
            </w:pPr>
          </w:p>
        </w:tc>
      </w:tr>
    </w:tbl>
    <w:p w:rsidR="007A1D10" w:rsidRPr="00614A29" w:rsidRDefault="007A1D10"/>
    <w:p w:rsidR="00770ABE" w:rsidRPr="00614A29" w:rsidRDefault="00770ABE"/>
    <w:sectPr w:rsidR="00770ABE" w:rsidRPr="00614A29" w:rsidSect="0092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0A54"/>
    <w:multiLevelType w:val="hybridMultilevel"/>
    <w:tmpl w:val="BCA46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CB0FF4"/>
    <w:multiLevelType w:val="hybridMultilevel"/>
    <w:tmpl w:val="18D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TNT">
    <w15:presenceInfo w15:providerId="None" w15:userId="FT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0ABE"/>
    <w:rsid w:val="000272C5"/>
    <w:rsid w:val="00047B23"/>
    <w:rsid w:val="000F6DED"/>
    <w:rsid w:val="001B02BF"/>
    <w:rsid w:val="001C4C8E"/>
    <w:rsid w:val="001E0A69"/>
    <w:rsid w:val="001F23E9"/>
    <w:rsid w:val="002203EA"/>
    <w:rsid w:val="002339A7"/>
    <w:rsid w:val="002446BC"/>
    <w:rsid w:val="002451EF"/>
    <w:rsid w:val="00255AFA"/>
    <w:rsid w:val="00270AF5"/>
    <w:rsid w:val="002C41E2"/>
    <w:rsid w:val="00342E0B"/>
    <w:rsid w:val="003469B6"/>
    <w:rsid w:val="00392172"/>
    <w:rsid w:val="003B4AC6"/>
    <w:rsid w:val="003B701F"/>
    <w:rsid w:val="003D5648"/>
    <w:rsid w:val="003E2017"/>
    <w:rsid w:val="003E2B33"/>
    <w:rsid w:val="00473FBE"/>
    <w:rsid w:val="00475491"/>
    <w:rsid w:val="004A7388"/>
    <w:rsid w:val="005277FD"/>
    <w:rsid w:val="006014CF"/>
    <w:rsid w:val="00602108"/>
    <w:rsid w:val="00614A29"/>
    <w:rsid w:val="00640FDE"/>
    <w:rsid w:val="00641698"/>
    <w:rsid w:val="00652725"/>
    <w:rsid w:val="00693511"/>
    <w:rsid w:val="006B7FAA"/>
    <w:rsid w:val="006E4E8B"/>
    <w:rsid w:val="00750803"/>
    <w:rsid w:val="0075180E"/>
    <w:rsid w:val="00761A68"/>
    <w:rsid w:val="00770ABE"/>
    <w:rsid w:val="007916EB"/>
    <w:rsid w:val="007A0F93"/>
    <w:rsid w:val="007A1D10"/>
    <w:rsid w:val="007D2907"/>
    <w:rsid w:val="007E07E0"/>
    <w:rsid w:val="0091196D"/>
    <w:rsid w:val="00921544"/>
    <w:rsid w:val="00923C5E"/>
    <w:rsid w:val="00936870"/>
    <w:rsid w:val="00940251"/>
    <w:rsid w:val="0094282B"/>
    <w:rsid w:val="009B3D62"/>
    <w:rsid w:val="009C5335"/>
    <w:rsid w:val="00A23017"/>
    <w:rsid w:val="00A67931"/>
    <w:rsid w:val="00A81569"/>
    <w:rsid w:val="00A81A37"/>
    <w:rsid w:val="00AB7DC1"/>
    <w:rsid w:val="00B15651"/>
    <w:rsid w:val="00B41D59"/>
    <w:rsid w:val="00B64C65"/>
    <w:rsid w:val="00BF226E"/>
    <w:rsid w:val="00C267B4"/>
    <w:rsid w:val="00C558BD"/>
    <w:rsid w:val="00C64660"/>
    <w:rsid w:val="00CC0EE5"/>
    <w:rsid w:val="00CC467E"/>
    <w:rsid w:val="00CF3DF2"/>
    <w:rsid w:val="00D30C04"/>
    <w:rsid w:val="00D37163"/>
    <w:rsid w:val="00D52331"/>
    <w:rsid w:val="00DB40EC"/>
    <w:rsid w:val="00EC614A"/>
    <w:rsid w:val="00ED44B9"/>
    <w:rsid w:val="00EF0524"/>
    <w:rsid w:val="00F23A08"/>
    <w:rsid w:val="00F35613"/>
    <w:rsid w:val="00F46E3E"/>
    <w:rsid w:val="00FA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ŚCO Kielce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2019-04-08T08:48:00Z</dcterms:created>
  <dcterms:modified xsi:type="dcterms:W3CDTF">2019-06-04T12:14:00Z</dcterms:modified>
</cp:coreProperties>
</file>