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6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44"/>
        <w:gridCol w:w="1134"/>
        <w:gridCol w:w="1134"/>
        <w:gridCol w:w="2268"/>
      </w:tblGrid>
      <w:tr w:rsidR="00F11CBD" w:rsidRPr="000C7A07" w:rsidTr="007C2127">
        <w:tc>
          <w:tcPr>
            <w:tcW w:w="5740" w:type="dxa"/>
            <w:gridSpan w:val="2"/>
          </w:tcPr>
          <w:p w:rsidR="00F11CBD" w:rsidRPr="00DE489F" w:rsidRDefault="00F11CBD" w:rsidP="007C2127">
            <w:pPr>
              <w:rPr>
                <w:b/>
                <w:bCs/>
                <w:sz w:val="22"/>
                <w:szCs w:val="22"/>
              </w:rPr>
            </w:pPr>
            <w:r w:rsidRPr="00DE489F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przęt do pomiaru rzutu serca – 1</w:t>
            </w:r>
            <w:r w:rsidRPr="00DE489F">
              <w:rPr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pStyle w:val="TableContents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Parametr wymagany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pStyle w:val="TableContents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Parametr oferowany</w:t>
            </w:r>
          </w:p>
        </w:tc>
        <w:tc>
          <w:tcPr>
            <w:tcW w:w="2268" w:type="dxa"/>
          </w:tcPr>
          <w:p w:rsidR="00F11CBD" w:rsidRPr="000C7A07" w:rsidRDefault="007C2127" w:rsidP="007C212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 techniczna -punktacja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1.</w:t>
            </w:r>
          </w:p>
        </w:tc>
        <w:tc>
          <w:tcPr>
            <w:tcW w:w="5244" w:type="dxa"/>
          </w:tcPr>
          <w:p w:rsidR="00F11CBD" w:rsidRPr="000C7A07" w:rsidRDefault="00F11CBD" w:rsidP="007C21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Ocena hemodynamiczna układu krążenia metodą </w:t>
            </w:r>
            <w:proofErr w:type="spellStart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>termodylucji</w:t>
            </w:r>
            <w:proofErr w:type="spellEnd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>przezpłucnej</w:t>
            </w:r>
            <w:proofErr w:type="spellEnd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F11CBD" w:rsidRPr="000C7A07" w:rsidRDefault="00F11CBD" w:rsidP="007C21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- bez użycia cewnika </w:t>
            </w:r>
            <w:proofErr w:type="spellStart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>Swan-Ganza</w:t>
            </w:r>
            <w:proofErr w:type="spellEnd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, drogą </w:t>
            </w:r>
            <w:proofErr w:type="spellStart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>kaniulacji</w:t>
            </w:r>
            <w:proofErr w:type="spellEnd"/>
            <w:r w:rsidRPr="000C7A07">
              <w:rPr>
                <w:rFonts w:ascii="Times New Roman" w:hAnsi="Times New Roman" w:cs="Times New Roman"/>
                <w:sz w:val="22"/>
                <w:szCs w:val="22"/>
              </w:rPr>
              <w:t xml:space="preserve"> obwodowego naczynia tętniczego i żyły głównej górnej 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Ocena hemodynamiczna układu krążenia metodą analizy krzywej ciśnienia tętniczego krwi: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bez użycia cewnika </w:t>
            </w:r>
            <w:proofErr w:type="spellStart"/>
            <w:r w:rsidRPr="000C7A07">
              <w:rPr>
                <w:sz w:val="22"/>
                <w:szCs w:val="22"/>
              </w:rPr>
              <w:t>Swan-Ganza</w:t>
            </w:r>
            <w:proofErr w:type="spellEnd"/>
            <w:r w:rsidRPr="000C7A07">
              <w:rPr>
                <w:sz w:val="22"/>
                <w:szCs w:val="22"/>
              </w:rPr>
              <w:t xml:space="preserve">, drogą </w:t>
            </w:r>
            <w:proofErr w:type="spellStart"/>
            <w:r w:rsidRPr="000C7A07">
              <w:rPr>
                <w:sz w:val="22"/>
                <w:szCs w:val="22"/>
              </w:rPr>
              <w:t>kaniulacji</w:t>
            </w:r>
            <w:proofErr w:type="spellEnd"/>
            <w:r w:rsidRPr="000C7A07">
              <w:rPr>
                <w:sz w:val="22"/>
                <w:szCs w:val="22"/>
              </w:rPr>
              <w:t xml:space="preserve"> jednego dostępu naczyniowego (dostęp tętniczy)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770222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Możliwość rozbudowy o funkcję nieinwazyjnego pomiaru rzutu serca metodą zaciśniętej objętości przy użyciu mankietu założonego na palec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770222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color w:val="FF0000"/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Ciągły pomiar saturacji żylnej: SCVO2 i SVO2</w:t>
            </w:r>
            <w:r w:rsidRPr="000C7A07">
              <w:rPr>
                <w:color w:val="FF0000"/>
                <w:sz w:val="22"/>
                <w:szCs w:val="22"/>
              </w:rPr>
              <w:t xml:space="preserve"> </w:t>
            </w:r>
            <w:r w:rsidRPr="000C7A07">
              <w:rPr>
                <w:sz w:val="22"/>
                <w:szCs w:val="22"/>
              </w:rPr>
              <w:t xml:space="preserve">przy pomocy wkłucia centralnego </w:t>
            </w:r>
            <w:proofErr w:type="spellStart"/>
            <w:r w:rsidRPr="000C7A07">
              <w:rPr>
                <w:sz w:val="22"/>
                <w:szCs w:val="22"/>
              </w:rPr>
              <w:t>trójświatłowego</w:t>
            </w:r>
            <w:proofErr w:type="spellEnd"/>
            <w:r w:rsidRPr="000C7A07">
              <w:rPr>
                <w:sz w:val="22"/>
                <w:szCs w:val="22"/>
              </w:rPr>
              <w:t xml:space="preserve"> z jednym modułem optycznym, w co najmniej jednym urządzeniu, oraz możliwością kalibracji </w:t>
            </w:r>
            <w:proofErr w:type="spellStart"/>
            <w:r w:rsidRPr="000C7A07">
              <w:rPr>
                <w:sz w:val="22"/>
                <w:szCs w:val="22"/>
              </w:rPr>
              <w:t>in-vivo</w:t>
            </w:r>
            <w:proofErr w:type="spellEnd"/>
            <w:r w:rsidRPr="000C7A07">
              <w:rPr>
                <w:sz w:val="22"/>
                <w:szCs w:val="22"/>
              </w:rPr>
              <w:t xml:space="preserve"> i </w:t>
            </w:r>
            <w:proofErr w:type="spellStart"/>
            <w:r w:rsidRPr="000C7A07">
              <w:rPr>
                <w:sz w:val="22"/>
                <w:szCs w:val="22"/>
              </w:rPr>
              <w:t>in-vitro</w:t>
            </w:r>
            <w:proofErr w:type="spellEnd"/>
            <w:r w:rsidRPr="000C7A0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pStyle w:val="Akapitzlist"/>
              <w:ind w:left="-20"/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pStyle w:val="Akapitzlist"/>
              <w:ind w:left="-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770222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5.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Wymagane parametry monitorowane lub wyliczane: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rzut serca </w:t>
            </w:r>
            <w:r w:rsidRPr="000C7A07">
              <w:rPr>
                <w:b/>
                <w:bCs/>
                <w:sz w:val="22"/>
                <w:szCs w:val="22"/>
              </w:rPr>
              <w:t>(CO);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objętość wyrzutowa </w:t>
            </w:r>
            <w:r w:rsidRPr="000C7A07">
              <w:rPr>
                <w:b/>
                <w:bCs/>
                <w:sz w:val="22"/>
                <w:szCs w:val="22"/>
              </w:rPr>
              <w:t>(SV);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systemowy (obwodowy) opór naczyniowy </w:t>
            </w:r>
            <w:r w:rsidRPr="000C7A07">
              <w:rPr>
                <w:b/>
                <w:bCs/>
                <w:sz w:val="22"/>
                <w:szCs w:val="22"/>
              </w:rPr>
              <w:t>(SVR);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zmienność objętości wyrzutowej </w:t>
            </w:r>
            <w:r w:rsidRPr="000C7A07">
              <w:rPr>
                <w:b/>
                <w:bCs/>
                <w:sz w:val="22"/>
                <w:szCs w:val="22"/>
              </w:rPr>
              <w:t>(SVV);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indeks pozanaczyniowej wody </w:t>
            </w:r>
            <w:proofErr w:type="spellStart"/>
            <w:r w:rsidRPr="000C7A07">
              <w:rPr>
                <w:sz w:val="22"/>
                <w:szCs w:val="22"/>
              </w:rPr>
              <w:t>wewnątrzpłucnej</w:t>
            </w:r>
            <w:proofErr w:type="spellEnd"/>
            <w:r w:rsidRPr="000C7A07">
              <w:rPr>
                <w:sz w:val="22"/>
                <w:szCs w:val="22"/>
              </w:rPr>
              <w:t xml:space="preserve"> </w:t>
            </w:r>
            <w:r w:rsidRPr="000C7A07">
              <w:rPr>
                <w:b/>
                <w:bCs/>
                <w:sz w:val="22"/>
                <w:szCs w:val="22"/>
              </w:rPr>
              <w:t>(ELWI);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indeks przepuszczalności naczyń płucnych </w:t>
            </w:r>
            <w:r w:rsidRPr="000C7A07">
              <w:rPr>
                <w:b/>
                <w:bCs/>
                <w:sz w:val="22"/>
                <w:szCs w:val="22"/>
              </w:rPr>
              <w:t>(PVPI);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indeks całkowitej objętość </w:t>
            </w:r>
            <w:proofErr w:type="spellStart"/>
            <w:r w:rsidRPr="000C7A07">
              <w:rPr>
                <w:sz w:val="22"/>
                <w:szCs w:val="22"/>
              </w:rPr>
              <w:t>końcoworozkurczowej</w:t>
            </w:r>
            <w:proofErr w:type="spellEnd"/>
            <w:r w:rsidRPr="000C7A07">
              <w:rPr>
                <w:sz w:val="22"/>
                <w:szCs w:val="22"/>
              </w:rPr>
              <w:t xml:space="preserve"> zawartej w jamach serca </w:t>
            </w:r>
            <w:r w:rsidRPr="000C7A07">
              <w:rPr>
                <w:b/>
                <w:bCs/>
                <w:sz w:val="22"/>
                <w:szCs w:val="22"/>
              </w:rPr>
              <w:t>(GEDI);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całkowita frakcja wyrzutowa </w:t>
            </w:r>
            <w:r w:rsidRPr="000C7A07">
              <w:rPr>
                <w:b/>
                <w:bCs/>
                <w:sz w:val="22"/>
                <w:szCs w:val="22"/>
              </w:rPr>
              <w:t>(GEF);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C7A07">
              <w:rPr>
                <w:sz w:val="22"/>
                <w:szCs w:val="22"/>
              </w:rPr>
              <w:t>wewnątrzklatkowa</w:t>
            </w:r>
            <w:proofErr w:type="spellEnd"/>
            <w:r w:rsidRPr="000C7A07">
              <w:rPr>
                <w:sz w:val="22"/>
                <w:szCs w:val="22"/>
              </w:rPr>
              <w:t xml:space="preserve"> objętość krwi </w:t>
            </w:r>
            <w:r w:rsidRPr="000C7A07">
              <w:rPr>
                <w:b/>
                <w:bCs/>
                <w:sz w:val="22"/>
                <w:szCs w:val="22"/>
              </w:rPr>
              <w:t>(ITBV);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indeks funkcji serca </w:t>
            </w:r>
            <w:r w:rsidRPr="000C7A07">
              <w:rPr>
                <w:b/>
                <w:bCs/>
                <w:sz w:val="22"/>
                <w:szCs w:val="22"/>
              </w:rPr>
              <w:t>(CFI);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0C7A07">
              <w:rPr>
                <w:sz w:val="22"/>
                <w:szCs w:val="22"/>
              </w:rPr>
              <w:t>wewnątrzpłucna</w:t>
            </w:r>
            <w:proofErr w:type="spellEnd"/>
            <w:r w:rsidRPr="000C7A07">
              <w:rPr>
                <w:sz w:val="22"/>
                <w:szCs w:val="22"/>
              </w:rPr>
              <w:t xml:space="preserve"> objętość krwi </w:t>
            </w:r>
            <w:r w:rsidRPr="000C7A07">
              <w:rPr>
                <w:b/>
                <w:bCs/>
                <w:sz w:val="22"/>
                <w:szCs w:val="22"/>
              </w:rPr>
              <w:t>(PBV)</w:t>
            </w:r>
            <w:r w:rsidRPr="000C7A07">
              <w:rPr>
                <w:sz w:val="22"/>
                <w:szCs w:val="22"/>
              </w:rPr>
              <w:t>;</w:t>
            </w:r>
          </w:p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ciągły pomiar saturacja krwi żylnej </w:t>
            </w:r>
            <w:r w:rsidRPr="000C7A07">
              <w:rPr>
                <w:b/>
                <w:bCs/>
                <w:sz w:val="22"/>
                <w:szCs w:val="22"/>
              </w:rPr>
              <w:t>(SCVO2 i SVO2);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ciśnienie skurczowe (SYS)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ciśnienie rozkurczowe (DIA)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ciśnienie średnie (MAP)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Częstość akcji serca (HR)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770222">
              <w:rPr>
                <w:sz w:val="22"/>
                <w:szCs w:val="22"/>
              </w:rPr>
              <w:t>Bez punktacji</w:t>
            </w:r>
          </w:p>
        </w:tc>
      </w:tr>
      <w:tr w:rsidR="00F11CBD" w:rsidRPr="000C7A07" w:rsidTr="007C2127">
        <w:trPr>
          <w:trHeight w:val="1029"/>
        </w:trPr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br w:type="page"/>
              <w:t>6.</w:t>
            </w: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Częstotliwość odświeżania danych pomiarowych:</w:t>
            </w:r>
          </w:p>
          <w:p w:rsidR="00F11CBD" w:rsidRPr="000C7A07" w:rsidRDefault="00F11CBD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dla CCO co 20 sek.</w:t>
            </w:r>
          </w:p>
          <w:p w:rsidR="00F11CBD" w:rsidRPr="000C7A07" w:rsidRDefault="00F11CBD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dla ScvO2 co 2 sek.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Podać</w:t>
            </w:r>
          </w:p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DE489F" w:rsidRDefault="00F11CBD" w:rsidP="007C2127">
            <w:pPr>
              <w:rPr>
                <w:b/>
                <w:bCs/>
                <w:sz w:val="22"/>
                <w:szCs w:val="22"/>
              </w:rPr>
            </w:pPr>
            <w:r w:rsidRPr="00DE489F">
              <w:rPr>
                <w:b/>
                <w:bCs/>
                <w:sz w:val="22"/>
                <w:szCs w:val="22"/>
              </w:rPr>
              <w:t xml:space="preserve">- dla CCO </w:t>
            </w:r>
          </w:p>
          <w:p w:rsidR="00F11CBD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≤ 20 sek. - 2 pkt., </w:t>
            </w:r>
          </w:p>
          <w:p w:rsidR="00F11CBD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&gt;20 sek. – 0 </w:t>
            </w:r>
            <w:proofErr w:type="spellStart"/>
            <w:r w:rsidRPr="000C7A07">
              <w:rPr>
                <w:sz w:val="22"/>
                <w:szCs w:val="22"/>
              </w:rPr>
              <w:t>pkt</w:t>
            </w:r>
            <w:proofErr w:type="spellEnd"/>
          </w:p>
          <w:p w:rsidR="00F11CBD" w:rsidRPr="000C7A07" w:rsidRDefault="00F11CBD" w:rsidP="007C2127">
            <w:pPr>
              <w:rPr>
                <w:sz w:val="22"/>
                <w:szCs w:val="22"/>
              </w:rPr>
            </w:pPr>
          </w:p>
          <w:p w:rsidR="00F11CBD" w:rsidRPr="00DE489F" w:rsidRDefault="00F11CBD" w:rsidP="007C2127">
            <w:pPr>
              <w:rPr>
                <w:b/>
                <w:bCs/>
                <w:sz w:val="22"/>
                <w:szCs w:val="22"/>
              </w:rPr>
            </w:pPr>
            <w:r w:rsidRPr="00DE489F">
              <w:rPr>
                <w:b/>
                <w:bCs/>
                <w:sz w:val="22"/>
                <w:szCs w:val="22"/>
              </w:rPr>
              <w:t xml:space="preserve">- dla SCVO2 </w:t>
            </w:r>
          </w:p>
          <w:p w:rsidR="00F11CBD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≤ 2 </w:t>
            </w:r>
            <w:proofErr w:type="spellStart"/>
            <w:r w:rsidRPr="000C7A07">
              <w:rPr>
                <w:sz w:val="22"/>
                <w:szCs w:val="22"/>
              </w:rPr>
              <w:t>sek</w:t>
            </w:r>
            <w:proofErr w:type="spellEnd"/>
            <w:r w:rsidRPr="000C7A07">
              <w:rPr>
                <w:sz w:val="22"/>
                <w:szCs w:val="22"/>
              </w:rPr>
              <w:t xml:space="preserve"> - 2 pkt., </w:t>
            </w:r>
          </w:p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&gt;2 sek. – 0 pkt.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7.</w:t>
            </w:r>
          </w:p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Wyświetlanie danych w postaci 7 różnych ekranów: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kokpit;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interwencyjny;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fizjologiczny;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drzewa decyzyjnego;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GDT;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tabelaryczny;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wartości cyfrowych;</w:t>
            </w:r>
          </w:p>
          <w:p w:rsidR="00F11CBD" w:rsidRPr="000C7A07" w:rsidRDefault="00F11CBD" w:rsidP="007C21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0C7A07">
              <w:rPr>
                <w:b/>
                <w:bCs/>
                <w:sz w:val="22"/>
                <w:szCs w:val="22"/>
              </w:rPr>
              <w:t>GPS;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≥ 7 ekranów –</w:t>
            </w:r>
            <w:r>
              <w:rPr>
                <w:sz w:val="22"/>
                <w:szCs w:val="22"/>
              </w:rPr>
              <w:t xml:space="preserve"> 3</w:t>
            </w:r>
            <w:r w:rsidRPr="000C7A07">
              <w:rPr>
                <w:sz w:val="22"/>
                <w:szCs w:val="22"/>
              </w:rPr>
              <w:t xml:space="preserve"> pkt., &lt;7 ekranów – 0 pkt.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8.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typu „kokpit”: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definiowany i wizualizowany kolorem przez Użytkownika zakres celów terapii i alarmów;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dynamiczny wskaźnik stanu mierzonej wielkości w postaci strzałki;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duże wartości cyfrowe mierzonych parametrów;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procentowy wskaźnik zmian mierzonego parametru w założonym przedziale czasowym; 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wizualizacji 1, 2, 3 lub 4 wartości jednocześnie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9B04BF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9.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interwencyjny: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wizualizacji trzech wartości w postaci trendu graficznego, wartości cyfrowych, procentowej zmiany od chwili podjęcia interwencji oraz stanu mierzonego parametru określonego kolorem.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9B04BF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10.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fizjologiczny: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możliwość jednoczasowej wizualizacji cyfrowej i w postaci animacji indeksu całkowitej objętości </w:t>
            </w:r>
            <w:proofErr w:type="spellStart"/>
            <w:r w:rsidRPr="000C7A07">
              <w:rPr>
                <w:sz w:val="22"/>
                <w:szCs w:val="22"/>
              </w:rPr>
              <w:t>końcoworozkurczowej</w:t>
            </w:r>
            <w:proofErr w:type="spellEnd"/>
            <w:r w:rsidRPr="000C7A07">
              <w:rPr>
                <w:sz w:val="22"/>
                <w:szCs w:val="22"/>
              </w:rPr>
              <w:t xml:space="preserve"> w jamach serca (GEDI), pozanaczyniowej wody </w:t>
            </w:r>
            <w:proofErr w:type="spellStart"/>
            <w:r w:rsidRPr="000C7A07">
              <w:rPr>
                <w:sz w:val="22"/>
                <w:szCs w:val="22"/>
              </w:rPr>
              <w:t>wewnątrzpłucnej</w:t>
            </w:r>
            <w:proofErr w:type="spellEnd"/>
            <w:r w:rsidRPr="000C7A07">
              <w:rPr>
                <w:sz w:val="22"/>
                <w:szCs w:val="22"/>
              </w:rPr>
              <w:t xml:space="preserve"> (EVLW), indeksu systemowego oporu obwodowego (SVRI) oraz zmienności objętości wyrzutowej (SVV) – krzywa </w:t>
            </w:r>
            <w:proofErr w:type="spellStart"/>
            <w:r w:rsidRPr="000C7A07">
              <w:rPr>
                <w:sz w:val="22"/>
                <w:szCs w:val="22"/>
              </w:rPr>
              <w:lastRenderedPageBreak/>
              <w:t>Franka-Starlinga</w:t>
            </w:r>
            <w:proofErr w:type="spellEnd"/>
            <w:r w:rsidRPr="000C7A07">
              <w:rPr>
                <w:sz w:val="22"/>
                <w:szCs w:val="22"/>
              </w:rPr>
              <w:t>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jednoczasowego wyświetlania wartości saturacji żylnej (ScvO2 lub SvO2); dodatkowe oznaczenie statusu wyświetlanych 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9B04BF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drzewa decyzyjnego (zależności danych):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wyświetlanie powiązanych ze sobą parametrów hemodynamicznych związanych z obciążeniem wstępnym, obciążeniem następczym, kurczliwością oraz saturacją żylną;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możliwość wprowadzenia</w:t>
            </w:r>
            <w:r w:rsidRPr="000C7A07">
              <w:rPr>
                <w:sz w:val="22"/>
                <w:szCs w:val="22"/>
              </w:rPr>
              <w:t xml:space="preserve"> wartości hemoglobiny w celu wyliczenia parametrów VO2 i DO2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parametry wyświetlane w postaci cyfrowej dodatkowe oznaczenie statusu wyświetlanych 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12.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trendów graficznych: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wyświetlania 1, 2, 3 lub 4 trendów graficznych monitorowanych parametrów;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jednoczasowe wyświetlane w postaci cyfrowej bieżącej wartości; dodatkowe oznaczenie statusu wyświetlanych 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13.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GDT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pozwala na prowadzenie leczenia ukierunkowanego na cel (GDT), umożliwiające użytkownikowi zarządzanie parametrami kluczowymi w optymalnym zakresie.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pozwala na ustawianie wybranych protokołów postępowania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14.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trendów tabelarycznych: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wyświetlania 1, 2, 3 lub 4 trendów tabelarycznych (wartości cyfrowe) monitorowanych parametrów;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jednoczasowe wyświetlane w postaci cyfrowej bieżącej wartości; dodatkowe oznaczenie statusu wyświetlanych </w:t>
            </w:r>
            <w:r w:rsidRPr="000C7A07">
              <w:rPr>
                <w:sz w:val="22"/>
                <w:szCs w:val="22"/>
              </w:rPr>
              <w:lastRenderedPageBreak/>
              <w:t>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wartości cyfrowych: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duże wartości cyfrowe mierzonych parametrów;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 xml:space="preserve">procentowy wskaźnik zmian mierzonego parametru w założonym przedziale czasowym; 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wizualizacji 1, 2, 3 lub 4 wartości jednocześnie dodatkowe oznaczenie statusu wyświetlanych 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  <w:r w:rsidRPr="000C7A07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16.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b/>
                <w:bCs/>
                <w:sz w:val="22"/>
                <w:szCs w:val="22"/>
              </w:rPr>
            </w:pPr>
            <w:r w:rsidRPr="000C7A07">
              <w:rPr>
                <w:b/>
                <w:bCs/>
                <w:sz w:val="22"/>
                <w:szCs w:val="22"/>
              </w:rPr>
              <w:t>Ekran GPS: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pozwala określić oczekiwany obszar pomiarowy pomiędzy dwoma wybranymi parametrami;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śledzenia zmian położenia punktu przecięcia mierzonych parametrów w czasie;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duże wartości cyfrowe mierzonych parametrów;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możliwość jednocześnie wizualizacji w sposób ciągły 2 wartości wybranych parametrów</w:t>
            </w:r>
          </w:p>
          <w:p w:rsidR="00A46EB0" w:rsidRPr="000C7A07" w:rsidRDefault="00A46EB0" w:rsidP="007C2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A07">
              <w:rPr>
                <w:sz w:val="22"/>
                <w:szCs w:val="22"/>
              </w:rPr>
              <w:t>dodatkowe oznaczenie statusu wyświetlanych parametrów przy pomocy kolorowych wskaźników (zielony, żółty, czerwony) – powiązanych z zakresami alarmów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17.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Możliwość wprowadzenia poprawki związanej z resekcja płuca lub jego płata do obliczeń </w:t>
            </w:r>
            <w:proofErr w:type="spellStart"/>
            <w:r w:rsidRPr="000C7A07">
              <w:rPr>
                <w:sz w:val="22"/>
                <w:szCs w:val="22"/>
              </w:rPr>
              <w:t>termodylucji</w:t>
            </w:r>
            <w:proofErr w:type="spellEnd"/>
            <w:r w:rsidRPr="000C7A07">
              <w:rPr>
                <w:sz w:val="22"/>
                <w:szCs w:val="22"/>
              </w:rPr>
              <w:t xml:space="preserve"> </w:t>
            </w:r>
            <w:proofErr w:type="spellStart"/>
            <w:r w:rsidRPr="000C7A07">
              <w:rPr>
                <w:sz w:val="22"/>
                <w:szCs w:val="22"/>
              </w:rPr>
              <w:t>przezpłucnej</w:t>
            </w:r>
            <w:proofErr w:type="spellEnd"/>
            <w:r w:rsidRPr="000C7A0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B66BFE">
              <w:rPr>
                <w:sz w:val="22"/>
                <w:szCs w:val="22"/>
              </w:rPr>
              <w:t>Bez punktacji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18.</w:t>
            </w: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Pamięć trendów monitora min. 72 godz.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≥72 godz. = 2 pkt. </w:t>
            </w:r>
          </w:p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&lt;72 godz. = 0 pkt.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19.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Monitor dotykowy, przekątna ekranu min </w:t>
            </w:r>
            <w:smartTag w:uri="urn:schemas-microsoft-com:office:smarttags" w:element="metricconverter">
              <w:smartTagPr>
                <w:attr w:name="ProductID" w:val="10 cali"/>
              </w:smartTagPr>
              <w:r w:rsidRPr="000C7A07">
                <w:rPr>
                  <w:sz w:val="22"/>
                  <w:szCs w:val="22"/>
                </w:rPr>
                <w:t>10 cali</w:t>
              </w:r>
            </w:smartTag>
            <w:r w:rsidRPr="000C7A07">
              <w:rPr>
                <w:sz w:val="22"/>
                <w:szCs w:val="22"/>
              </w:rPr>
              <w:t>, rozdzielczość minimum 1024 x 768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E34A2B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20.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Statyw jezdny z montowanym koszykiem i uchwytem na kroplówkę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E34A2B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21.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Możliwość transferu danych przez porty USB (min 3) w postaci pliku Excel lub </w:t>
            </w:r>
            <w:proofErr w:type="spellStart"/>
            <w:r w:rsidRPr="000C7A07">
              <w:rPr>
                <w:sz w:val="22"/>
                <w:szCs w:val="22"/>
              </w:rPr>
              <w:t>jpg</w:t>
            </w:r>
            <w:proofErr w:type="spellEnd"/>
            <w:r w:rsidRPr="000C7A0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E34A2B">
              <w:rPr>
                <w:sz w:val="22"/>
                <w:szCs w:val="22"/>
              </w:rPr>
              <w:t>Bez punktacji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22.</w:t>
            </w: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Ekran „Pobieranie Danych” umożliwia użytkownikowi eksportowanie raportów GDT na dysk USB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TAK/NIE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0C7A07">
              <w:rPr>
                <w:sz w:val="22"/>
                <w:szCs w:val="22"/>
              </w:rPr>
              <w:t xml:space="preserve">= 1 pkt., </w:t>
            </w:r>
          </w:p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NIE</w:t>
            </w:r>
            <w:r>
              <w:rPr>
                <w:sz w:val="22"/>
                <w:szCs w:val="22"/>
              </w:rPr>
              <w:t xml:space="preserve"> </w:t>
            </w:r>
            <w:r w:rsidRPr="000C7A07">
              <w:rPr>
                <w:sz w:val="22"/>
                <w:szCs w:val="22"/>
              </w:rPr>
              <w:t>= 0 pkt.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23.</w:t>
            </w: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Możliwość zrzutu danych do zewnętrznych urządzeń </w:t>
            </w:r>
            <w:r w:rsidRPr="000C7A07">
              <w:rPr>
                <w:sz w:val="22"/>
                <w:szCs w:val="22"/>
              </w:rPr>
              <w:lastRenderedPageBreak/>
              <w:t>poprzez protokół HL7.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Menu w języku polskim</w:t>
            </w:r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C14CCC">
              <w:rPr>
                <w:sz w:val="22"/>
                <w:szCs w:val="22"/>
              </w:rPr>
              <w:t>Bez punktacji</w:t>
            </w:r>
          </w:p>
        </w:tc>
      </w:tr>
      <w:tr w:rsidR="00A46EB0" w:rsidRPr="000C7A07" w:rsidTr="007C2127">
        <w:tc>
          <w:tcPr>
            <w:tcW w:w="496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25.</w:t>
            </w:r>
          </w:p>
        </w:tc>
        <w:tc>
          <w:tcPr>
            <w:tcW w:w="5244" w:type="dxa"/>
            <w:vAlign w:val="center"/>
          </w:tcPr>
          <w:p w:rsidR="00A46EB0" w:rsidRPr="000C7A07" w:rsidRDefault="00A46EB0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 xml:space="preserve">Waga aparatu nie więcej niż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0C7A07">
                <w:rPr>
                  <w:sz w:val="22"/>
                  <w:szCs w:val="22"/>
                </w:rPr>
                <w:t>3 kg</w:t>
              </w:r>
            </w:smartTag>
          </w:p>
        </w:tc>
        <w:tc>
          <w:tcPr>
            <w:tcW w:w="1134" w:type="dxa"/>
            <w:vAlign w:val="center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A46EB0" w:rsidRPr="000C7A07" w:rsidRDefault="00A46EB0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6EB0" w:rsidRDefault="00A46EB0">
            <w:r w:rsidRPr="00C14CCC">
              <w:rPr>
                <w:sz w:val="22"/>
                <w:szCs w:val="22"/>
              </w:rPr>
              <w:t>Bez punktacji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26.</w:t>
            </w:r>
          </w:p>
        </w:tc>
        <w:tc>
          <w:tcPr>
            <w:tcW w:w="5244" w:type="dxa"/>
            <w:vAlign w:val="center"/>
          </w:tcPr>
          <w:p w:rsidR="00F11CBD" w:rsidRPr="000C7A07" w:rsidRDefault="00F11CBD" w:rsidP="007C2127">
            <w:pPr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Dopuszczenie do obrotu na rynku polskim</w:t>
            </w:r>
            <w:r>
              <w:rPr>
                <w:sz w:val="22"/>
                <w:szCs w:val="22"/>
              </w:rPr>
              <w:t>, zgodnie z ustawą o wyrobach medycznych.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Dołączyć do oferty</w:t>
            </w:r>
          </w:p>
        </w:tc>
      </w:tr>
      <w:tr w:rsidR="00F11CBD" w:rsidRPr="000C7A07" w:rsidTr="007C2127">
        <w:tc>
          <w:tcPr>
            <w:tcW w:w="496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27.</w:t>
            </w:r>
          </w:p>
        </w:tc>
        <w:tc>
          <w:tcPr>
            <w:tcW w:w="5244" w:type="dxa"/>
            <w:vAlign w:val="center"/>
          </w:tcPr>
          <w:p w:rsidR="00F11CBD" w:rsidRPr="001D6873" w:rsidRDefault="00F11CBD" w:rsidP="007C2127">
            <w:pPr>
              <w:rPr>
                <w:color w:val="FF0000"/>
                <w:sz w:val="22"/>
                <w:szCs w:val="22"/>
              </w:rPr>
            </w:pPr>
            <w:r w:rsidRPr="00636730">
              <w:rPr>
                <w:color w:val="000000" w:themeColor="text1"/>
                <w:sz w:val="22"/>
                <w:szCs w:val="22"/>
              </w:rPr>
              <w:t>Instrukcja obsługi w języku polskim w wersji papierowej</w:t>
            </w:r>
            <w:r w:rsidR="00636730" w:rsidRPr="00636730">
              <w:rPr>
                <w:color w:val="000000" w:themeColor="text1"/>
                <w:sz w:val="22"/>
                <w:szCs w:val="22"/>
              </w:rPr>
              <w:t>(wraz z dostawą urządzenia</w:t>
            </w:r>
            <w:r w:rsidR="00636730" w:rsidRPr="00636730">
              <w:rPr>
                <w:color w:val="FF0000"/>
                <w:sz w:val="22"/>
                <w:szCs w:val="22"/>
              </w:rPr>
              <w:t>)</w:t>
            </w:r>
            <w:r w:rsidR="003D34D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  <w:r w:rsidRPr="000C7A07"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F11CBD" w:rsidRPr="000C7A07" w:rsidRDefault="00F11CBD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1CBD" w:rsidRPr="000C7A07" w:rsidRDefault="00A46EB0" w:rsidP="007C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Dołączyć</w:t>
            </w:r>
            <w:r w:rsidRPr="00636730">
              <w:rPr>
                <w:color w:val="000000" w:themeColor="text1"/>
                <w:sz w:val="22"/>
                <w:szCs w:val="22"/>
              </w:rPr>
              <w:t xml:space="preserve"> wraz z dostawą urządzenia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8E3BB4" w:rsidRPr="000C7A07" w:rsidTr="007C2127">
        <w:tc>
          <w:tcPr>
            <w:tcW w:w="496" w:type="dxa"/>
            <w:vAlign w:val="center"/>
          </w:tcPr>
          <w:p w:rsidR="008E3BB4" w:rsidRPr="000C7A07" w:rsidRDefault="008E3BB4" w:rsidP="007C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vAlign w:val="center"/>
          </w:tcPr>
          <w:tbl>
            <w:tblPr>
              <w:tblW w:w="11737" w:type="dxa"/>
              <w:tblLayout w:type="fixed"/>
              <w:tblLook w:val="00A0"/>
            </w:tblPr>
            <w:tblGrid>
              <w:gridCol w:w="5992"/>
              <w:gridCol w:w="3549"/>
              <w:gridCol w:w="2196"/>
            </w:tblGrid>
            <w:tr w:rsidR="008E3BB4" w:rsidRPr="00BA3985" w:rsidTr="00D32855">
              <w:trPr>
                <w:trHeight w:val="56"/>
              </w:trPr>
              <w:tc>
                <w:tcPr>
                  <w:tcW w:w="5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3BB4" w:rsidRPr="00042A74" w:rsidRDefault="008E3BB4" w:rsidP="008E3BB4">
                  <w:pPr>
                    <w:framePr w:hSpace="141" w:wrap="around" w:hAnchor="margin" w:y="966"/>
                    <w:rPr>
                      <w:rFonts w:cs="Calibri"/>
                      <w:color w:val="000000"/>
                    </w:rPr>
                  </w:pPr>
                  <w:r w:rsidRPr="00042A74">
                    <w:rPr>
                      <w:rFonts w:cs="Calibri"/>
                      <w:color w:val="000000"/>
                    </w:rPr>
                    <w:t>Gwarancja: min. 24 miesiące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3BB4" w:rsidRPr="00042A74" w:rsidRDefault="008E3BB4" w:rsidP="008E3BB4">
                  <w:pPr>
                    <w:framePr w:hSpace="141" w:wrap="around" w:hAnchor="margin" w:y="966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TAK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3BB4" w:rsidRPr="00BA3985" w:rsidRDefault="008E3BB4" w:rsidP="008E3BB4">
                  <w:pPr>
                    <w:framePr w:hSpace="141" w:wrap="around" w:hAnchor="margin" w:y="966"/>
                    <w:jc w:val="center"/>
                    <w:rPr>
                      <w:rFonts w:cs="Calibri"/>
                      <w:color w:val="000000"/>
                    </w:rPr>
                  </w:pPr>
                  <w:r w:rsidRPr="00BA3985">
                    <w:rPr>
                      <w:rFonts w:cs="Calibri"/>
                      <w:color w:val="000000"/>
                    </w:rPr>
                    <w:t>Ocena na podstawie przyjętych kryteriów w SIWZ.</w:t>
                  </w:r>
                </w:p>
              </w:tc>
            </w:tr>
          </w:tbl>
          <w:p w:rsidR="008E3BB4" w:rsidRPr="001D6873" w:rsidRDefault="008E3BB4" w:rsidP="007C21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E3BB4" w:rsidRPr="000C7A07" w:rsidRDefault="003D34DC" w:rsidP="007C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8E3BB4" w:rsidRPr="000C7A07" w:rsidRDefault="008E3BB4" w:rsidP="007C2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E3BB4" w:rsidRDefault="000F637C" w:rsidP="008E3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na podstawie przyjętych kryteriów w SIWZ.</w:t>
            </w:r>
          </w:p>
          <w:p w:rsidR="008E3BB4" w:rsidRPr="000C7A07" w:rsidRDefault="008E3BB4" w:rsidP="007C21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1CBD" w:rsidRDefault="00F11CBD" w:rsidP="00FB1342">
      <w:pPr>
        <w:rPr>
          <w:sz w:val="22"/>
          <w:szCs w:val="22"/>
        </w:rPr>
      </w:pPr>
      <w:bookmarkStart w:id="0" w:name="_GoBack"/>
      <w:bookmarkEnd w:id="0"/>
    </w:p>
    <w:p w:rsidR="007C2127" w:rsidRDefault="007C2127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p w:rsidR="00C82755" w:rsidRDefault="00C82755" w:rsidP="00C82755">
      <w:pPr>
        <w:rPr>
          <w:sz w:val="22"/>
          <w:szCs w:val="22"/>
        </w:rPr>
      </w:pPr>
    </w:p>
    <w:p w:rsidR="00C82755" w:rsidRDefault="00C82755" w:rsidP="00C82755">
      <w:pPr>
        <w:rPr>
          <w:sz w:val="22"/>
          <w:szCs w:val="22"/>
        </w:rPr>
      </w:pPr>
    </w:p>
    <w:p w:rsidR="00C82755" w:rsidRDefault="00C82755" w:rsidP="00C82755">
      <w:pPr>
        <w:rPr>
          <w:sz w:val="22"/>
          <w:szCs w:val="22"/>
        </w:rPr>
      </w:pPr>
    </w:p>
    <w:p w:rsidR="00DB34D6" w:rsidRDefault="00DB34D6" w:rsidP="00C82755">
      <w:pPr>
        <w:rPr>
          <w:sz w:val="22"/>
          <w:szCs w:val="22"/>
        </w:rPr>
      </w:pPr>
    </w:p>
    <w:p w:rsidR="00DB34D6" w:rsidRDefault="00DB34D6" w:rsidP="00C82755">
      <w:pPr>
        <w:rPr>
          <w:sz w:val="22"/>
          <w:szCs w:val="22"/>
        </w:rPr>
      </w:pPr>
    </w:p>
    <w:p w:rsidR="00DB34D6" w:rsidRDefault="00DB34D6" w:rsidP="00C82755">
      <w:pPr>
        <w:rPr>
          <w:sz w:val="22"/>
          <w:szCs w:val="22"/>
        </w:rPr>
      </w:pPr>
    </w:p>
    <w:p w:rsidR="00C82755" w:rsidRDefault="00C82755" w:rsidP="00C8275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Data…………………………..Podpis</w:t>
      </w:r>
      <w:proofErr w:type="spellEnd"/>
      <w:r>
        <w:rPr>
          <w:sz w:val="22"/>
          <w:szCs w:val="22"/>
        </w:rPr>
        <w:t xml:space="preserve"> Wykonawcy………………………</w:t>
      </w:r>
    </w:p>
    <w:p w:rsidR="0025180F" w:rsidRDefault="0025180F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p w:rsidR="0025180F" w:rsidRDefault="0025180F" w:rsidP="00FB1342">
      <w:pPr>
        <w:rPr>
          <w:sz w:val="22"/>
          <w:szCs w:val="22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4"/>
        <w:gridCol w:w="4546"/>
        <w:gridCol w:w="2308"/>
        <w:gridCol w:w="1689"/>
        <w:gridCol w:w="1843"/>
      </w:tblGrid>
      <w:tr w:rsidR="0025180F" w:rsidRPr="0025180F" w:rsidTr="00C82755">
        <w:trPr>
          <w:trHeight w:val="1002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5180F" w:rsidRPr="0025180F" w:rsidRDefault="0025180F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</w:rPr>
            </w:pPr>
            <w:r w:rsidRPr="0025180F">
              <w:rPr>
                <w:b/>
                <w:bCs/>
                <w:color w:val="000000"/>
              </w:rPr>
              <w:t>INNE WYMAGANIA: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</w:rPr>
            </w:pPr>
            <w:r w:rsidRPr="0025180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</w:rPr>
            </w:pPr>
            <w:r w:rsidRPr="0025180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80F" w:rsidRPr="0025180F" w:rsidRDefault="0025180F" w:rsidP="0025180F">
            <w:pPr>
              <w:rPr>
                <w:rFonts w:ascii="Ubuntu Light" w:hAnsi="Ubuntu Light"/>
                <w:color w:val="333399"/>
              </w:rPr>
            </w:pPr>
            <w:r w:rsidRPr="0025180F">
              <w:rPr>
                <w:rFonts w:ascii="Ubuntu Light" w:hAnsi="Ubuntu Light"/>
                <w:color w:val="333399"/>
              </w:rPr>
              <w:t> </w:t>
            </w:r>
          </w:p>
        </w:tc>
      </w:tr>
      <w:tr w:rsidR="00DB34D6" w:rsidRPr="0025180F" w:rsidTr="00FD417D">
        <w:trPr>
          <w:trHeight w:val="175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1.  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Czas reakcji (przyjęcie zgłoszenia, podjęcia naprawy) serwisu gwarancyjnego nie może przekraczać 24 godzin w dni robocze rozumiane jako dni od pn-pt z wyłączeniem dni ustawowo wolnych od pracy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D6" w:rsidRDefault="00DB34D6">
            <w:r w:rsidRPr="00A57865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FD417D">
        <w:trPr>
          <w:trHeight w:val="195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2.  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Czas skutecznej naprawy bez użycia części zamiennych licząc od momentu zgłoszenia awarii – max 48 godzin w dni rozumiane, jako dni od pn-pt z wyłączeniem dni ustawowo wolnych od pracy.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A57865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3505A0">
        <w:trPr>
          <w:trHeight w:val="139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lastRenderedPageBreak/>
              <w:t>3.  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 xml:space="preserve">Czas skutecznej naprawy z użyciem części zamiennych licząc od momentu zgłoszenia awarii – </w:t>
            </w:r>
            <w:proofErr w:type="spellStart"/>
            <w:r w:rsidRPr="0025180F">
              <w:rPr>
                <w:color w:val="000000"/>
              </w:rPr>
              <w:t>max</w:t>
            </w:r>
            <w:proofErr w:type="spellEnd"/>
            <w:r w:rsidRPr="0025180F">
              <w:rPr>
                <w:color w:val="000000"/>
              </w:rPr>
              <w:t xml:space="preserve">. 6 dni roboczych rozumiane, jako dni pn-pt z wyłączeniem dni ustawowo wolnych od pracy.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3E702E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3505A0">
        <w:trPr>
          <w:trHeight w:val="100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4.  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Gwarancję przedłuża się o okres przerwy w eksploatacji związany z naprawa urządzenia.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3E702E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3505A0">
        <w:trPr>
          <w:trHeight w:val="154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5.  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Wszelkie naprawy serwisowe oraz czynności obsługowe dokonane w okresie gwarancyjnym zostaną odnotowane przez serwis Wykonawcy w karcie pracy lub raporcie serwisowym.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3E702E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3505A0">
        <w:trPr>
          <w:trHeight w:val="100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6.  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W okresie gwarancji naprawy techniczne lub wynikające z wad ukrytych tego samego podzespołu powodują wymianę podzespołu na nowy.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3E702E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3505A0">
        <w:trPr>
          <w:trHeight w:val="108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7.  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 xml:space="preserve">Wykonawca gwarantuje Zamawiającemu pełny zakres obsługi gwarancyjnej nieodpłatnie (z wyjątkiem uszkodzeń z winy użytkownika)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3E702E">
              <w:rPr>
                <w:sz w:val="22"/>
                <w:szCs w:val="22"/>
              </w:rPr>
              <w:t>Bez punktacji</w:t>
            </w:r>
          </w:p>
        </w:tc>
      </w:tr>
      <w:tr w:rsidR="0025180F" w:rsidRPr="0025180F" w:rsidTr="00C82755">
        <w:trPr>
          <w:trHeight w:val="129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80F" w:rsidRPr="0025180F" w:rsidRDefault="0025180F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8.  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Wykonawca wykona bezpłatne okresowe przeglądy, w terminach zalecanych przez producenta urządzenia, oraz wykona bezpłatny przegląd pod koniec okresu gwarancyjnego (30 dni przed upływem okresu gwarancji).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 xml:space="preserve">Podać ilość zalecanych przez producenta przeglądów </w:t>
            </w:r>
          </w:p>
        </w:tc>
      </w:tr>
      <w:tr w:rsidR="0025180F" w:rsidRPr="0025180F" w:rsidTr="00C82755">
        <w:trPr>
          <w:trHeight w:val="26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80F" w:rsidRPr="0025180F" w:rsidRDefault="0025180F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9.  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Wykonawca w porozumieniu z upoważnionym przedstawicielem Zamawiającego sporządzi harmonogram przeglądów. Przeprowadzenie przeglądu Wykonawca potwierdzi protokołem i przekaże go Zamawiającemu</w:t>
            </w:r>
          </w:p>
          <w:p w:rsidR="0025180F" w:rsidRDefault="0025180F" w:rsidP="0025180F">
            <w:pPr>
              <w:rPr>
                <w:color w:val="000000"/>
              </w:rPr>
            </w:pPr>
          </w:p>
          <w:p w:rsidR="0025180F" w:rsidRPr="0025180F" w:rsidRDefault="0025180F" w:rsidP="0025180F">
            <w:pPr>
              <w:rPr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18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DB34D6" w:rsidRPr="00C14CCC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8E744C">
        <w:trPr>
          <w:trHeight w:val="87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lastRenderedPageBreak/>
              <w:t>10.  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Wraz z aparatem instrukcja obsługi w języku polskim.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29658D">
              <w:rPr>
                <w:sz w:val="22"/>
                <w:szCs w:val="22"/>
              </w:rPr>
              <w:t>Bez punktacji</w:t>
            </w:r>
          </w:p>
        </w:tc>
      </w:tr>
      <w:tr w:rsidR="00DB34D6" w:rsidRPr="0025180F" w:rsidTr="008E744C">
        <w:trPr>
          <w:trHeight w:val="9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4D6" w:rsidRPr="0025180F" w:rsidRDefault="00DB34D6" w:rsidP="0025180F">
            <w:pPr>
              <w:jc w:val="center"/>
              <w:rPr>
                <w:color w:val="000000"/>
              </w:rPr>
            </w:pPr>
            <w:r w:rsidRPr="0025180F">
              <w:rPr>
                <w:color w:val="000000"/>
              </w:rPr>
              <w:t>11.  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Szkolenie/ instruktaż personelu medycznego w zakresie eksploatacji i obsługi przeprowadzone w miejscu instalacji systemu.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TAK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4D6" w:rsidRPr="0025180F" w:rsidRDefault="00DB34D6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4D6" w:rsidRDefault="00DB34D6">
            <w:r w:rsidRPr="0029658D">
              <w:rPr>
                <w:sz w:val="22"/>
                <w:szCs w:val="22"/>
              </w:rPr>
              <w:t>Bez punktacji</w:t>
            </w: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b/>
                <w:bCs/>
                <w:color w:val="000000"/>
              </w:rPr>
            </w:pPr>
            <w:r w:rsidRPr="0025180F">
              <w:rPr>
                <w:b/>
                <w:bCs/>
                <w:color w:val="000000"/>
              </w:rPr>
              <w:t>Miejscowość ....................................... data ...................................................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...................................................................................................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7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  <w:r w:rsidRPr="0025180F">
              <w:rPr>
                <w:color w:val="000000"/>
              </w:rPr>
              <w:t>(podpis i pieczątka osoby upoważnionej do reprezentowania Wykonawcy)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color w:val="00000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80F" w:rsidRPr="0025180F" w:rsidTr="00C8275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0F" w:rsidRPr="0025180F" w:rsidRDefault="0025180F" w:rsidP="002518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180F" w:rsidRPr="000C7A07" w:rsidRDefault="0025180F" w:rsidP="00FB1342">
      <w:pPr>
        <w:rPr>
          <w:sz w:val="22"/>
          <w:szCs w:val="22"/>
        </w:rPr>
      </w:pPr>
    </w:p>
    <w:sectPr w:rsidR="0025180F" w:rsidRPr="000C7A07" w:rsidSect="00C82755">
      <w:headerReference w:type="default" r:id="rId7"/>
      <w:footerReference w:type="default" r:id="rId8"/>
      <w:pgSz w:w="16838" w:h="11906" w:orient="landscape"/>
      <w:pgMar w:top="851" w:right="851" w:bottom="851" w:left="720" w:header="709" w:footer="340" w:gutter="0"/>
      <w:pgNumType w:fmt="numberInDash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E2" w:rsidRDefault="00B172E2">
      <w:r>
        <w:separator/>
      </w:r>
    </w:p>
  </w:endnote>
  <w:endnote w:type="continuationSeparator" w:id="0">
    <w:p w:rsidR="00B172E2" w:rsidRDefault="00B1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BD" w:rsidRDefault="00F11CB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E2" w:rsidRDefault="00B172E2">
      <w:r>
        <w:separator/>
      </w:r>
    </w:p>
  </w:footnote>
  <w:footnote w:type="continuationSeparator" w:id="0">
    <w:p w:rsidR="00B172E2" w:rsidRDefault="00B17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27" w:rsidRDefault="007C2127" w:rsidP="007C2127">
    <w:pPr>
      <w:pStyle w:val="Nagwek"/>
      <w:ind w:left="720"/>
    </w:pPr>
    <w:r w:rsidRPr="007C2127">
      <w:rPr>
        <w:b/>
        <w:sz w:val="22"/>
        <w:szCs w:val="22"/>
      </w:rPr>
      <w:t>Załącznik nr 1SIWZ do Pakietu nr 7</w:t>
    </w:r>
    <w:r>
      <w:t xml:space="preserve"> - </w:t>
    </w:r>
    <w:r w:rsidRPr="00D03631">
      <w:rPr>
        <w:b/>
        <w:color w:val="000000"/>
        <w:sz w:val="24"/>
        <w:szCs w:val="24"/>
      </w:rPr>
      <w:t>Zestawienie parametrów i warunków technicznych.</w:t>
    </w:r>
  </w:p>
  <w:p w:rsidR="00C82755" w:rsidRDefault="00C82755" w:rsidP="007C2127">
    <w:pPr>
      <w:pStyle w:val="Nagwek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9CF"/>
    <w:multiLevelType w:val="hybridMultilevel"/>
    <w:tmpl w:val="4D22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08EE"/>
    <w:multiLevelType w:val="hybridMultilevel"/>
    <w:tmpl w:val="A6A48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A473A"/>
    <w:multiLevelType w:val="hybridMultilevel"/>
    <w:tmpl w:val="98F8D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85258"/>
    <w:multiLevelType w:val="hybridMultilevel"/>
    <w:tmpl w:val="913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A16A4"/>
    <w:multiLevelType w:val="hybridMultilevel"/>
    <w:tmpl w:val="6D78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B7ED9"/>
    <w:multiLevelType w:val="hybridMultilevel"/>
    <w:tmpl w:val="4EAA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B2B33"/>
    <w:multiLevelType w:val="hybridMultilevel"/>
    <w:tmpl w:val="1DE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63ED0"/>
    <w:multiLevelType w:val="hybridMultilevel"/>
    <w:tmpl w:val="E84C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83569"/>
    <w:multiLevelType w:val="hybridMultilevel"/>
    <w:tmpl w:val="70BA2230"/>
    <w:lvl w:ilvl="0" w:tplc="D4FA3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1C6D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564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37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0F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2C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8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29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D04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33301"/>
    <w:multiLevelType w:val="hybridMultilevel"/>
    <w:tmpl w:val="DAFE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F6B9C"/>
    <w:multiLevelType w:val="hybridMultilevel"/>
    <w:tmpl w:val="34DA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32D9D"/>
    <w:multiLevelType w:val="singleLevel"/>
    <w:tmpl w:val="25C69BF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1A419B"/>
    <w:multiLevelType w:val="hybridMultilevel"/>
    <w:tmpl w:val="2204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67344"/>
    <w:multiLevelType w:val="hybridMultilevel"/>
    <w:tmpl w:val="2FFC54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C16DA"/>
    <w:multiLevelType w:val="hybridMultilevel"/>
    <w:tmpl w:val="A28C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5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0D0"/>
    <w:rsid w:val="00006072"/>
    <w:rsid w:val="0002672B"/>
    <w:rsid w:val="00026CAD"/>
    <w:rsid w:val="0004353D"/>
    <w:rsid w:val="0005427B"/>
    <w:rsid w:val="000650CD"/>
    <w:rsid w:val="000656F5"/>
    <w:rsid w:val="0007276F"/>
    <w:rsid w:val="00076799"/>
    <w:rsid w:val="00083F6C"/>
    <w:rsid w:val="00093B3F"/>
    <w:rsid w:val="000A3FD5"/>
    <w:rsid w:val="000C165F"/>
    <w:rsid w:val="000C7A07"/>
    <w:rsid w:val="000F637C"/>
    <w:rsid w:val="001074B6"/>
    <w:rsid w:val="001309E5"/>
    <w:rsid w:val="0013363C"/>
    <w:rsid w:val="00144A7E"/>
    <w:rsid w:val="00152891"/>
    <w:rsid w:val="00160DEE"/>
    <w:rsid w:val="00171D0B"/>
    <w:rsid w:val="00195A5C"/>
    <w:rsid w:val="001A02EE"/>
    <w:rsid w:val="001A098D"/>
    <w:rsid w:val="001A0E88"/>
    <w:rsid w:val="001B4B1E"/>
    <w:rsid w:val="001C4BF5"/>
    <w:rsid w:val="001C5D5A"/>
    <w:rsid w:val="001D6873"/>
    <w:rsid w:val="001E413D"/>
    <w:rsid w:val="001E76D4"/>
    <w:rsid w:val="001F00A1"/>
    <w:rsid w:val="001F2064"/>
    <w:rsid w:val="001F3FB2"/>
    <w:rsid w:val="001F67A2"/>
    <w:rsid w:val="002071ED"/>
    <w:rsid w:val="002160A9"/>
    <w:rsid w:val="0025180F"/>
    <w:rsid w:val="00272057"/>
    <w:rsid w:val="00290B1D"/>
    <w:rsid w:val="002A6113"/>
    <w:rsid w:val="002C043F"/>
    <w:rsid w:val="002C13BA"/>
    <w:rsid w:val="002C3884"/>
    <w:rsid w:val="002C503F"/>
    <w:rsid w:val="002E1B7C"/>
    <w:rsid w:val="003044FE"/>
    <w:rsid w:val="00310F7D"/>
    <w:rsid w:val="0032745E"/>
    <w:rsid w:val="00336B8D"/>
    <w:rsid w:val="00341AAF"/>
    <w:rsid w:val="003441D1"/>
    <w:rsid w:val="003472B3"/>
    <w:rsid w:val="00347474"/>
    <w:rsid w:val="003815FF"/>
    <w:rsid w:val="00393037"/>
    <w:rsid w:val="003A2569"/>
    <w:rsid w:val="003C65EE"/>
    <w:rsid w:val="003D34DC"/>
    <w:rsid w:val="0040099E"/>
    <w:rsid w:val="00424E33"/>
    <w:rsid w:val="004366FD"/>
    <w:rsid w:val="0044421B"/>
    <w:rsid w:val="004543D5"/>
    <w:rsid w:val="00470743"/>
    <w:rsid w:val="00470E3A"/>
    <w:rsid w:val="00480E4B"/>
    <w:rsid w:val="00480F16"/>
    <w:rsid w:val="00482775"/>
    <w:rsid w:val="004D4E41"/>
    <w:rsid w:val="004F11D4"/>
    <w:rsid w:val="004F7EBF"/>
    <w:rsid w:val="005705A1"/>
    <w:rsid w:val="005774FC"/>
    <w:rsid w:val="00583C78"/>
    <w:rsid w:val="005856B4"/>
    <w:rsid w:val="005965A2"/>
    <w:rsid w:val="005977C3"/>
    <w:rsid w:val="005A35BF"/>
    <w:rsid w:val="005C214E"/>
    <w:rsid w:val="005C551F"/>
    <w:rsid w:val="005D3367"/>
    <w:rsid w:val="00604019"/>
    <w:rsid w:val="00627119"/>
    <w:rsid w:val="00636730"/>
    <w:rsid w:val="00643259"/>
    <w:rsid w:val="00647251"/>
    <w:rsid w:val="00650C50"/>
    <w:rsid w:val="00650EF8"/>
    <w:rsid w:val="00672CBF"/>
    <w:rsid w:val="00681C42"/>
    <w:rsid w:val="00696506"/>
    <w:rsid w:val="00697FE3"/>
    <w:rsid w:val="006A5A46"/>
    <w:rsid w:val="006E22E3"/>
    <w:rsid w:val="006E246E"/>
    <w:rsid w:val="0071532F"/>
    <w:rsid w:val="007251EB"/>
    <w:rsid w:val="007527D2"/>
    <w:rsid w:val="0075411A"/>
    <w:rsid w:val="00777D15"/>
    <w:rsid w:val="007C2127"/>
    <w:rsid w:val="007C35B0"/>
    <w:rsid w:val="00803C95"/>
    <w:rsid w:val="00805551"/>
    <w:rsid w:val="008309A9"/>
    <w:rsid w:val="008443FE"/>
    <w:rsid w:val="00850AFA"/>
    <w:rsid w:val="0086287D"/>
    <w:rsid w:val="00883307"/>
    <w:rsid w:val="00891BDF"/>
    <w:rsid w:val="00895BC4"/>
    <w:rsid w:val="008A7781"/>
    <w:rsid w:val="008C1841"/>
    <w:rsid w:val="008C1EB7"/>
    <w:rsid w:val="008C682F"/>
    <w:rsid w:val="008D206C"/>
    <w:rsid w:val="008E0F27"/>
    <w:rsid w:val="008E3BB4"/>
    <w:rsid w:val="00940795"/>
    <w:rsid w:val="0096623E"/>
    <w:rsid w:val="00995568"/>
    <w:rsid w:val="009A390F"/>
    <w:rsid w:val="009B10D2"/>
    <w:rsid w:val="009D2A73"/>
    <w:rsid w:val="009E45BF"/>
    <w:rsid w:val="009F61A7"/>
    <w:rsid w:val="00A00E17"/>
    <w:rsid w:val="00A04854"/>
    <w:rsid w:val="00A100D0"/>
    <w:rsid w:val="00A12A01"/>
    <w:rsid w:val="00A16FC0"/>
    <w:rsid w:val="00A24B60"/>
    <w:rsid w:val="00A334A1"/>
    <w:rsid w:val="00A415B3"/>
    <w:rsid w:val="00A42255"/>
    <w:rsid w:val="00A46E59"/>
    <w:rsid w:val="00A46EB0"/>
    <w:rsid w:val="00A5094B"/>
    <w:rsid w:val="00A5205F"/>
    <w:rsid w:val="00A6094C"/>
    <w:rsid w:val="00A63027"/>
    <w:rsid w:val="00A748A5"/>
    <w:rsid w:val="00A81195"/>
    <w:rsid w:val="00A9243B"/>
    <w:rsid w:val="00AA26F6"/>
    <w:rsid w:val="00AB0545"/>
    <w:rsid w:val="00AF2070"/>
    <w:rsid w:val="00AF7FE4"/>
    <w:rsid w:val="00B13058"/>
    <w:rsid w:val="00B1390A"/>
    <w:rsid w:val="00B172E2"/>
    <w:rsid w:val="00B268E4"/>
    <w:rsid w:val="00B3609A"/>
    <w:rsid w:val="00B73755"/>
    <w:rsid w:val="00B902AF"/>
    <w:rsid w:val="00BA7D23"/>
    <w:rsid w:val="00BB261E"/>
    <w:rsid w:val="00BE3332"/>
    <w:rsid w:val="00BE3F9D"/>
    <w:rsid w:val="00BE4B7C"/>
    <w:rsid w:val="00C04060"/>
    <w:rsid w:val="00C04433"/>
    <w:rsid w:val="00C16756"/>
    <w:rsid w:val="00C30D55"/>
    <w:rsid w:val="00C34B32"/>
    <w:rsid w:val="00C42966"/>
    <w:rsid w:val="00C50478"/>
    <w:rsid w:val="00C61C96"/>
    <w:rsid w:val="00C64D82"/>
    <w:rsid w:val="00C65A61"/>
    <w:rsid w:val="00C82755"/>
    <w:rsid w:val="00C867F6"/>
    <w:rsid w:val="00C91018"/>
    <w:rsid w:val="00C93C72"/>
    <w:rsid w:val="00CB350D"/>
    <w:rsid w:val="00CB576E"/>
    <w:rsid w:val="00CC5A27"/>
    <w:rsid w:val="00CD3F77"/>
    <w:rsid w:val="00CE333F"/>
    <w:rsid w:val="00CF3C0E"/>
    <w:rsid w:val="00D01CEE"/>
    <w:rsid w:val="00D32EFB"/>
    <w:rsid w:val="00D44651"/>
    <w:rsid w:val="00D54652"/>
    <w:rsid w:val="00D863FC"/>
    <w:rsid w:val="00D871ED"/>
    <w:rsid w:val="00D968FE"/>
    <w:rsid w:val="00D97AA9"/>
    <w:rsid w:val="00DA0DDA"/>
    <w:rsid w:val="00DA37A4"/>
    <w:rsid w:val="00DA5BF3"/>
    <w:rsid w:val="00DB34D6"/>
    <w:rsid w:val="00DB4EDE"/>
    <w:rsid w:val="00DB59E2"/>
    <w:rsid w:val="00DC3D99"/>
    <w:rsid w:val="00DE489F"/>
    <w:rsid w:val="00E03A4E"/>
    <w:rsid w:val="00E11180"/>
    <w:rsid w:val="00E15406"/>
    <w:rsid w:val="00E16C3D"/>
    <w:rsid w:val="00E3167F"/>
    <w:rsid w:val="00E40F7F"/>
    <w:rsid w:val="00E42C23"/>
    <w:rsid w:val="00E436BE"/>
    <w:rsid w:val="00E47D00"/>
    <w:rsid w:val="00E53636"/>
    <w:rsid w:val="00E751AF"/>
    <w:rsid w:val="00E76402"/>
    <w:rsid w:val="00E818CD"/>
    <w:rsid w:val="00E826F6"/>
    <w:rsid w:val="00E82B7B"/>
    <w:rsid w:val="00E85AF0"/>
    <w:rsid w:val="00E917CE"/>
    <w:rsid w:val="00EB0E39"/>
    <w:rsid w:val="00EC4C73"/>
    <w:rsid w:val="00EC5B98"/>
    <w:rsid w:val="00EC7FBF"/>
    <w:rsid w:val="00EE584A"/>
    <w:rsid w:val="00F033FC"/>
    <w:rsid w:val="00F11CBD"/>
    <w:rsid w:val="00F12462"/>
    <w:rsid w:val="00F23AED"/>
    <w:rsid w:val="00F23BB5"/>
    <w:rsid w:val="00F2527C"/>
    <w:rsid w:val="00F55F1C"/>
    <w:rsid w:val="00F961DE"/>
    <w:rsid w:val="00FB0335"/>
    <w:rsid w:val="00FB1342"/>
    <w:rsid w:val="00FC22ED"/>
    <w:rsid w:val="00FC4477"/>
    <w:rsid w:val="00FC7010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6094C"/>
  </w:style>
  <w:style w:type="paragraph" w:styleId="Nagwek1">
    <w:name w:val="heading 1"/>
    <w:basedOn w:val="Normalny"/>
    <w:next w:val="Normalny"/>
    <w:link w:val="Nagwek1Znak"/>
    <w:uiPriority w:val="99"/>
    <w:qFormat/>
    <w:rsid w:val="00A609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09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5A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85AF0"/>
    <w:rPr>
      <w:rFonts w:ascii="Cambria" w:hAnsi="Cambria" w:cs="Cambria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60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5AF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6094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6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5AF0"/>
    <w:rPr>
      <w:rFonts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E436BE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E85AF0"/>
    <w:rPr>
      <w:rFonts w:cs="Times New Roman"/>
      <w:sz w:val="2"/>
      <w:szCs w:val="2"/>
    </w:rPr>
  </w:style>
  <w:style w:type="paragraph" w:customStyle="1" w:styleId="Default">
    <w:name w:val="Default"/>
    <w:uiPriority w:val="99"/>
    <w:rsid w:val="00E40F7F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76799"/>
    <w:pPr>
      <w:ind w:left="720"/>
    </w:pPr>
  </w:style>
  <w:style w:type="paragraph" w:customStyle="1" w:styleId="TableContents">
    <w:name w:val="Table Contents"/>
    <w:basedOn w:val="Normalny"/>
    <w:uiPriority w:val="99"/>
    <w:rsid w:val="009F61A7"/>
    <w:pPr>
      <w:suppressLineNumbers/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1313</Words>
  <Characters>7884</Characters>
  <Application>Microsoft Office Word</Application>
  <DocSecurity>0</DocSecurity>
  <Lines>65</Lines>
  <Paragraphs>18</Paragraphs>
  <ScaleCrop>false</ScaleCrop>
  <Company>Edwards Lifesciences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WYMAGANYCH</dc:title>
  <dc:subject/>
  <cp:keywords/>
  <dc:description/>
  <cp:lastModifiedBy>Izabela Armata</cp:lastModifiedBy>
  <cp:revision>19</cp:revision>
  <cp:lastPrinted>2018-12-06T06:56:00Z</cp:lastPrinted>
  <dcterms:created xsi:type="dcterms:W3CDTF">2018-05-24T19:58:00Z</dcterms:created>
  <dcterms:modified xsi:type="dcterms:W3CDTF">2018-12-11T06:52:00Z</dcterms:modified>
</cp:coreProperties>
</file>