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C232E2" w:rsidRPr="006944A4" w:rsidRDefault="00C232E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566522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232E2" w:rsidRPr="006944A4" w:rsidRDefault="00C232E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 xml:space="preserve">PUREE ZIEMNIACZANE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br/>
      </w:r>
      <w:r w:rsidR="00BC6F75">
        <w:rPr>
          <w:rFonts w:ascii="Arial" w:eastAsia="Times New Roman" w:hAnsi="Arial" w:cs="Arial"/>
          <w:b/>
          <w:kern w:val="1"/>
          <w:sz w:val="40"/>
          <w:szCs w:val="40"/>
        </w:rPr>
        <w:t xml:space="preserve">Z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>K</w:t>
      </w:r>
      <w:r w:rsidR="00BC6F75">
        <w:rPr>
          <w:rFonts w:ascii="Arial" w:eastAsia="Times New Roman" w:hAnsi="Arial" w:cs="Arial"/>
          <w:b/>
          <w:kern w:val="1"/>
          <w:sz w:val="40"/>
          <w:szCs w:val="40"/>
        </w:rPr>
        <w:t xml:space="preserve">LOPSIKAMI I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>CEBULKĄ</w:t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566522" w:rsidRPr="006944A4" w:rsidTr="00FA0C6E">
        <w:tc>
          <w:tcPr>
            <w:tcW w:w="4606" w:type="dxa"/>
          </w:tcPr>
          <w:p w:rsidR="00566522" w:rsidRPr="006944A4" w:rsidRDefault="00566522" w:rsidP="00FA0C6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566522" w:rsidRPr="006944A4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B2408" w:rsidRDefault="00566522" w:rsidP="007B240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566522" w:rsidRPr="006944A4" w:rsidRDefault="00566522" w:rsidP="007B240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566522" w:rsidRPr="006944A4" w:rsidRDefault="00566522" w:rsidP="00566522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puree ziemniaczane </w:t>
      </w:r>
      <w:r w:rsidR="00BC6F75">
        <w:rPr>
          <w:rFonts w:ascii="Arial" w:eastAsia="Calibri" w:hAnsi="Arial" w:cs="Arial"/>
          <w:sz w:val="20"/>
          <w:szCs w:val="20"/>
          <w:lang w:eastAsia="pl-PL"/>
        </w:rPr>
        <w:t xml:space="preserve">z </w:t>
      </w:r>
      <w:r>
        <w:rPr>
          <w:rFonts w:ascii="Arial" w:eastAsia="Calibri" w:hAnsi="Arial" w:cs="Arial"/>
          <w:sz w:val="20"/>
          <w:szCs w:val="20"/>
          <w:lang w:eastAsia="pl-PL"/>
        </w:rPr>
        <w:t>k</w:t>
      </w:r>
      <w:r w:rsidR="00BC6F75">
        <w:rPr>
          <w:rFonts w:ascii="Arial" w:eastAsia="Calibri" w:hAnsi="Arial" w:cs="Arial"/>
          <w:sz w:val="20"/>
          <w:szCs w:val="20"/>
          <w:lang w:eastAsia="pl-PL"/>
        </w:rPr>
        <w:t xml:space="preserve">lopsikami i </w:t>
      </w:r>
      <w:r>
        <w:rPr>
          <w:rFonts w:ascii="Arial" w:eastAsia="Calibri" w:hAnsi="Arial" w:cs="Arial"/>
          <w:sz w:val="20"/>
          <w:szCs w:val="20"/>
          <w:lang w:eastAsia="pl-PL"/>
        </w:rPr>
        <w:t>cebulką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puree ziemniaczane </w:t>
      </w:r>
      <w:r w:rsidR="00BC6F75" w:rsidRPr="00BC6F75">
        <w:rPr>
          <w:rFonts w:ascii="Arial" w:eastAsia="Calibri" w:hAnsi="Arial" w:cs="Arial"/>
          <w:sz w:val="20"/>
          <w:szCs w:val="20"/>
          <w:lang w:eastAsia="pl-PL"/>
        </w:rPr>
        <w:t>z klopsikami i cebulką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566522" w:rsidRPr="006944A4" w:rsidRDefault="00566522" w:rsidP="0056652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566522" w:rsidRPr="006944A4" w:rsidRDefault="00566522" w:rsidP="0056652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566522" w:rsidRPr="006944A4" w:rsidRDefault="00566522" w:rsidP="00566522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566522" w:rsidRPr="006944A4" w:rsidRDefault="00566522" w:rsidP="00566522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</w:t>
      </w:r>
      <w:r w:rsidRPr="003B587C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puree ziemniaczane </w:t>
      </w:r>
      <w:r w:rsidR="00BC6F75">
        <w:rPr>
          <w:rFonts w:ascii="Arial" w:eastAsia="Times New Roman" w:hAnsi="Arial" w:cs="Arial"/>
          <w:b/>
          <w:bCs/>
          <w:kern w:val="1"/>
          <w:sz w:val="20"/>
          <w:szCs w:val="20"/>
        </w:rPr>
        <w:t>z klopsikami</w:t>
      </w:r>
      <w:r w:rsidRPr="00566522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</w:t>
      </w:r>
      <w:r w:rsidR="00BC6F75">
        <w:rPr>
          <w:rFonts w:ascii="Arial" w:eastAsia="Times New Roman" w:hAnsi="Arial" w:cs="Arial"/>
          <w:b/>
          <w:bCs/>
          <w:kern w:val="1"/>
          <w:sz w:val="20"/>
          <w:szCs w:val="20"/>
        </w:rPr>
        <w:t>i</w:t>
      </w:r>
      <w:r w:rsidRPr="00566522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cebulką</w:t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 którego  po zalaniu wrzątkiem i zamieszaniu otrzymamy gotowe do spożycia danie.</w:t>
      </w:r>
    </w:p>
    <w:p w:rsidR="00566522" w:rsidRPr="006944A4" w:rsidRDefault="00566522" w:rsidP="0056652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puree ziemniaczane z </w:t>
      </w:r>
      <w:r w:rsidR="00BC6F75">
        <w:rPr>
          <w:rFonts w:ascii="Arial" w:eastAsia="Calibri" w:hAnsi="Arial" w:cs="Arial"/>
          <w:sz w:val="20"/>
          <w:szCs w:val="20"/>
          <w:lang w:eastAsia="pl-PL"/>
        </w:rPr>
        <w:t>klopsikami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i cebulką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powinno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za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wierać w składzie co najmniej: 60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 ziemniaków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9% kulki mięsne, 5% cebuli, 2,5 wędzonego boczku. </w:t>
      </w:r>
    </w:p>
    <w:p w:rsidR="00566522" w:rsidRPr="006944A4" w:rsidRDefault="00566522" w:rsidP="00566522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566522" w:rsidRPr="006944A4" w:rsidRDefault="00566522" w:rsidP="0056652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566522" w:rsidRPr="006944A4" w:rsidRDefault="00566522" w:rsidP="00566522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566522" w:rsidRPr="006944A4" w:rsidRDefault="00566522" w:rsidP="0056652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566522" w:rsidRDefault="00566522" w:rsidP="0056652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566522" w:rsidRPr="006944A4" w:rsidRDefault="00566522" w:rsidP="0056652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</w:p>
    <w:p w:rsidR="00566522" w:rsidRPr="006944A4" w:rsidRDefault="00566522" w:rsidP="0056652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566522" w:rsidRPr="006944A4" w:rsidTr="00FA0C6E">
        <w:trPr>
          <w:trHeight w:val="450"/>
          <w:jc w:val="center"/>
        </w:trPr>
        <w:tc>
          <w:tcPr>
            <w:tcW w:w="0" w:type="auto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566522" w:rsidRPr="006944A4" w:rsidRDefault="00566522" w:rsidP="00FA0C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widoczne składniki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zgodnie ze składem surowcowym, dopuszczalne nietrwałe zbrylenia s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kładników rozprowadzające się w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566522" w:rsidRPr="006944A4" w:rsidRDefault="00566522" w:rsidP="00566522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566522" w:rsidRPr="006944A4" w:rsidTr="00FA0C6E">
        <w:trPr>
          <w:trHeight w:val="450"/>
          <w:jc w:val="center"/>
        </w:trPr>
        <w:tc>
          <w:tcPr>
            <w:tcW w:w="0" w:type="auto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566522" w:rsidRPr="006944A4" w:rsidRDefault="00566522" w:rsidP="00FA0C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puree ziemniaczanego z dodatkami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widoczne cząstki składników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566522" w:rsidRPr="006944A4" w:rsidTr="00434805">
        <w:trPr>
          <w:cantSplit/>
          <w:trHeight w:val="235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puree ziemniaczanego z dodatkami</w:t>
            </w:r>
          </w:p>
        </w:tc>
        <w:tc>
          <w:tcPr>
            <w:tcW w:w="1549" w:type="dxa"/>
            <w:vMerge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566522" w:rsidRPr="006944A4" w:rsidRDefault="00566522" w:rsidP="0056652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566522" w:rsidRPr="006944A4" w:rsidRDefault="00566522" w:rsidP="00566522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566522" w:rsidRPr="006944A4" w:rsidRDefault="00566522" w:rsidP="00566522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566522" w:rsidRPr="006944A4" w:rsidTr="00FA0C6E">
        <w:trPr>
          <w:trHeight w:val="450"/>
          <w:jc w:val="center"/>
        </w:trPr>
        <w:tc>
          <w:tcPr>
            <w:tcW w:w="0" w:type="auto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566522" w:rsidRPr="006944A4" w:rsidRDefault="00566522" w:rsidP="00FA0C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434805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566522" w:rsidRPr="006944A4" w:rsidTr="00434805">
        <w:trPr>
          <w:cantSplit/>
          <w:trHeight w:val="296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</w:t>
            </w:r>
            <w:r w:rsidR="00434805">
              <w:rPr>
                <w:rFonts w:ascii="Arial" w:eastAsia="Times New Roman" w:hAnsi="Arial" w:cs="Arial"/>
                <w:kern w:val="1"/>
                <w:sz w:val="18"/>
                <w:szCs w:val="18"/>
              </w:rPr>
              <w:t>u sodu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</w:t>
            </w:r>
            <w:r w:rsidR="00434805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4,0</w:t>
            </w:r>
          </w:p>
        </w:tc>
        <w:tc>
          <w:tcPr>
            <w:tcW w:w="155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566522" w:rsidRPr="006944A4" w:rsidTr="00FA0C6E">
        <w:trPr>
          <w:cantSplit/>
          <w:trHeight w:val="341"/>
          <w:jc w:val="center"/>
        </w:trPr>
        <w:tc>
          <w:tcPr>
            <w:tcW w:w="0" w:type="auto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566522" w:rsidRPr="006944A4" w:rsidRDefault="00566522" w:rsidP="00FA0C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566522" w:rsidRPr="006944A4" w:rsidRDefault="00566522" w:rsidP="00566522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566522" w:rsidRPr="006944A4" w:rsidRDefault="00566522" w:rsidP="00566522">
      <w:pPr>
        <w:spacing w:after="0" w:line="36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566522" w:rsidRPr="006944A4" w:rsidRDefault="00566522" w:rsidP="00566522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937BCA" w:rsidRPr="006944A4" w:rsidRDefault="00937BCA" w:rsidP="00937BCA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bookmarkStart w:id="2" w:name="_GoBack"/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Masa netto powinna </w:t>
      </w:r>
      <w:r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 xml:space="preserve">pozwolić na przygotowanie 1 porcji dania i </w:t>
      </w:r>
      <w:r w:rsidRPr="006944A4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być zgodna z deklaracją producenta.</w:t>
      </w:r>
    </w:p>
    <w:p w:rsidR="00937BCA" w:rsidRDefault="00937BCA" w:rsidP="00937BCA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6944A4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937BCA" w:rsidRPr="000B7CF0" w:rsidRDefault="00937BCA" w:rsidP="00937BC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7CF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937BCA" w:rsidRPr="000B7CF0" w:rsidRDefault="00937BCA" w:rsidP="00937BCA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53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937BCA" w:rsidRPr="000B7CF0" w:rsidRDefault="00937BCA" w:rsidP="00937BCA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59</w:t>
      </w:r>
      <w:r>
        <w:rPr>
          <w:rFonts w:ascii="Arial" w:eastAsia="Arial Unicode MS" w:hAnsi="Arial" w:cs="Arial"/>
          <w:sz w:val="20"/>
          <w:szCs w:val="20"/>
          <w:lang w:eastAsia="pl-PL"/>
        </w:rPr>
        <w:t>g</w:t>
      </w:r>
      <w:r w:rsidRPr="000B7CF0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937BCA" w:rsidRPr="006944A4" w:rsidRDefault="00937BCA" w:rsidP="00937BCA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937BCA" w:rsidRDefault="00937BCA" w:rsidP="00937BC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 od daty dostawy do magazynu odbiorcy.</w:t>
      </w:r>
    </w:p>
    <w:bookmarkEnd w:id="2"/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 Metody badań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566522" w:rsidRDefault="00566522" w:rsidP="00566522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Danie instant powinno być pakowane w kubek, 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kubka.</w:t>
      </w:r>
    </w:p>
    <w:p w:rsidR="00566522" w:rsidRPr="006944A4" w:rsidRDefault="00566522" w:rsidP="0043480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powinno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566522" w:rsidRPr="006944A4" w:rsidRDefault="00566522" w:rsidP="00434805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566522" w:rsidRPr="006944A4" w:rsidRDefault="00566522" w:rsidP="00566522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566522" w:rsidRPr="006944A4" w:rsidRDefault="00566522" w:rsidP="0043480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66522" w:rsidRPr="006944A4" w:rsidRDefault="00566522" w:rsidP="0043480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566522" w:rsidRPr="006944A4" w:rsidRDefault="00566522" w:rsidP="0056652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566522" w:rsidRDefault="00566522" w:rsidP="0056652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p w:rsidR="00566522" w:rsidRDefault="00566522" w:rsidP="00566522"/>
    <w:p w:rsidR="0009164E" w:rsidRDefault="0009164E"/>
    <w:sectPr w:rsidR="0009164E" w:rsidSect="00F60F13">
      <w:footerReference w:type="default" r:id="rId8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CFE" w:rsidRDefault="00E62CFE">
      <w:pPr>
        <w:spacing w:after="0" w:line="240" w:lineRule="auto"/>
      </w:pPr>
      <w:r>
        <w:separator/>
      </w:r>
    </w:p>
  </w:endnote>
  <w:endnote w:type="continuationSeparator" w:id="0">
    <w:p w:rsidR="00E62CFE" w:rsidRDefault="00E62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B80BEA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8364DA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472394">
      <w:rPr>
        <w:rStyle w:val="Numerstrony"/>
        <w:rFonts w:ascii="Arial" w:hAnsi="Arial" w:cs="Arial"/>
        <w:sz w:val="16"/>
        <w:szCs w:val="16"/>
      </w:rPr>
      <w:t>CZERWIEC 2024</w:t>
    </w:r>
    <w:r w:rsidR="00B571DB">
      <w:rPr>
        <w:rStyle w:val="Numerstrony"/>
        <w:rFonts w:ascii="Arial" w:hAnsi="Arial" w:cs="Arial"/>
        <w:sz w:val="16"/>
        <w:szCs w:val="16"/>
      </w:rPr>
      <w:t xml:space="preserve"> r.</w:t>
    </w:r>
    <w:r w:rsidR="00B80BEA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B80BEA">
      <w:rPr>
        <w:rStyle w:val="Numerstrony"/>
        <w:rFonts w:ascii="Arial" w:hAnsi="Arial" w:cs="Arial"/>
        <w:sz w:val="16"/>
        <w:szCs w:val="16"/>
      </w:rPr>
      <w:fldChar w:fldCharType="begin"/>
    </w:r>
    <w:r w:rsidR="00B80BEA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B80BEA">
      <w:rPr>
        <w:rStyle w:val="Numerstrony"/>
        <w:rFonts w:ascii="Arial" w:hAnsi="Arial" w:cs="Arial"/>
        <w:sz w:val="16"/>
        <w:szCs w:val="16"/>
      </w:rPr>
      <w:fldChar w:fldCharType="separate"/>
    </w:r>
    <w:r w:rsidR="00937BCA">
      <w:rPr>
        <w:rStyle w:val="Numerstrony"/>
        <w:rFonts w:ascii="Arial" w:hAnsi="Arial" w:cs="Arial"/>
        <w:noProof/>
        <w:sz w:val="16"/>
        <w:szCs w:val="16"/>
      </w:rPr>
      <w:t>3</w:t>
    </w:r>
    <w:r w:rsidR="00B80BEA">
      <w:rPr>
        <w:rStyle w:val="Numerstrony"/>
        <w:rFonts w:ascii="Arial" w:hAnsi="Arial" w:cs="Arial"/>
        <w:sz w:val="16"/>
        <w:szCs w:val="16"/>
      </w:rPr>
      <w:fldChar w:fldCharType="end"/>
    </w:r>
    <w:r w:rsidR="00B80BEA">
      <w:rPr>
        <w:rStyle w:val="Numerstrony"/>
        <w:rFonts w:ascii="Arial" w:hAnsi="Arial" w:cs="Arial"/>
        <w:sz w:val="16"/>
        <w:szCs w:val="16"/>
      </w:rPr>
      <w:t xml:space="preserve"> z </w:t>
    </w:r>
    <w:r w:rsidR="00B80BEA">
      <w:rPr>
        <w:rStyle w:val="Numerstrony"/>
        <w:rFonts w:ascii="Arial" w:hAnsi="Arial" w:cs="Arial"/>
        <w:sz w:val="16"/>
        <w:szCs w:val="16"/>
      </w:rPr>
      <w:fldChar w:fldCharType="begin"/>
    </w:r>
    <w:r w:rsidR="00B80BEA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B80BEA">
      <w:rPr>
        <w:rStyle w:val="Numerstrony"/>
        <w:rFonts w:ascii="Arial" w:hAnsi="Arial" w:cs="Arial"/>
        <w:sz w:val="16"/>
        <w:szCs w:val="16"/>
      </w:rPr>
      <w:fldChar w:fldCharType="separate"/>
    </w:r>
    <w:r w:rsidR="00937BCA">
      <w:rPr>
        <w:rStyle w:val="Numerstrony"/>
        <w:rFonts w:ascii="Arial" w:hAnsi="Arial" w:cs="Arial"/>
        <w:noProof/>
        <w:sz w:val="16"/>
        <w:szCs w:val="16"/>
      </w:rPr>
      <w:t>4</w:t>
    </w:r>
    <w:r w:rsidR="00B80BEA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CFE" w:rsidRDefault="00E62CFE">
      <w:pPr>
        <w:spacing w:after="0" w:line="240" w:lineRule="auto"/>
      </w:pPr>
      <w:r>
        <w:separator/>
      </w:r>
    </w:p>
  </w:footnote>
  <w:footnote w:type="continuationSeparator" w:id="0">
    <w:p w:rsidR="00E62CFE" w:rsidRDefault="00E62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22"/>
    <w:rsid w:val="0009164E"/>
    <w:rsid w:val="000E318C"/>
    <w:rsid w:val="000E7430"/>
    <w:rsid w:val="00166A31"/>
    <w:rsid w:val="001C6CB3"/>
    <w:rsid w:val="002818DF"/>
    <w:rsid w:val="00434805"/>
    <w:rsid w:val="00472394"/>
    <w:rsid w:val="005122EA"/>
    <w:rsid w:val="00566522"/>
    <w:rsid w:val="007B2408"/>
    <w:rsid w:val="008364DA"/>
    <w:rsid w:val="00907FCB"/>
    <w:rsid w:val="00937BCA"/>
    <w:rsid w:val="00A001E6"/>
    <w:rsid w:val="00B27CB2"/>
    <w:rsid w:val="00B571DB"/>
    <w:rsid w:val="00B80BEA"/>
    <w:rsid w:val="00BC6F75"/>
    <w:rsid w:val="00C232E2"/>
    <w:rsid w:val="00D32088"/>
    <w:rsid w:val="00E6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4E58B"/>
  <w15:chartTrackingRefBased/>
  <w15:docId w15:val="{B55BAF7D-FF74-4D86-B116-13C85CD0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522"/>
  </w:style>
  <w:style w:type="character" w:styleId="Numerstrony">
    <w:name w:val="page number"/>
    <w:basedOn w:val="Domylnaczcionkaakapitu"/>
    <w:rsid w:val="00566522"/>
  </w:style>
  <w:style w:type="paragraph" w:styleId="Nagwek">
    <w:name w:val="header"/>
    <w:basedOn w:val="Normalny"/>
    <w:link w:val="NagwekZnak"/>
    <w:uiPriority w:val="99"/>
    <w:unhideWhenUsed/>
    <w:rsid w:val="00836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4DA"/>
  </w:style>
  <w:style w:type="paragraph" w:styleId="Tekstdymka">
    <w:name w:val="Balloon Text"/>
    <w:basedOn w:val="Normalny"/>
    <w:link w:val="TekstdymkaZnak"/>
    <w:uiPriority w:val="99"/>
    <w:semiHidden/>
    <w:unhideWhenUsed/>
    <w:rsid w:val="0083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A6938F-819D-4A16-B226-1630F22167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18</cp:revision>
  <cp:lastPrinted>2023-04-11T09:19:00Z</cp:lastPrinted>
  <dcterms:created xsi:type="dcterms:W3CDTF">2021-10-28T08:33:00Z</dcterms:created>
  <dcterms:modified xsi:type="dcterms:W3CDTF">2024-04-26T12:49:00Z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38d2cf85-74da-4b33-8c4e-d28a7a5da946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