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A1" w:rsidRPr="004D36A1" w:rsidRDefault="004D36A1" w:rsidP="004D36A1">
      <w:pPr>
        <w:pStyle w:val="Nagwek1"/>
        <w:numPr>
          <w:ilvl w:val="0"/>
          <w:numId w:val="0"/>
        </w:numPr>
        <w:ind w:left="7088"/>
        <w:rPr>
          <w:b w:val="0"/>
          <w:sz w:val="20"/>
          <w:szCs w:val="20"/>
          <w:lang w:val="pl-PL"/>
        </w:rPr>
      </w:pPr>
      <w:bookmarkStart w:id="0" w:name="_Toc320717141"/>
      <w:r w:rsidRPr="004D36A1">
        <w:rPr>
          <w:b w:val="0"/>
          <w:sz w:val="20"/>
          <w:szCs w:val="20"/>
          <w:lang w:val="pl-PL"/>
        </w:rPr>
        <w:t xml:space="preserve">Załącznik nr </w:t>
      </w:r>
      <w:r w:rsidR="00A62B12">
        <w:rPr>
          <w:b w:val="0"/>
          <w:sz w:val="20"/>
          <w:szCs w:val="20"/>
          <w:lang w:val="pl-PL"/>
        </w:rPr>
        <w:t>8</w:t>
      </w:r>
      <w:r w:rsidRPr="004D36A1">
        <w:rPr>
          <w:b w:val="0"/>
          <w:sz w:val="20"/>
          <w:szCs w:val="20"/>
          <w:lang w:val="pl-PL"/>
        </w:rPr>
        <w:t xml:space="preserve"> do SIWZ </w:t>
      </w:r>
    </w:p>
    <w:p w:rsidR="004D36A1" w:rsidRPr="004D36A1" w:rsidRDefault="004D36A1" w:rsidP="004D36A1">
      <w:pPr>
        <w:jc w:val="center"/>
        <w:rPr>
          <w:b/>
          <w:sz w:val="28"/>
          <w:szCs w:val="28"/>
          <w:u w:val="single"/>
        </w:rPr>
      </w:pPr>
      <w:r w:rsidRPr="004D36A1">
        <w:rPr>
          <w:b/>
          <w:sz w:val="28"/>
          <w:szCs w:val="28"/>
          <w:u w:val="single"/>
        </w:rPr>
        <w:t>SPECYFIKACJA TECHNICZNA</w:t>
      </w:r>
    </w:p>
    <w:p w:rsidR="007064E5" w:rsidRPr="00214DCB" w:rsidRDefault="007064E5" w:rsidP="007064E5">
      <w:pPr>
        <w:pStyle w:val="Nagwek1"/>
      </w:pPr>
      <w:r w:rsidRPr="00214DCB">
        <w:t xml:space="preserve">Budowa </w:t>
      </w:r>
      <w:bookmarkEnd w:id="0"/>
      <w:r w:rsidRPr="00214DCB">
        <w:t>systemu okablowania strukturalnego</w:t>
      </w:r>
    </w:p>
    <w:p w:rsidR="009069AE" w:rsidRDefault="007064E5" w:rsidP="009069AE">
      <w:pPr>
        <w:ind w:firstLine="708"/>
        <w:rPr>
          <w:rFonts w:cs="Calibri"/>
        </w:rPr>
      </w:pPr>
      <w:r w:rsidRPr="008F21DD">
        <w:rPr>
          <w:rFonts w:cs="Calibri"/>
        </w:rPr>
        <w:t>Przedmiotem zamówienia jest instalacja systemu okablowania strukturalnego</w:t>
      </w:r>
      <w:r>
        <w:rPr>
          <w:rFonts w:cs="Calibri"/>
        </w:rPr>
        <w:t xml:space="preserve"> i dedykowanej sieci zasilającej dla komputerów</w:t>
      </w:r>
      <w:r w:rsidRPr="008F21DD">
        <w:rPr>
          <w:rFonts w:cs="Calibri"/>
        </w:rPr>
        <w:t xml:space="preserve"> w budynku Collegium </w:t>
      </w:r>
      <w:proofErr w:type="spellStart"/>
      <w:r w:rsidRPr="008F21DD">
        <w:rPr>
          <w:rFonts w:cs="Calibri"/>
        </w:rPr>
        <w:t>Altum</w:t>
      </w:r>
      <w:proofErr w:type="spellEnd"/>
      <w:r w:rsidRPr="008F21DD">
        <w:rPr>
          <w:rFonts w:cs="Calibri"/>
        </w:rPr>
        <w:t xml:space="preserve">  Uniwersytetu Ekonomicznego w Poznaniu. Swo</w:t>
      </w:r>
      <w:r>
        <w:rPr>
          <w:rFonts w:cs="Calibri"/>
        </w:rPr>
        <w:t xml:space="preserve">im zakresem zamówienie </w:t>
      </w:r>
      <w:r w:rsidR="00E41FE3">
        <w:rPr>
          <w:rFonts w:cs="Calibri"/>
        </w:rPr>
        <w:t xml:space="preserve">obejmuje </w:t>
      </w:r>
      <w:r>
        <w:rPr>
          <w:rFonts w:cs="Calibri"/>
        </w:rPr>
        <w:t xml:space="preserve">instalację okablowania </w:t>
      </w:r>
      <w:r w:rsidR="00E41FE3">
        <w:rPr>
          <w:rFonts w:cs="Calibri"/>
        </w:rPr>
        <w:t>strukturalnego</w:t>
      </w:r>
      <w:r>
        <w:rPr>
          <w:rFonts w:cs="Calibri"/>
        </w:rPr>
        <w:t xml:space="preserve"> i dedykowanej sieci zasilającej na piętrach od </w:t>
      </w:r>
      <w:r w:rsidR="00A62B12">
        <w:rPr>
          <w:rFonts w:cs="Calibri"/>
        </w:rPr>
        <w:t>-1 do 4 budynku.</w:t>
      </w:r>
      <w:r w:rsidR="00E41FE3">
        <w:rPr>
          <w:rFonts w:cs="Calibri"/>
        </w:rPr>
        <w:t xml:space="preserve"> Zamawiający przewiduje 3 niezależne części obejmujące swoim zakresem:</w:t>
      </w:r>
    </w:p>
    <w:p w:rsidR="00E41FE3" w:rsidRDefault="00E41FE3" w:rsidP="009069AE">
      <w:pPr>
        <w:ind w:firstLine="708"/>
        <w:rPr>
          <w:rFonts w:cs="Calibri"/>
        </w:rPr>
      </w:pPr>
      <w:r>
        <w:rPr>
          <w:rFonts w:cs="Calibri"/>
        </w:rPr>
        <w:t>Część 1 – Parter i 1 piętro budynku</w:t>
      </w:r>
    </w:p>
    <w:p w:rsidR="00E41FE3" w:rsidRDefault="00E41FE3" w:rsidP="009069AE">
      <w:pPr>
        <w:ind w:firstLine="708"/>
        <w:rPr>
          <w:rFonts w:cs="Calibri"/>
        </w:rPr>
      </w:pPr>
      <w:r>
        <w:rPr>
          <w:rFonts w:cs="Calibri"/>
        </w:rPr>
        <w:t>Część 2 – 2 Pietro budynku i połączenie do węzła na poziomie -1</w:t>
      </w:r>
    </w:p>
    <w:p w:rsidR="00E41FE3" w:rsidRDefault="00E41FE3" w:rsidP="009069AE">
      <w:pPr>
        <w:ind w:firstLine="708"/>
        <w:rPr>
          <w:rFonts w:cs="Calibri"/>
        </w:rPr>
      </w:pPr>
      <w:r>
        <w:rPr>
          <w:rFonts w:cs="Calibri"/>
        </w:rPr>
        <w:t>Część 3 - 3 i 4 piętro budynku</w:t>
      </w:r>
    </w:p>
    <w:p w:rsidR="007064E5" w:rsidRPr="00214DCB" w:rsidRDefault="007064E5" w:rsidP="007064E5">
      <w:pPr>
        <w:pStyle w:val="Nagwek1"/>
      </w:pPr>
      <w:bookmarkStart w:id="1" w:name="_Ref257270852"/>
      <w:bookmarkStart w:id="2" w:name="_Toc262587575"/>
      <w:bookmarkStart w:id="3" w:name="_Toc320717142"/>
      <w:r w:rsidRPr="00214DCB">
        <w:t>Szczegółowy zakres rzeczowy</w:t>
      </w:r>
      <w:bookmarkEnd w:id="1"/>
      <w:bookmarkEnd w:id="2"/>
      <w:bookmarkEnd w:id="3"/>
    </w:p>
    <w:p w:rsidR="007064E5" w:rsidRPr="00214DCB" w:rsidRDefault="007064E5" w:rsidP="007064E5">
      <w:pPr>
        <w:rPr>
          <w:rFonts w:cs="Calibri"/>
        </w:rPr>
      </w:pPr>
      <w:r>
        <w:t xml:space="preserve">Oferowany </w:t>
      </w:r>
      <w:r w:rsidR="002A10F9">
        <w:t xml:space="preserve">w dniu złożenia oferty </w:t>
      </w:r>
      <w:r>
        <w:t xml:space="preserve">system ma umożliwiać w przyszłości, na istniejących elementach (panel krosowy kabel i gniazdo) implementacje systemu do monitorowania i zarządzania połączeniami warstwy fizycznej sieci LAN. Zastosowane rozwiązanie </w:t>
      </w:r>
      <w:r w:rsidRPr="00214DCB">
        <w:rPr>
          <w:rFonts w:cs="Calibri"/>
        </w:rPr>
        <w:t>ma pochodzić od jednego producenta i być objęte jednolitą i spójną gwarancją systemową udzieloną bezpośrednio przez producenta okablowania (nie dostawcę) na okres minimum 25 lat obejmującą wszystkie eleme</w:t>
      </w:r>
      <w:r>
        <w:rPr>
          <w:rFonts w:cs="Calibri"/>
        </w:rPr>
        <w:t xml:space="preserve">nty pasywne toru transmisyjnego. Dodatkowo system </w:t>
      </w:r>
      <w:r w:rsidR="002A10F9">
        <w:rPr>
          <w:rFonts w:cs="Calibri"/>
        </w:rPr>
        <w:t>musi</w:t>
      </w:r>
      <w:r>
        <w:rPr>
          <w:rFonts w:cs="Calibri"/>
        </w:rPr>
        <w:t xml:space="preserve"> spełniać poniższe wymogi:</w:t>
      </w:r>
    </w:p>
    <w:p w:rsidR="007064E5" w:rsidRPr="00214DCB" w:rsidRDefault="007064E5" w:rsidP="007064E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>E</w:t>
      </w:r>
      <w:r w:rsidRPr="00214DCB">
        <w:rPr>
          <w:rFonts w:cs="Calibri"/>
        </w:rPr>
        <w:t>lementy okab</w:t>
      </w:r>
      <w:r>
        <w:rPr>
          <w:rFonts w:cs="Calibri"/>
        </w:rPr>
        <w:t>lowania</w:t>
      </w:r>
      <w:r w:rsidRPr="00214DCB">
        <w:rPr>
          <w:rFonts w:cs="Calibri"/>
        </w:rPr>
        <w:t>:</w:t>
      </w:r>
      <w:r>
        <w:rPr>
          <w:rFonts w:cs="Calibri"/>
        </w:rPr>
        <w:t xml:space="preserve"> kabel, panele krosowe i gniazda</w:t>
      </w:r>
      <w:r w:rsidRPr="00214DCB">
        <w:rPr>
          <w:rFonts w:cs="Calibri"/>
        </w:rPr>
        <w:t xml:space="preserve"> mają być oznaczone logo lub nazwą tego samego producenta i pochodzić z jednolitej oferty rynkowej;</w:t>
      </w:r>
    </w:p>
    <w:p w:rsidR="007064E5" w:rsidRPr="00214DCB" w:rsidRDefault="007064E5" w:rsidP="007064E5">
      <w:pPr>
        <w:pStyle w:val="Style32"/>
        <w:widowControl/>
        <w:numPr>
          <w:ilvl w:val="0"/>
          <w:numId w:val="4"/>
        </w:numPr>
        <w:spacing w:before="38"/>
        <w:ind w:right="24"/>
        <w:jc w:val="both"/>
        <w:rPr>
          <w:rStyle w:val="FontStyle47"/>
          <w:rFonts w:ascii="Calibri" w:hAnsi="Calibri" w:cs="Calibri"/>
          <w:sz w:val="22"/>
          <w:szCs w:val="22"/>
        </w:rPr>
      </w:pPr>
      <w:r w:rsidRPr="00214DCB">
        <w:rPr>
          <w:rStyle w:val="FontStyle47"/>
          <w:rFonts w:ascii="Calibri" w:hAnsi="Calibri" w:cs="Calibri"/>
          <w:sz w:val="22"/>
          <w:szCs w:val="22"/>
        </w:rPr>
        <w:t>Okablowanie strukturalne opierać się ma na nieekranowanym modularnym module przyłączeniowym kat.6A ISO umożliwiającym obsługę aplikacji 100/1000/10000 BASE-T;</w:t>
      </w:r>
    </w:p>
    <w:p w:rsidR="007064E5" w:rsidRPr="00214DCB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Style w:val="FontStyle47"/>
          <w:rFonts w:ascii="Calibri" w:hAnsi="Calibri" w:cs="Calibri"/>
          <w:sz w:val="22"/>
          <w:szCs w:val="22"/>
        </w:rPr>
      </w:pPr>
      <w:r w:rsidRPr="00214DCB">
        <w:rPr>
          <w:rStyle w:val="FontStyle47"/>
          <w:rFonts w:ascii="Calibri" w:hAnsi="Calibri" w:cs="Calibri"/>
          <w:sz w:val="22"/>
          <w:szCs w:val="22"/>
        </w:rPr>
        <w:t xml:space="preserve">Wymagania odnośnie wydajności kanału transmisyjnego muszą spełniać minimum </w:t>
      </w:r>
      <w:r w:rsidRPr="00E81DC3">
        <w:rPr>
          <w:rStyle w:val="FontStyle47"/>
          <w:rFonts w:ascii="Calibri" w:hAnsi="Calibri" w:cs="Calibri"/>
          <w:sz w:val="22"/>
          <w:szCs w:val="22"/>
        </w:rPr>
        <w:t>Klasę EA</w:t>
      </w:r>
      <w:r w:rsidRPr="00E81DC3">
        <w:rPr>
          <w:rStyle w:val="FontStyle47"/>
          <w:rFonts w:ascii="Calibri" w:hAnsi="Calibri" w:cs="Calibri"/>
          <w:sz w:val="22"/>
          <w:szCs w:val="22"/>
          <w:vertAlign w:val="subscript"/>
        </w:rPr>
        <w:t>,</w:t>
      </w:r>
      <w:r w:rsidRPr="00214DCB">
        <w:rPr>
          <w:rStyle w:val="FontStyle47"/>
          <w:rFonts w:ascii="Calibri" w:hAnsi="Calibri" w:cs="Calibri"/>
          <w:sz w:val="22"/>
          <w:szCs w:val="22"/>
        </w:rPr>
        <w:t xml:space="preserve"> a wszystkie komponenty spełniać kryteria kategorii 6A ISO.</w:t>
      </w:r>
    </w:p>
    <w:p w:rsidR="007064E5" w:rsidRPr="00214DCB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Gniazdo musi być odporne</w:t>
      </w:r>
      <w:r w:rsidRPr="00214DCB">
        <w:rPr>
          <w:rFonts w:ascii="Calibri" w:hAnsi="Calibri" w:cs="Calibri"/>
          <w:sz w:val="22"/>
          <w:szCs w:val="22"/>
        </w:rPr>
        <w:t xml:space="preserve"> na </w:t>
      </w:r>
      <w:r>
        <w:rPr>
          <w:rFonts w:ascii="Calibri" w:hAnsi="Calibri" w:cs="Calibri"/>
          <w:sz w:val="22"/>
          <w:szCs w:val="22"/>
        </w:rPr>
        <w:t xml:space="preserve">co najmniej </w:t>
      </w:r>
      <w:r w:rsidRPr="00E81DC3">
        <w:rPr>
          <w:rFonts w:ascii="Calibri" w:hAnsi="Calibri" w:cs="Calibri"/>
          <w:sz w:val="22"/>
          <w:szCs w:val="22"/>
        </w:rPr>
        <w:t>1000 cykli</w:t>
      </w:r>
      <w:r w:rsidRPr="00214DCB">
        <w:rPr>
          <w:rFonts w:ascii="Calibri" w:hAnsi="Calibri" w:cs="Calibri"/>
          <w:sz w:val="22"/>
          <w:szCs w:val="22"/>
        </w:rPr>
        <w:t xml:space="preserve"> łączeniowych oraz zapewnić możliwość dokonywania co najmniej 20</w:t>
      </w:r>
      <w:r>
        <w:rPr>
          <w:rFonts w:ascii="Calibri" w:hAnsi="Calibri" w:cs="Calibri"/>
          <w:sz w:val="22"/>
          <w:szCs w:val="22"/>
        </w:rPr>
        <w:t>-</w:t>
      </w:r>
      <w:r w:rsidRPr="00214DCB">
        <w:rPr>
          <w:rFonts w:ascii="Calibri" w:hAnsi="Calibri" w:cs="Calibri"/>
          <w:sz w:val="22"/>
          <w:szCs w:val="22"/>
        </w:rPr>
        <w:t xml:space="preserve">to krotnej </w:t>
      </w:r>
      <w:proofErr w:type="spellStart"/>
      <w:r w:rsidRPr="00214DCB">
        <w:rPr>
          <w:rFonts w:ascii="Calibri" w:hAnsi="Calibri" w:cs="Calibri"/>
          <w:sz w:val="22"/>
          <w:szCs w:val="22"/>
        </w:rPr>
        <w:t>terminacji</w:t>
      </w:r>
      <w:proofErr w:type="spellEnd"/>
      <w:r w:rsidRPr="00214DCB">
        <w:rPr>
          <w:rFonts w:ascii="Calibri" w:hAnsi="Calibri" w:cs="Calibri"/>
          <w:sz w:val="22"/>
          <w:szCs w:val="22"/>
        </w:rPr>
        <w:t xml:space="preserve"> kabli instalacyjnych co umożliwi korektę ewentualnych błędów instalacyjnych bez konieczności wymiany całego modułu oraz pozwoli na przyszłe zmiany w strukturze sieci. Moduł ma być zarabiany </w:t>
      </w:r>
      <w:proofErr w:type="spellStart"/>
      <w:r w:rsidRPr="00214DCB">
        <w:rPr>
          <w:rFonts w:ascii="Calibri" w:hAnsi="Calibri" w:cs="Calibri"/>
          <w:sz w:val="22"/>
          <w:szCs w:val="22"/>
        </w:rPr>
        <w:t>beznarzędziowo</w:t>
      </w:r>
      <w:proofErr w:type="spellEnd"/>
      <w:r w:rsidRPr="00214DCB">
        <w:rPr>
          <w:rFonts w:ascii="Calibri" w:hAnsi="Calibri" w:cs="Calibri"/>
          <w:sz w:val="22"/>
          <w:szCs w:val="22"/>
        </w:rPr>
        <w:t xml:space="preserve"> (tzn. bez specjalistycznych narzędzi jak noże uderzeniowy itp.)</w:t>
      </w:r>
    </w:p>
    <w:p w:rsidR="007064E5" w:rsidRPr="00214DCB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 w:rsidRPr="00214DCB">
        <w:rPr>
          <w:rFonts w:ascii="Calibri" w:hAnsi="Calibri" w:cs="Calibri"/>
          <w:sz w:val="22"/>
          <w:szCs w:val="22"/>
        </w:rPr>
        <w:t xml:space="preserve">Kabel musi być </w:t>
      </w:r>
      <w:r w:rsidRPr="00E81DC3">
        <w:rPr>
          <w:rFonts w:ascii="Calibri" w:hAnsi="Calibri" w:cs="Calibri"/>
          <w:sz w:val="22"/>
          <w:szCs w:val="22"/>
        </w:rPr>
        <w:t>przebadany do 650MHz</w:t>
      </w:r>
      <w:r w:rsidRPr="00214DCB">
        <w:rPr>
          <w:rFonts w:ascii="Calibri" w:hAnsi="Calibri" w:cs="Calibri"/>
          <w:sz w:val="22"/>
          <w:szCs w:val="22"/>
        </w:rPr>
        <w:t xml:space="preserve"> w celu wykazania stabilności parametrów powyżej 500 MHz i osiągnięcia zapasu wydajności ponad dzisiejsze wymagania norm i posiadać powłokę LSZH (</w:t>
      </w:r>
      <w:proofErr w:type="spellStart"/>
      <w:r w:rsidRPr="00214DCB">
        <w:rPr>
          <w:rFonts w:ascii="Calibri" w:hAnsi="Calibri" w:cs="Calibri"/>
          <w:sz w:val="22"/>
          <w:szCs w:val="22"/>
        </w:rPr>
        <w:t>Low</w:t>
      </w:r>
      <w:proofErr w:type="spellEnd"/>
      <w:r w:rsidRPr="00214D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14DCB">
        <w:rPr>
          <w:rFonts w:ascii="Calibri" w:hAnsi="Calibri" w:cs="Calibri"/>
          <w:sz w:val="22"/>
          <w:szCs w:val="22"/>
        </w:rPr>
        <w:t>Smoke</w:t>
      </w:r>
      <w:proofErr w:type="spellEnd"/>
      <w:r w:rsidRPr="00214DCB">
        <w:rPr>
          <w:rFonts w:ascii="Calibri" w:hAnsi="Calibri" w:cs="Calibri"/>
          <w:sz w:val="22"/>
          <w:szCs w:val="22"/>
        </w:rPr>
        <w:t xml:space="preserve"> Zero Halogen).</w:t>
      </w:r>
    </w:p>
    <w:p w:rsidR="007064E5" w:rsidRPr="00E81DC3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 w:rsidRPr="00E81DC3">
        <w:rPr>
          <w:rFonts w:ascii="Calibri" w:hAnsi="Calibri" w:cs="Calibri"/>
          <w:sz w:val="22"/>
          <w:szCs w:val="22"/>
        </w:rPr>
        <w:t>Producent system okablowania strukturalnego powinien posiadać certyfikat zapewnienia jakości ISO9001.</w:t>
      </w:r>
    </w:p>
    <w:p w:rsidR="007064E5" w:rsidRPr="00214DCB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 w:rsidRPr="00214DCB">
        <w:rPr>
          <w:rFonts w:ascii="Calibri" w:eastAsia="Arial Unicode MS" w:hAnsi="Calibri" w:cs="Calibri"/>
          <w:sz w:val="22"/>
          <w:szCs w:val="22"/>
        </w:rPr>
        <w:t xml:space="preserve">Wszystkie komponenty systemu okablowania mają być zgodne z </w:t>
      </w:r>
      <w:r w:rsidR="00604913">
        <w:rPr>
          <w:rFonts w:ascii="Calibri" w:eastAsia="Arial Unicode MS" w:hAnsi="Calibri" w:cs="Calibri"/>
          <w:sz w:val="22"/>
          <w:szCs w:val="22"/>
        </w:rPr>
        <w:t>wymaganiami obowiązujących norm, które szczegółowo wymieniono w pkt 2.1 i 3.1.</w:t>
      </w:r>
      <w:r w:rsidRPr="00214DCB">
        <w:rPr>
          <w:rFonts w:ascii="Calibri" w:eastAsia="Arial Unicode MS" w:hAnsi="Calibri" w:cs="Calibri"/>
          <w:sz w:val="22"/>
          <w:szCs w:val="22"/>
        </w:rPr>
        <w:t xml:space="preserve"> Producent systemu musi przedstawić odpowiednie certyfikaty niezależnego laboratorium, np. 3P,DELTA Elec</w:t>
      </w:r>
      <w:r>
        <w:rPr>
          <w:rFonts w:ascii="Calibri" w:eastAsia="Arial Unicode MS" w:hAnsi="Calibri" w:cs="Calibri"/>
          <w:sz w:val="22"/>
          <w:szCs w:val="22"/>
        </w:rPr>
        <w:t>tronics, GHMT, ETL</w:t>
      </w:r>
      <w:r w:rsidRPr="00214DCB">
        <w:rPr>
          <w:rFonts w:ascii="Calibri" w:eastAsia="Arial Unicode MS" w:hAnsi="Calibri" w:cs="Calibri"/>
          <w:sz w:val="22"/>
          <w:szCs w:val="22"/>
        </w:rPr>
        <w:t xml:space="preserve"> potwierdzające zgodność wszystkich elementów systemu z wymienionymi w tym punkcie normami.</w:t>
      </w:r>
      <w:r w:rsidR="00775C80">
        <w:rPr>
          <w:rFonts w:ascii="Calibri" w:eastAsia="Arial Unicode MS" w:hAnsi="Calibri" w:cs="Calibri"/>
          <w:sz w:val="22"/>
          <w:szCs w:val="22"/>
        </w:rPr>
        <w:t xml:space="preserve"> Dla poszczególnych elementów systemu transmisyjnego </w:t>
      </w:r>
    </w:p>
    <w:p w:rsidR="007064E5" w:rsidRPr="00632997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 w:rsidRPr="00214DCB">
        <w:rPr>
          <w:rFonts w:ascii="Calibri" w:eastAsia="Arial Unicode MS" w:hAnsi="Calibri" w:cs="Calibri"/>
          <w:sz w:val="22"/>
          <w:szCs w:val="22"/>
        </w:rPr>
        <w:t xml:space="preserve">Wydajność komponentów (złącze-wtyk) ma być potwierdzona testem Re-Embedded </w:t>
      </w:r>
      <w:proofErr w:type="spellStart"/>
      <w:r w:rsidRPr="00214DCB">
        <w:rPr>
          <w:rFonts w:ascii="Calibri" w:eastAsia="Arial Unicode MS" w:hAnsi="Calibri" w:cs="Calibri"/>
          <w:sz w:val="22"/>
          <w:szCs w:val="22"/>
        </w:rPr>
        <w:t>Testing</w:t>
      </w:r>
      <w:proofErr w:type="spellEnd"/>
      <w:r w:rsidRPr="00214DCB">
        <w:rPr>
          <w:rFonts w:ascii="Calibri" w:eastAsia="Arial Unicode MS" w:hAnsi="Calibri" w:cs="Calibri"/>
          <w:sz w:val="22"/>
          <w:szCs w:val="22"/>
        </w:rPr>
        <w:t xml:space="preserve"> wystawionym przez niezależne laboratorium badawcze </w:t>
      </w:r>
      <w:r w:rsidRPr="00214DCB">
        <w:rPr>
          <w:rFonts w:ascii="Calibri" w:hAnsi="Calibri" w:cs="Calibri"/>
          <w:sz w:val="22"/>
          <w:szCs w:val="22"/>
        </w:rPr>
        <w:t>zgodnym z IEC 60512-27</w:t>
      </w:r>
      <w:r w:rsidRPr="00214DCB">
        <w:rPr>
          <w:rFonts w:ascii="Calibri" w:eastAsia="Arial Unicode MS" w:hAnsi="Calibri" w:cs="Calibri"/>
          <w:sz w:val="22"/>
          <w:szCs w:val="22"/>
        </w:rPr>
        <w:t xml:space="preserve">. Zgodnie z </w:t>
      </w:r>
      <w:r w:rsidRPr="00214DCB">
        <w:rPr>
          <w:rFonts w:ascii="Calibri" w:eastAsia="Arial Unicode MS" w:hAnsi="Calibri" w:cs="Calibri"/>
          <w:sz w:val="22"/>
          <w:szCs w:val="22"/>
        </w:rPr>
        <w:lastRenderedPageBreak/>
        <w:t xml:space="preserve">wymaganiami norm każdy 4-parowy kabel ma być w całości (wszystkie pary) trwale zakończony na 8-pozycyjnym złączu modularnym - tj. na nieekranowanym module gniazda </w:t>
      </w:r>
      <w:r w:rsidRPr="00E81DC3">
        <w:rPr>
          <w:rFonts w:ascii="Calibri" w:eastAsia="Arial Unicode MS" w:hAnsi="Calibri" w:cs="Calibri"/>
          <w:sz w:val="22"/>
          <w:szCs w:val="22"/>
        </w:rPr>
        <w:t xml:space="preserve">RJ45 skonstruowanym w oparciu o technologię IDC. Niedopuszczalne są żadne zmiany w </w:t>
      </w:r>
      <w:r w:rsidRPr="00632997">
        <w:rPr>
          <w:rFonts w:ascii="Calibri" w:eastAsia="Arial Unicode MS" w:hAnsi="Calibri" w:cs="Calibri"/>
          <w:sz w:val="22"/>
          <w:szCs w:val="22"/>
        </w:rPr>
        <w:t xml:space="preserve">zakończeniu par transmisyjnych kabla. </w:t>
      </w:r>
    </w:p>
    <w:p w:rsidR="007064E5" w:rsidRPr="00632997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 w:rsidRPr="00632997">
        <w:rPr>
          <w:rFonts w:ascii="Calibri" w:hAnsi="Calibri" w:cs="Calibri"/>
          <w:sz w:val="22"/>
          <w:szCs w:val="22"/>
        </w:rPr>
        <w:t xml:space="preserve">W celu podniesienia bezpieczeństwa użytkowania okablowania, przy zachowanym standardzie złącza RJ45 system powinien umożliwiać mechaniczne zabezpieczenie interfejsu po stronie gniazda abonenckiego przed nieupoważnionym wpięciem kabla krosowego czy ingerencję osoby nieupoważnionej w gniazdo RJ45. Producent powinien zapewniać także system zabezpieczenia gniazd i paneli dystrybucyjnych, który uniemożliwi przypadkowe wyjęcie wtyczki kabla krosowego z gniazda lub </w:t>
      </w:r>
      <w:proofErr w:type="spellStart"/>
      <w:r w:rsidRPr="00632997">
        <w:rPr>
          <w:rFonts w:ascii="Calibri" w:hAnsi="Calibri" w:cs="Calibri"/>
          <w:sz w:val="22"/>
          <w:szCs w:val="22"/>
        </w:rPr>
        <w:t>panela</w:t>
      </w:r>
      <w:proofErr w:type="spellEnd"/>
      <w:r w:rsidRPr="00632997">
        <w:rPr>
          <w:rFonts w:ascii="Calibri" w:hAnsi="Calibri" w:cs="Calibri"/>
          <w:sz w:val="22"/>
          <w:szCs w:val="22"/>
        </w:rPr>
        <w:t>.</w:t>
      </w:r>
    </w:p>
    <w:p w:rsidR="007064E5" w:rsidRPr="00632997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eastAsia="Arial Unicode MS" w:hAnsi="Calibri" w:cs="Calibri"/>
          <w:sz w:val="22"/>
          <w:szCs w:val="22"/>
        </w:rPr>
      </w:pPr>
      <w:r w:rsidRPr="00632997">
        <w:rPr>
          <w:rFonts w:ascii="Calibri" w:eastAsia="Arial Unicode MS" w:hAnsi="Calibri" w:cs="Calibri"/>
          <w:sz w:val="22"/>
          <w:szCs w:val="22"/>
        </w:rPr>
        <w:t>W celu zagwarantowania</w:t>
      </w:r>
      <w:r w:rsidRPr="00214DCB">
        <w:rPr>
          <w:rFonts w:ascii="Calibri" w:eastAsia="Arial Unicode MS" w:hAnsi="Calibri" w:cs="Calibri"/>
          <w:sz w:val="22"/>
          <w:szCs w:val="22"/>
        </w:rPr>
        <w:t xml:space="preserve"> najwyższej jakości połączenia, a przede wszystkim powtarzalnych parametrów, wszystkie złącza, zarówno w gniazdach końcowych, panelach oraz złączach RJ45 w kablach krosowych i przyłączeniowych muszą być zarabiane w oparciu o technologię IDC. Proces montażu modułów gniazd RJ45 ma gwarantować najwyższą powtarzalność przy </w:t>
      </w:r>
      <w:r w:rsidRPr="00632997">
        <w:rPr>
          <w:rFonts w:ascii="Calibri" w:eastAsia="Arial Unicode MS" w:hAnsi="Calibri" w:cs="Calibri"/>
          <w:sz w:val="22"/>
          <w:szCs w:val="22"/>
        </w:rPr>
        <w:t xml:space="preserve">jednoczesnym uniezależnieniu jakości/stopnia zużycia narzędzia terminującego od jakości powstałego złącza. Maksymalny </w:t>
      </w:r>
      <w:proofErr w:type="spellStart"/>
      <w:r w:rsidRPr="00632997">
        <w:rPr>
          <w:rFonts w:ascii="Calibri" w:eastAsia="Arial Unicode MS" w:hAnsi="Calibri" w:cs="Calibri"/>
          <w:sz w:val="22"/>
          <w:szCs w:val="22"/>
        </w:rPr>
        <w:t>rozplot</w:t>
      </w:r>
      <w:proofErr w:type="spellEnd"/>
      <w:r w:rsidRPr="00632997">
        <w:rPr>
          <w:rFonts w:ascii="Calibri" w:eastAsia="Arial Unicode MS" w:hAnsi="Calibri" w:cs="Calibri"/>
          <w:sz w:val="22"/>
          <w:szCs w:val="22"/>
        </w:rPr>
        <w:t xml:space="preserve"> par transmisyjnych na modułach gniazd RJ45 montowanych zarówno w panelach, jak i w zestawach instalacyjnych naściennych nie może być większy niż 8 mm. Ze względu na wymaganą najwyższą długoterminową trwałość i niezawodność oraz doskonałe parametry kontaktu należy stosować kable przyłączeniowe i krosowe wykonanymi i przetestowanymi przez producenta systemu okablowania..</w:t>
      </w:r>
    </w:p>
    <w:p w:rsidR="007064E5" w:rsidRPr="00214DCB" w:rsidRDefault="007064E5" w:rsidP="007064E5">
      <w:pPr>
        <w:pStyle w:val="Style32"/>
        <w:widowControl/>
        <w:numPr>
          <w:ilvl w:val="0"/>
          <w:numId w:val="4"/>
        </w:numPr>
        <w:spacing w:before="125" w:line="269" w:lineRule="exact"/>
        <w:ind w:right="29"/>
        <w:jc w:val="both"/>
        <w:rPr>
          <w:rFonts w:ascii="Calibri" w:hAnsi="Calibri" w:cs="Calibri"/>
          <w:sz w:val="22"/>
          <w:szCs w:val="22"/>
        </w:rPr>
      </w:pPr>
      <w:r w:rsidRPr="00632997">
        <w:rPr>
          <w:rFonts w:ascii="Calibri" w:hAnsi="Calibri" w:cs="Calibri"/>
          <w:sz w:val="22"/>
          <w:szCs w:val="22"/>
        </w:rPr>
        <w:t>Wszystkie podsystemy, tj. system okablowania</w:t>
      </w:r>
      <w:r w:rsidRPr="00214DCB">
        <w:rPr>
          <w:rFonts w:ascii="Calibri" w:hAnsi="Calibri" w:cs="Calibri"/>
          <w:sz w:val="22"/>
          <w:szCs w:val="22"/>
        </w:rPr>
        <w:t xml:space="preserve"> logicznego musz</w:t>
      </w:r>
      <w:r w:rsidRPr="00214DCB">
        <w:rPr>
          <w:rFonts w:ascii="Calibri" w:eastAsia="TimesNewRoman" w:hAnsi="Calibri" w:cs="Calibri"/>
          <w:sz w:val="22"/>
          <w:szCs w:val="22"/>
        </w:rPr>
        <w:t xml:space="preserve">ą </w:t>
      </w:r>
      <w:r w:rsidRPr="00214DCB">
        <w:rPr>
          <w:rFonts w:ascii="Calibri" w:hAnsi="Calibri" w:cs="Calibri"/>
          <w:sz w:val="22"/>
          <w:szCs w:val="22"/>
        </w:rPr>
        <w:t>by</w:t>
      </w:r>
      <w:r w:rsidRPr="00214DCB">
        <w:rPr>
          <w:rFonts w:ascii="Calibri" w:eastAsia="TimesNewRoman" w:hAnsi="Calibri" w:cs="Calibri"/>
          <w:sz w:val="22"/>
          <w:szCs w:val="22"/>
        </w:rPr>
        <w:t xml:space="preserve">ć </w:t>
      </w:r>
      <w:r w:rsidRPr="00214DCB">
        <w:rPr>
          <w:rFonts w:ascii="Calibri" w:hAnsi="Calibri" w:cs="Calibri"/>
          <w:sz w:val="22"/>
          <w:szCs w:val="22"/>
        </w:rPr>
        <w:t>opracowane (tj. zaprojektowane, wykonane i wdro</w:t>
      </w:r>
      <w:r w:rsidRPr="00214DCB">
        <w:rPr>
          <w:rFonts w:ascii="Calibri" w:eastAsia="TimesNewRoman" w:hAnsi="Calibri" w:cs="Calibri"/>
          <w:sz w:val="22"/>
          <w:szCs w:val="22"/>
        </w:rPr>
        <w:t>ż</w:t>
      </w:r>
      <w:r w:rsidRPr="00214DCB">
        <w:rPr>
          <w:rFonts w:ascii="Calibri" w:hAnsi="Calibri" w:cs="Calibri"/>
          <w:sz w:val="22"/>
          <w:szCs w:val="22"/>
        </w:rPr>
        <w:t>one do oferty rynkowej) przez jednego producenta jako kompletne rozwi</w:t>
      </w:r>
      <w:r w:rsidRPr="00214DCB">
        <w:rPr>
          <w:rFonts w:ascii="Calibri" w:eastAsia="TimesNewRoman" w:hAnsi="Calibri" w:cs="Calibri"/>
          <w:sz w:val="22"/>
          <w:szCs w:val="22"/>
        </w:rPr>
        <w:t>ą</w:t>
      </w:r>
      <w:r w:rsidRPr="00214DCB">
        <w:rPr>
          <w:rFonts w:ascii="Calibri" w:hAnsi="Calibri" w:cs="Calibri"/>
          <w:sz w:val="22"/>
          <w:szCs w:val="22"/>
        </w:rPr>
        <w:t>zania, celem uzyskania maksymalnych zapasów transmisyjnych. Niedopuszczalne jest stosowanie rozwi</w:t>
      </w:r>
      <w:r w:rsidRPr="00214DCB">
        <w:rPr>
          <w:rFonts w:ascii="Calibri" w:eastAsia="TimesNewRoman" w:hAnsi="Calibri" w:cs="Calibri"/>
          <w:sz w:val="22"/>
          <w:szCs w:val="22"/>
        </w:rPr>
        <w:t>ą</w:t>
      </w:r>
      <w:r w:rsidRPr="00214DCB">
        <w:rPr>
          <w:rFonts w:ascii="Calibri" w:hAnsi="Calibri" w:cs="Calibri"/>
          <w:sz w:val="22"/>
          <w:szCs w:val="22"/>
        </w:rPr>
        <w:t>za</w:t>
      </w:r>
      <w:r w:rsidRPr="00214DCB">
        <w:rPr>
          <w:rFonts w:ascii="Calibri" w:eastAsia="TimesNewRoman" w:hAnsi="Calibri" w:cs="Calibri"/>
          <w:sz w:val="22"/>
          <w:szCs w:val="22"/>
        </w:rPr>
        <w:t>ń kompletowanych</w:t>
      </w:r>
      <w:r w:rsidRPr="00214DCB">
        <w:rPr>
          <w:rFonts w:ascii="Calibri" w:hAnsi="Calibri" w:cs="Calibri"/>
          <w:sz w:val="22"/>
          <w:szCs w:val="22"/>
        </w:rPr>
        <w:t xml:space="preserve"> od ró</w:t>
      </w:r>
      <w:r w:rsidRPr="00214DCB">
        <w:rPr>
          <w:rFonts w:ascii="Calibri" w:eastAsia="TimesNewRoman" w:hAnsi="Calibri" w:cs="Calibri"/>
          <w:sz w:val="22"/>
          <w:szCs w:val="22"/>
        </w:rPr>
        <w:t>ż</w:t>
      </w:r>
      <w:r w:rsidRPr="00214DCB">
        <w:rPr>
          <w:rFonts w:ascii="Calibri" w:hAnsi="Calibri" w:cs="Calibri"/>
          <w:sz w:val="22"/>
          <w:szCs w:val="22"/>
        </w:rPr>
        <w:t>nych dostawców komponentów np. ró</w:t>
      </w:r>
      <w:r w:rsidRPr="00214DCB">
        <w:rPr>
          <w:rFonts w:ascii="Calibri" w:eastAsia="TimesNewRoman" w:hAnsi="Calibri" w:cs="Calibri"/>
          <w:sz w:val="22"/>
          <w:szCs w:val="22"/>
        </w:rPr>
        <w:t>ż</w:t>
      </w:r>
      <w:r w:rsidRPr="00214DCB">
        <w:rPr>
          <w:rFonts w:ascii="Calibri" w:hAnsi="Calibri" w:cs="Calibri"/>
          <w:sz w:val="22"/>
          <w:szCs w:val="22"/>
        </w:rPr>
        <w:t xml:space="preserve">ne </w:t>
      </w:r>
      <w:r w:rsidRPr="00214DCB">
        <w:rPr>
          <w:rFonts w:ascii="Calibri" w:eastAsia="TimesNewRoman" w:hAnsi="Calibri" w:cs="Calibri"/>
          <w:sz w:val="22"/>
          <w:szCs w:val="22"/>
        </w:rPr>
        <w:t>ź</w:t>
      </w:r>
      <w:r w:rsidRPr="00214DCB">
        <w:rPr>
          <w:rFonts w:ascii="Calibri" w:hAnsi="Calibri" w:cs="Calibri"/>
          <w:sz w:val="22"/>
          <w:szCs w:val="22"/>
        </w:rPr>
        <w:t xml:space="preserve">ródła dostaw kabli, modułów RJ45, paneli, kabli krosowych, </w:t>
      </w:r>
      <w:proofErr w:type="spellStart"/>
      <w:r w:rsidRPr="00214DCB">
        <w:rPr>
          <w:rFonts w:ascii="Calibri" w:hAnsi="Calibri" w:cs="Calibri"/>
          <w:sz w:val="22"/>
          <w:szCs w:val="22"/>
        </w:rPr>
        <w:t>itd</w:t>
      </w:r>
      <w:proofErr w:type="spellEnd"/>
      <w:r w:rsidRPr="00214DCB">
        <w:rPr>
          <w:rFonts w:ascii="Calibri" w:hAnsi="Calibri" w:cs="Calibri"/>
          <w:sz w:val="22"/>
          <w:szCs w:val="22"/>
        </w:rPr>
        <w:t>).</w:t>
      </w:r>
    </w:p>
    <w:p w:rsidR="007064E5" w:rsidRPr="00214DCB" w:rsidRDefault="007064E5" w:rsidP="007064E5">
      <w:pPr>
        <w:pStyle w:val="Style29"/>
        <w:spacing w:line="264" w:lineRule="exact"/>
        <w:jc w:val="both"/>
        <w:rPr>
          <w:rFonts w:ascii="Calibri" w:eastAsia="Arial Unicode MS" w:hAnsi="Calibri" w:cs="Calibri"/>
          <w:bCs/>
          <w:sz w:val="20"/>
          <w:szCs w:val="20"/>
        </w:rPr>
      </w:pPr>
      <w:bookmarkStart w:id="4" w:name="_Toc310519497"/>
    </w:p>
    <w:p w:rsidR="007064E5" w:rsidRPr="00214DCB" w:rsidRDefault="007064E5" w:rsidP="007064E5">
      <w:pPr>
        <w:pStyle w:val="Nagwek2"/>
      </w:pPr>
      <w:bookmarkStart w:id="5" w:name="_Toc262587579"/>
      <w:bookmarkStart w:id="6" w:name="_Toc320717147"/>
      <w:bookmarkEnd w:id="4"/>
      <w:r w:rsidRPr="00214DCB">
        <w:t>Kable miedziane</w:t>
      </w:r>
      <w:bookmarkEnd w:id="5"/>
      <w:bookmarkEnd w:id="6"/>
    </w:p>
    <w:p w:rsidR="007064E5" w:rsidRPr="00214DCB" w:rsidRDefault="007064E5" w:rsidP="007064E5">
      <w:pPr>
        <w:ind w:firstLine="450"/>
        <w:rPr>
          <w:rFonts w:cs="Calibri"/>
        </w:rPr>
      </w:pPr>
      <w:r>
        <w:rPr>
          <w:rFonts w:cs="Calibri"/>
        </w:rPr>
        <w:t>Instalowane kable systemu okablowania strukturalnego muszą</w:t>
      </w:r>
      <w:r w:rsidRPr="00214DCB">
        <w:rPr>
          <w:rFonts w:cs="Calibri"/>
        </w:rPr>
        <w:t xml:space="preserve"> spełniać wymagania stawiane komponentom Kategorii 6A ISO przez obowiązujące specyfikacje norm, równocześnie zapewniając pełną zgodność z niższymi kategoriami okablowania. Z uwagi na konieczność odsunięcia par splecionych od siebie prze</w:t>
      </w:r>
      <w:r>
        <w:rPr>
          <w:rFonts w:cs="Calibri"/>
        </w:rPr>
        <w:t>ciwdziałającą</w:t>
      </w:r>
      <w:r w:rsidRPr="00214DCB">
        <w:rPr>
          <w:rFonts w:cs="Calibri"/>
        </w:rPr>
        <w:t xml:space="preserve"> przesłuchom od </w:t>
      </w:r>
      <w:r>
        <w:rPr>
          <w:rFonts w:cs="Calibri"/>
        </w:rPr>
        <w:t>sąsiednich par</w:t>
      </w:r>
      <w:r w:rsidRPr="00214DCB">
        <w:rPr>
          <w:rFonts w:cs="Calibri"/>
        </w:rPr>
        <w:t>, konstrukcja kabla musi zawierać separator krzyżowy wewnątrz kabla.</w:t>
      </w:r>
      <w:r>
        <w:rPr>
          <w:rFonts w:cs="Calibri"/>
        </w:rPr>
        <w:t xml:space="preserve"> </w:t>
      </w:r>
      <w:r w:rsidRPr="00214DCB">
        <w:rPr>
          <w:rFonts w:cs="Calibri"/>
        </w:rPr>
        <w:t>Wymaga si</w:t>
      </w:r>
      <w:r w:rsidRPr="00214DCB">
        <w:rPr>
          <w:rFonts w:eastAsia="TimesNewRoman" w:cs="Calibri"/>
        </w:rPr>
        <w:t>ę</w:t>
      </w:r>
      <w:r w:rsidRPr="00214DCB">
        <w:rPr>
          <w:rFonts w:cs="Calibri"/>
        </w:rPr>
        <w:t>, aby charakterystyka kabla uwzgl</w:t>
      </w:r>
      <w:r w:rsidRPr="00214DCB">
        <w:rPr>
          <w:rFonts w:eastAsia="TimesNewRoman" w:cs="Calibri"/>
        </w:rPr>
        <w:t>ę</w:t>
      </w:r>
      <w:r w:rsidRPr="00214DCB">
        <w:rPr>
          <w:rFonts w:cs="Calibri"/>
        </w:rPr>
        <w:t>dniała odpowiedni margines pracy, tj. pozytywne parametry transmisyjne do min. 650MHz dla nieekranowanego kabla kat.6A ISO.</w:t>
      </w:r>
      <w:r w:rsidR="00B175C0">
        <w:rPr>
          <w:rFonts w:cs="Calibri"/>
        </w:rPr>
        <w:t xml:space="preserve"> W związku z dużą liczbą przewodów i ewentualną rozbudową wymaga się aby średnica instalowanego kabla U/UTP kat. 6a nie przekraczała 7.2 mm.</w:t>
      </w:r>
    </w:p>
    <w:p w:rsidR="007064E5" w:rsidRDefault="007064E5" w:rsidP="007064E5">
      <w:pPr>
        <w:spacing w:before="0" w:after="0"/>
        <w:rPr>
          <w:rFonts w:cs="Calibri"/>
        </w:rPr>
      </w:pPr>
      <w:r w:rsidRPr="00326FE3">
        <w:rPr>
          <w:rFonts w:cs="Calibri"/>
        </w:rPr>
        <w:t>Szczegóły techniczne:</w:t>
      </w:r>
    </w:p>
    <w:p w:rsidR="0004255B" w:rsidRPr="00326FE3" w:rsidRDefault="0004255B" w:rsidP="007064E5">
      <w:pPr>
        <w:spacing w:before="0" w:after="0"/>
        <w:rPr>
          <w:rFonts w:cs="Calibri"/>
        </w:rPr>
      </w:pPr>
    </w:p>
    <w:p w:rsidR="001D7552" w:rsidRDefault="007064E5" w:rsidP="00EE6AE1">
      <w:pPr>
        <w:pStyle w:val="Bezodstpw1"/>
        <w:numPr>
          <w:ilvl w:val="0"/>
          <w:numId w:val="7"/>
        </w:numPr>
      </w:pPr>
      <w:proofErr w:type="spellStart"/>
      <w:r w:rsidRPr="001D7552">
        <w:rPr>
          <w:rStyle w:val="FontStyle12"/>
          <w:rFonts w:eastAsia="Arial Unicode MS" w:cs="Calibri"/>
          <w:lang w:val="en-US"/>
        </w:rPr>
        <w:t>Standaryzacja</w:t>
      </w:r>
      <w:proofErr w:type="spellEnd"/>
      <w:r w:rsidRPr="001D7552">
        <w:rPr>
          <w:rStyle w:val="FontStyle12"/>
          <w:rFonts w:eastAsia="Arial Unicode MS" w:cs="Calibri"/>
          <w:lang w:val="en-US"/>
        </w:rPr>
        <w:t xml:space="preserve"> </w:t>
      </w:r>
      <w:r w:rsidR="001D7552">
        <w:t>ISO/IEC 11801, EN 50173-1</w:t>
      </w:r>
      <w:r w:rsidR="001D7552">
        <w:t xml:space="preserve">, </w:t>
      </w:r>
      <w:r w:rsidR="001D7552">
        <w:t>TIA/EIA 568.2-D</w:t>
      </w:r>
      <w:r w:rsidR="001D7552">
        <w:t xml:space="preserve">, </w:t>
      </w:r>
      <w:r w:rsidR="001D7552">
        <w:t>IEC 61156-5, IEC 60332-1-2</w:t>
      </w:r>
    </w:p>
    <w:p w:rsidR="007064E5" w:rsidRPr="00326FE3" w:rsidRDefault="007064E5" w:rsidP="00EE6AE1">
      <w:pPr>
        <w:pStyle w:val="Bezodstpw1"/>
        <w:numPr>
          <w:ilvl w:val="0"/>
          <w:numId w:val="7"/>
        </w:numPr>
      </w:pPr>
      <w:r>
        <w:t xml:space="preserve">Kategoria </w:t>
      </w:r>
      <w:r w:rsidRPr="00326FE3">
        <w:t>6A ISO</w:t>
      </w:r>
      <w:bookmarkStart w:id="7" w:name="_GoBack"/>
      <w:bookmarkEnd w:id="7"/>
    </w:p>
    <w:p w:rsidR="007064E5" w:rsidRPr="00326FE3" w:rsidRDefault="007064E5" w:rsidP="007064E5">
      <w:pPr>
        <w:pStyle w:val="Bezodstpw1"/>
        <w:numPr>
          <w:ilvl w:val="0"/>
          <w:numId w:val="7"/>
        </w:numPr>
      </w:pPr>
      <w:r w:rsidRPr="00326FE3">
        <w:t>Pasmo przenoszenia</w:t>
      </w:r>
      <w:r>
        <w:t xml:space="preserve">: </w:t>
      </w:r>
      <w:r w:rsidRPr="00326FE3">
        <w:t>650 MHz</w:t>
      </w:r>
    </w:p>
    <w:p w:rsidR="007064E5" w:rsidRPr="00326FE3" w:rsidRDefault="007064E5" w:rsidP="007064E5">
      <w:pPr>
        <w:pStyle w:val="Bezodstpw1"/>
        <w:numPr>
          <w:ilvl w:val="0"/>
          <w:numId w:val="7"/>
        </w:numPr>
      </w:pPr>
      <w:r w:rsidRPr="00326FE3">
        <w:t>Rodzaj kabla</w:t>
      </w:r>
      <w:r>
        <w:t xml:space="preserve">: </w:t>
      </w:r>
      <w:r w:rsidRPr="00326FE3">
        <w:t>Kabel instalacyjny</w:t>
      </w:r>
    </w:p>
    <w:p w:rsidR="007064E5" w:rsidRPr="00326FE3" w:rsidRDefault="007064E5" w:rsidP="007064E5">
      <w:pPr>
        <w:pStyle w:val="Bezodstpw1"/>
        <w:numPr>
          <w:ilvl w:val="0"/>
          <w:numId w:val="7"/>
        </w:numPr>
      </w:pPr>
      <w:r>
        <w:t xml:space="preserve">Rodzaj ekranowania: </w:t>
      </w:r>
      <w:r w:rsidRPr="00326FE3">
        <w:t>U/UTP</w:t>
      </w:r>
      <w:r w:rsidR="001D7552">
        <w:t xml:space="preserve"> WARP</w:t>
      </w:r>
    </w:p>
    <w:p w:rsidR="007064E5" w:rsidRPr="00326FE3" w:rsidRDefault="007064E5" w:rsidP="007064E5">
      <w:pPr>
        <w:pStyle w:val="Bezodstpw1"/>
        <w:numPr>
          <w:ilvl w:val="0"/>
          <w:numId w:val="7"/>
        </w:numPr>
      </w:pPr>
      <w:r w:rsidRPr="00326FE3">
        <w:t>Licz</w:t>
      </w:r>
      <w:r>
        <w:t>b</w:t>
      </w:r>
      <w:r w:rsidRPr="00326FE3">
        <w:t>a przewodników</w:t>
      </w:r>
      <w:r>
        <w:t xml:space="preserve">: </w:t>
      </w:r>
      <w:r w:rsidRPr="00326FE3">
        <w:t>8</w:t>
      </w:r>
    </w:p>
    <w:p w:rsidR="007064E5" w:rsidRDefault="007064E5" w:rsidP="007064E5">
      <w:pPr>
        <w:pStyle w:val="Bezodstpw1"/>
        <w:numPr>
          <w:ilvl w:val="0"/>
          <w:numId w:val="7"/>
        </w:numPr>
      </w:pPr>
      <w:r w:rsidRPr="00326FE3">
        <w:t>Splot</w:t>
      </w:r>
      <w:r>
        <w:t xml:space="preserve">: </w:t>
      </w:r>
      <w:r w:rsidRPr="00326FE3">
        <w:t>4P</w:t>
      </w:r>
    </w:p>
    <w:p w:rsidR="0004255B" w:rsidRPr="00326FE3" w:rsidRDefault="0004255B" w:rsidP="0004255B">
      <w:pPr>
        <w:pStyle w:val="Bezodstpw1"/>
        <w:numPr>
          <w:ilvl w:val="0"/>
          <w:numId w:val="7"/>
        </w:numPr>
      </w:pPr>
      <w:r w:rsidRPr="00722241">
        <w:t>Średnica żyły</w:t>
      </w:r>
      <w:r w:rsidR="00B175C0">
        <w:t>:</w:t>
      </w:r>
      <w:r w:rsidRPr="00722241">
        <w:tab/>
        <w:t>AWG 23</w:t>
      </w:r>
    </w:p>
    <w:p w:rsidR="0004255B" w:rsidRPr="00326FE3" w:rsidRDefault="0004255B" w:rsidP="0004255B">
      <w:pPr>
        <w:pStyle w:val="Bezodstpw1"/>
        <w:numPr>
          <w:ilvl w:val="0"/>
          <w:numId w:val="7"/>
        </w:numPr>
      </w:pPr>
      <w:r w:rsidRPr="0004255B">
        <w:t>Kla</w:t>
      </w:r>
      <w:r>
        <w:t xml:space="preserve">syfikacja ogniowa CPR </w:t>
      </w:r>
      <w:r w:rsidR="001D7552">
        <w:t>–</w:t>
      </w:r>
      <w:r>
        <w:t xml:space="preserve"> </w:t>
      </w:r>
      <w:r w:rsidR="001D7552">
        <w:t>B2ca</w:t>
      </w:r>
    </w:p>
    <w:p w:rsidR="007064E5" w:rsidRDefault="007064E5" w:rsidP="007064E5">
      <w:pPr>
        <w:pStyle w:val="Bezodstpw1"/>
        <w:numPr>
          <w:ilvl w:val="0"/>
          <w:numId w:val="7"/>
        </w:numPr>
      </w:pPr>
      <w:r>
        <w:t xml:space="preserve">Materiał powłoki </w:t>
      </w:r>
      <w:r w:rsidRPr="00326FE3">
        <w:t>LSZH</w:t>
      </w:r>
    </w:p>
    <w:p w:rsidR="001D7552" w:rsidRDefault="001D7552" w:rsidP="007064E5">
      <w:pPr>
        <w:pStyle w:val="Bezodstpw1"/>
        <w:numPr>
          <w:ilvl w:val="0"/>
          <w:numId w:val="7"/>
        </w:numPr>
      </w:pPr>
      <w:r>
        <w:t xml:space="preserve">Parametr </w:t>
      </w:r>
      <w:proofErr w:type="spellStart"/>
      <w:r>
        <w:t>PoE</w:t>
      </w:r>
      <w:proofErr w:type="spellEnd"/>
      <w:r>
        <w:t xml:space="preserve"> – tak</w:t>
      </w:r>
    </w:p>
    <w:p w:rsidR="001D7552" w:rsidRPr="00326FE3" w:rsidRDefault="001D7552" w:rsidP="007064E5">
      <w:pPr>
        <w:pStyle w:val="Bezodstpw1"/>
        <w:numPr>
          <w:ilvl w:val="0"/>
          <w:numId w:val="7"/>
        </w:numPr>
      </w:pPr>
      <w:r>
        <w:t>Całkowita średnica kabla – max 7,4 mm</w:t>
      </w:r>
    </w:p>
    <w:p w:rsidR="007064E5" w:rsidRDefault="007064E5" w:rsidP="007064E5">
      <w:pPr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:rsidR="007064E5" w:rsidRDefault="007064E5" w:rsidP="007064E5">
      <w:pPr>
        <w:pStyle w:val="Nagwek1"/>
        <w:rPr>
          <w:lang w:val="pl-PL"/>
        </w:rPr>
      </w:pPr>
      <w:r>
        <w:rPr>
          <w:lang w:val="pl-PL"/>
        </w:rPr>
        <w:t>Okablowanie poziome</w:t>
      </w:r>
    </w:p>
    <w:p w:rsidR="007064E5" w:rsidRPr="00214DCB" w:rsidRDefault="007064E5" w:rsidP="007064E5">
      <w:pPr>
        <w:pStyle w:val="Nagwek2"/>
      </w:pPr>
      <w:bookmarkStart w:id="8" w:name="_Toc262587580"/>
      <w:bookmarkStart w:id="9" w:name="_Toc320717148"/>
      <w:r w:rsidRPr="00214DCB">
        <w:t>Gniazda abonenckie</w:t>
      </w:r>
      <w:bookmarkEnd w:id="8"/>
      <w:bookmarkEnd w:id="9"/>
    </w:p>
    <w:p w:rsidR="007064E5" w:rsidRDefault="007064E5" w:rsidP="007064E5">
      <w:pPr>
        <w:ind w:firstLine="450"/>
        <w:rPr>
          <w:rFonts w:cs="Calibri"/>
        </w:rPr>
      </w:pPr>
      <w:r>
        <w:rPr>
          <w:rFonts w:cs="Calibri"/>
        </w:rPr>
        <w:t xml:space="preserve">Do każdego </w:t>
      </w:r>
      <w:r w:rsidR="00171639">
        <w:rPr>
          <w:rFonts w:cs="Calibri"/>
        </w:rPr>
        <w:t>przyłącza</w:t>
      </w:r>
      <w:r>
        <w:rPr>
          <w:rFonts w:cs="Calibri"/>
        </w:rPr>
        <w:t xml:space="preserve"> </w:t>
      </w:r>
      <w:r w:rsidRPr="00D46449">
        <w:rPr>
          <w:rFonts w:cs="Calibri"/>
        </w:rPr>
        <w:t xml:space="preserve">logicznego należy doprowadzić </w:t>
      </w:r>
      <w:r>
        <w:rPr>
          <w:rFonts w:cs="Calibri"/>
        </w:rPr>
        <w:t xml:space="preserve">dwa przewody nieekranowane, spełniające wymogi zawarte </w:t>
      </w:r>
      <w:r w:rsidRPr="00A31418">
        <w:rPr>
          <w:rFonts w:cs="Calibri"/>
        </w:rPr>
        <w:t>w pkt 2.1.</w:t>
      </w:r>
    </w:p>
    <w:p w:rsidR="007064E5" w:rsidRDefault="007064E5" w:rsidP="007064E5">
      <w:pPr>
        <w:rPr>
          <w:rFonts w:cs="Calibri"/>
        </w:rPr>
      </w:pPr>
      <w:r>
        <w:rPr>
          <w:rFonts w:cs="Calibri"/>
        </w:rPr>
        <w:t>Wymagane jest aby gniazda zostały zamontowane bezpośrednio w listwach instalacyjnych zamontowanych w pomieszczaniach pod oknami. Dla każdego przyłącza wymagany jest zapas kabla umożliwiający przesunięcie gniazda w tej listwie o min</w:t>
      </w:r>
      <w:r w:rsidR="00663D5B">
        <w:rPr>
          <w:rFonts w:cs="Calibri"/>
        </w:rPr>
        <w:t>.</w:t>
      </w:r>
      <w:r>
        <w:rPr>
          <w:rFonts w:cs="Calibri"/>
        </w:rPr>
        <w:t xml:space="preserve"> 1 m.</w:t>
      </w:r>
    </w:p>
    <w:p w:rsidR="007064E5" w:rsidRDefault="007064E5" w:rsidP="007064E5">
      <w:pPr>
        <w:rPr>
          <w:rFonts w:cs="Calibri"/>
        </w:rPr>
      </w:pPr>
      <w:r w:rsidRPr="00214DCB">
        <w:rPr>
          <w:rFonts w:cs="Calibri"/>
        </w:rPr>
        <w:t xml:space="preserve">Płyty czołowe gniazda </w:t>
      </w:r>
      <w:r>
        <w:rPr>
          <w:rFonts w:cs="Calibri"/>
        </w:rPr>
        <w:t>(standard</w:t>
      </w:r>
      <w:r w:rsidRPr="00214DCB">
        <w:rPr>
          <w:rFonts w:cs="Calibri"/>
        </w:rPr>
        <w:t xml:space="preserve"> 45x45</w:t>
      </w:r>
      <w:r>
        <w:rPr>
          <w:rFonts w:cs="Calibri"/>
        </w:rPr>
        <w:t>)</w:t>
      </w:r>
      <w:r w:rsidRPr="00214DCB">
        <w:rPr>
          <w:rFonts w:cs="Calibri"/>
        </w:rPr>
        <w:t xml:space="preserve"> mają mieć możliwość montażu mechanicznych zabezpieczeń gniazda przed dostępem</w:t>
      </w:r>
      <w:r>
        <w:rPr>
          <w:rFonts w:cs="Calibri"/>
        </w:rPr>
        <w:t xml:space="preserve"> dla osób niepowołanych.</w:t>
      </w:r>
    </w:p>
    <w:p w:rsidR="007064E5" w:rsidRDefault="007064E5" w:rsidP="007064E5">
      <w:pPr>
        <w:autoSpaceDE w:val="0"/>
        <w:autoSpaceDN w:val="0"/>
        <w:adjustRightInd w:val="0"/>
        <w:spacing w:line="276" w:lineRule="auto"/>
        <w:rPr>
          <w:rFonts w:cs="Calibri"/>
        </w:rPr>
      </w:pPr>
      <w:r w:rsidRPr="00214DCB">
        <w:rPr>
          <w:rFonts w:cs="Calibri"/>
          <w:color w:val="000000"/>
        </w:rPr>
        <w:t>Zaleca si</w:t>
      </w:r>
      <w:r w:rsidRPr="00214DCB">
        <w:rPr>
          <w:rFonts w:eastAsia="TimesNewRoman" w:cs="Calibri"/>
          <w:color w:val="000000"/>
        </w:rPr>
        <w:t xml:space="preserve">ę </w:t>
      </w:r>
      <w:r w:rsidRPr="00214DCB">
        <w:rPr>
          <w:rFonts w:cs="Calibri"/>
          <w:color w:val="000000"/>
        </w:rPr>
        <w:t xml:space="preserve">aby </w:t>
      </w:r>
      <w:r>
        <w:rPr>
          <w:rFonts w:cs="Calibri"/>
          <w:color w:val="000000"/>
        </w:rPr>
        <w:t>gniazdo abonenckie</w:t>
      </w:r>
      <w:r w:rsidRPr="00214DC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zamontowane</w:t>
      </w:r>
      <w:r w:rsidRPr="00214DCB">
        <w:rPr>
          <w:rFonts w:cs="Calibri"/>
          <w:color w:val="000000"/>
        </w:rPr>
        <w:t xml:space="preserve"> został</w:t>
      </w:r>
      <w:r>
        <w:rPr>
          <w:rFonts w:cs="Calibri"/>
          <w:color w:val="000000"/>
        </w:rPr>
        <w:t>o</w:t>
      </w:r>
      <w:r w:rsidRPr="00214DCB">
        <w:rPr>
          <w:rFonts w:cs="Calibri"/>
          <w:color w:val="000000"/>
        </w:rPr>
        <w:t xml:space="preserve"> na płycie czołowej sko</w:t>
      </w:r>
      <w:r w:rsidRPr="00214DCB">
        <w:rPr>
          <w:rFonts w:eastAsia="TimesNewRoman" w:cs="Calibri"/>
          <w:color w:val="000000"/>
        </w:rPr>
        <w:t>ś</w:t>
      </w:r>
      <w:r w:rsidRPr="00214DCB">
        <w:rPr>
          <w:rFonts w:cs="Calibri"/>
          <w:color w:val="000000"/>
        </w:rPr>
        <w:t>nej (k</w:t>
      </w:r>
      <w:r w:rsidRPr="00214DCB">
        <w:rPr>
          <w:rFonts w:eastAsia="TimesNewRoman" w:cs="Calibri"/>
          <w:color w:val="000000"/>
        </w:rPr>
        <w:t>ą</w:t>
      </w:r>
      <w:r w:rsidRPr="00214DCB">
        <w:rPr>
          <w:rFonts w:cs="Calibri"/>
          <w:color w:val="000000"/>
        </w:rPr>
        <w:t xml:space="preserve">towej, </w:t>
      </w:r>
      <w:proofErr w:type="spellStart"/>
      <w:r w:rsidRPr="00214DCB">
        <w:rPr>
          <w:rFonts w:cs="Calibri"/>
          <w:color w:val="000000"/>
        </w:rPr>
        <w:t>tj</w:t>
      </w:r>
      <w:proofErr w:type="spellEnd"/>
      <w:r w:rsidRPr="00214DCB">
        <w:rPr>
          <w:rFonts w:cs="Calibri"/>
          <w:color w:val="000000"/>
        </w:rPr>
        <w:t xml:space="preserve"> z wyprowadzeniem na dół, na skos kabli przył</w:t>
      </w:r>
      <w:r w:rsidRPr="00214DCB">
        <w:rPr>
          <w:rFonts w:eastAsia="TimesNewRoman" w:cs="Calibri"/>
          <w:color w:val="000000"/>
        </w:rPr>
        <w:t>ą</w:t>
      </w:r>
      <w:r w:rsidRPr="00214DCB">
        <w:rPr>
          <w:rFonts w:cs="Calibri"/>
          <w:color w:val="000000"/>
        </w:rPr>
        <w:t>czeniowych, za</w:t>
      </w:r>
      <w:r w:rsidRPr="00214DCB">
        <w:rPr>
          <w:rFonts w:eastAsia="TimesNewRoman" w:cs="Calibri"/>
          <w:color w:val="000000"/>
        </w:rPr>
        <w:t xml:space="preserve">ś </w:t>
      </w:r>
      <w:r w:rsidRPr="00214DCB">
        <w:rPr>
          <w:rFonts w:cs="Calibri"/>
          <w:color w:val="000000"/>
        </w:rPr>
        <w:t>do góry kabla instalacyjnego – w celu zagwarantowania najbardziej łagodnego wprowadzenia i wyprowadzenia kabli</w:t>
      </w:r>
      <w:r>
        <w:rPr>
          <w:rFonts w:cs="Calibri"/>
          <w:color w:val="000000"/>
        </w:rPr>
        <w:t>,</w:t>
      </w:r>
      <w:r w:rsidRPr="00214DCB">
        <w:rPr>
          <w:rFonts w:cs="Calibri"/>
          <w:color w:val="000000"/>
        </w:rPr>
        <w:t xml:space="preserve"> a tak</w:t>
      </w:r>
      <w:r w:rsidRPr="00214DCB">
        <w:rPr>
          <w:rFonts w:eastAsia="TimesNewRoman" w:cs="Calibri"/>
          <w:color w:val="000000"/>
        </w:rPr>
        <w:t>ż</w:t>
      </w:r>
      <w:r w:rsidRPr="00214DCB">
        <w:rPr>
          <w:rFonts w:cs="Calibri"/>
          <w:color w:val="000000"/>
        </w:rPr>
        <w:t>e zabezpieczenia przed ich załamywaniem pod wpływem własnego ci</w:t>
      </w:r>
      <w:r w:rsidRPr="00214DCB">
        <w:rPr>
          <w:rFonts w:eastAsia="TimesNewRoman" w:cs="Calibri"/>
          <w:color w:val="000000"/>
        </w:rPr>
        <w:t>ęż</w:t>
      </w:r>
      <w:r w:rsidRPr="00214DCB">
        <w:rPr>
          <w:rFonts w:cs="Calibri"/>
          <w:color w:val="000000"/>
        </w:rPr>
        <w:t>aru lub przez montera podczas instalacji). Płyta czołowa powinna posiada</w:t>
      </w:r>
      <w:r w:rsidRPr="00214DCB">
        <w:rPr>
          <w:rFonts w:eastAsia="TimesNewRoman" w:cs="Calibri"/>
          <w:color w:val="000000"/>
        </w:rPr>
        <w:t xml:space="preserve">ć zaślepkę portu </w:t>
      </w:r>
      <w:r>
        <w:rPr>
          <w:rFonts w:eastAsia="TimesNewRoman" w:cs="Calibri"/>
          <w:color w:val="000000"/>
        </w:rPr>
        <w:t>oraz powinna</w:t>
      </w:r>
      <w:r w:rsidRPr="00214DCB">
        <w:rPr>
          <w:rFonts w:eastAsia="TimesNewRoman" w:cs="Calibri"/>
          <w:color w:val="000000"/>
        </w:rPr>
        <w:t xml:space="preserve"> </w:t>
      </w:r>
      <w:r>
        <w:rPr>
          <w:rFonts w:eastAsia="TimesNewRoman" w:cs="Calibri"/>
          <w:color w:val="000000"/>
        </w:rPr>
        <w:t>umożliwiać montaż etykiety</w:t>
      </w:r>
      <w:r w:rsidRPr="00214DCB">
        <w:rPr>
          <w:rFonts w:eastAsia="TimesNewRoman" w:cs="Calibri"/>
          <w:color w:val="000000"/>
        </w:rPr>
        <w:t xml:space="preserve"> opisow</w:t>
      </w:r>
      <w:r>
        <w:rPr>
          <w:rFonts w:eastAsia="TimesNewRoman" w:cs="Calibri"/>
          <w:color w:val="000000"/>
        </w:rPr>
        <w:t>ej</w:t>
      </w:r>
      <w:r w:rsidRPr="00214DCB">
        <w:rPr>
          <w:rFonts w:cs="Calibri"/>
        </w:rPr>
        <w:t>. Płyta czołowa powinna by</w:t>
      </w:r>
      <w:r w:rsidRPr="00214DCB">
        <w:rPr>
          <w:rFonts w:eastAsia="TimesNewRoman" w:cs="Calibri"/>
        </w:rPr>
        <w:t xml:space="preserve">ć </w:t>
      </w:r>
      <w:r w:rsidRPr="00214DCB">
        <w:rPr>
          <w:rFonts w:cs="Calibri"/>
        </w:rPr>
        <w:t xml:space="preserve">zgodna ze standardem uchwytu typu </w:t>
      </w:r>
      <w:proofErr w:type="spellStart"/>
      <w:r w:rsidRPr="00214DCB">
        <w:rPr>
          <w:rFonts w:cs="Calibri"/>
        </w:rPr>
        <w:t>Mosaic</w:t>
      </w:r>
      <w:proofErr w:type="spellEnd"/>
      <w:r w:rsidRPr="00214DCB">
        <w:rPr>
          <w:rFonts w:cs="Calibri"/>
        </w:rPr>
        <w:t xml:space="preserve"> (45x45mm), celem jak najwi</w:t>
      </w:r>
      <w:r w:rsidRPr="00214DCB">
        <w:rPr>
          <w:rFonts w:eastAsia="TimesNewRoman" w:cs="Calibri"/>
        </w:rPr>
        <w:t>ę</w:t>
      </w:r>
      <w:r w:rsidRPr="00214DCB">
        <w:rPr>
          <w:rFonts w:cs="Calibri"/>
        </w:rPr>
        <w:t>kszej uniwersalno</w:t>
      </w:r>
      <w:r w:rsidRPr="00214DCB">
        <w:rPr>
          <w:rFonts w:eastAsia="TimesNewRoman" w:cs="Calibri"/>
        </w:rPr>
        <w:t>ś</w:t>
      </w:r>
      <w:r w:rsidRPr="00214DCB">
        <w:rPr>
          <w:rFonts w:cs="Calibri"/>
        </w:rPr>
        <w:t>ci i mo</w:t>
      </w:r>
      <w:r w:rsidRPr="00214DCB">
        <w:rPr>
          <w:rFonts w:eastAsia="TimesNewRoman" w:cs="Calibri"/>
        </w:rPr>
        <w:t>ż</w:t>
      </w:r>
      <w:r w:rsidRPr="00214DCB">
        <w:rPr>
          <w:rFonts w:cs="Calibri"/>
        </w:rPr>
        <w:t>liwo</w:t>
      </w:r>
      <w:r w:rsidRPr="00214DCB">
        <w:rPr>
          <w:rFonts w:eastAsia="TimesNewRoman" w:cs="Calibri"/>
        </w:rPr>
        <w:t>ś</w:t>
      </w:r>
      <w:r w:rsidRPr="00214DCB">
        <w:rPr>
          <w:rFonts w:cs="Calibri"/>
        </w:rPr>
        <w:t>ci adaptacji do dowolnego systemu i linii wzorniczej ł</w:t>
      </w:r>
      <w:r w:rsidRPr="00214DCB">
        <w:rPr>
          <w:rFonts w:eastAsia="TimesNewRoman" w:cs="Calibri"/>
        </w:rPr>
        <w:t>ą</w:t>
      </w:r>
      <w:r w:rsidRPr="00214DCB">
        <w:rPr>
          <w:rFonts w:cs="Calibri"/>
        </w:rPr>
        <w:t>czników elektroinstalacyjnych dowolnego producenta.</w:t>
      </w:r>
    </w:p>
    <w:p w:rsidR="007064E5" w:rsidRPr="00214DCB" w:rsidRDefault="007064E5" w:rsidP="007064E5">
      <w:pPr>
        <w:autoSpaceDE w:val="0"/>
        <w:autoSpaceDN w:val="0"/>
        <w:adjustRightInd w:val="0"/>
        <w:spacing w:line="276" w:lineRule="auto"/>
        <w:rPr>
          <w:rFonts w:cs="Calibri"/>
        </w:rPr>
      </w:pPr>
      <w:r w:rsidRPr="00214DCB">
        <w:rPr>
          <w:rFonts w:cs="Calibri"/>
        </w:rPr>
        <w:t>W opisan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płyt</w:t>
      </w:r>
      <w:r w:rsidRPr="00214DCB">
        <w:rPr>
          <w:rFonts w:eastAsia="TimesNewRoman" w:cs="Calibri"/>
        </w:rPr>
        <w:t xml:space="preserve">ę </w:t>
      </w:r>
      <w:r w:rsidRPr="00214DCB">
        <w:rPr>
          <w:rFonts w:cs="Calibri"/>
        </w:rPr>
        <w:t>czołow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nale</w:t>
      </w:r>
      <w:r w:rsidRPr="00214DCB">
        <w:rPr>
          <w:rFonts w:eastAsia="TimesNewRoman" w:cs="Calibri"/>
        </w:rPr>
        <w:t>ż</w:t>
      </w:r>
      <w:r w:rsidRPr="00214DCB">
        <w:rPr>
          <w:rFonts w:cs="Calibri"/>
        </w:rPr>
        <w:t>y zamontowa</w:t>
      </w:r>
      <w:r w:rsidRPr="00214DCB">
        <w:rPr>
          <w:rFonts w:eastAsia="TimesNewRoman" w:cs="Calibri"/>
        </w:rPr>
        <w:t xml:space="preserve">ć </w:t>
      </w:r>
      <w:r w:rsidRPr="00214DCB">
        <w:rPr>
          <w:rFonts w:cs="Calibri"/>
        </w:rPr>
        <w:t>jeden lub dwa nieekranowane moduły gniazd RJ45 kat.6</w:t>
      </w:r>
      <w:r w:rsidR="0071347F">
        <w:rPr>
          <w:rFonts w:cs="Calibri"/>
        </w:rPr>
        <w:t>A</w:t>
      </w:r>
      <w:r w:rsidRPr="00214DCB">
        <w:rPr>
          <w:rFonts w:cs="Calibri"/>
        </w:rPr>
        <w:t xml:space="preserve">. </w:t>
      </w:r>
      <w:r>
        <w:rPr>
          <w:rFonts w:cs="Calibri"/>
        </w:rPr>
        <w:t>Rozszycie przewodu</w:t>
      </w:r>
      <w:r w:rsidRPr="00214DCB">
        <w:rPr>
          <w:rFonts w:cs="Calibri"/>
        </w:rPr>
        <w:t xml:space="preserve"> w gnieździe i w panelu </w:t>
      </w:r>
      <w:r>
        <w:rPr>
          <w:rFonts w:cs="Calibri"/>
        </w:rPr>
        <w:t>musi być wykonane według tych samych standardów</w:t>
      </w:r>
      <w:r w:rsidRPr="00214DCB">
        <w:rPr>
          <w:rFonts w:cs="Calibri"/>
        </w:rPr>
        <w:t>.</w:t>
      </w:r>
    </w:p>
    <w:p w:rsidR="007064E5" w:rsidRDefault="007064E5" w:rsidP="007064E5">
      <w:pPr>
        <w:rPr>
          <w:rFonts w:cs="Calibri"/>
        </w:rPr>
      </w:pPr>
      <w:r w:rsidRPr="00214DCB">
        <w:rPr>
          <w:rFonts w:cs="Calibri"/>
        </w:rPr>
        <w:t>Do wyposażenia zarówno gniazd abonenckich</w:t>
      </w:r>
      <w:r>
        <w:rPr>
          <w:rFonts w:cs="Calibri"/>
        </w:rPr>
        <w:t>,</w:t>
      </w:r>
      <w:r w:rsidRPr="00214DCB">
        <w:rPr>
          <w:rFonts w:cs="Calibri"/>
        </w:rPr>
        <w:t xml:space="preserve"> jak i paneli krosowych</w:t>
      </w:r>
      <w:r>
        <w:rPr>
          <w:rFonts w:cs="Calibri"/>
        </w:rPr>
        <w:t>,</w:t>
      </w:r>
      <w:r w:rsidRPr="00214DCB">
        <w:rPr>
          <w:rFonts w:cs="Calibri"/>
        </w:rPr>
        <w:t xml:space="preserve"> w punktach dystrybucyjnych dopuszcza się użycie jednego rodzaju modułu przyłączeniowego kat.6A ISO typu RJ45</w:t>
      </w:r>
      <w:r>
        <w:rPr>
          <w:rFonts w:cs="Calibri"/>
        </w:rPr>
        <w:t>. Wymagania dotyczące modułów instalowanych w gniazdach abonenckich:</w:t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>
        <w:rPr>
          <w:rFonts w:cs="Calibri"/>
        </w:rPr>
        <w:t>Konstrukcja m</w:t>
      </w:r>
      <w:r w:rsidRPr="00214DCB">
        <w:rPr>
          <w:rFonts w:cs="Calibri"/>
        </w:rPr>
        <w:t>oduł</w:t>
      </w:r>
      <w:r>
        <w:rPr>
          <w:rFonts w:cs="Calibri"/>
        </w:rPr>
        <w:t>u</w:t>
      </w:r>
      <w:r w:rsidRPr="00214DCB">
        <w:rPr>
          <w:rFonts w:cs="Calibri"/>
        </w:rPr>
        <w:t xml:space="preserve"> musi pozwalać na pewne przytwierdzenie do niego kabla instalacyjnego za pomocą </w:t>
      </w:r>
      <w:r>
        <w:rPr>
          <w:rFonts w:cs="Calibri"/>
        </w:rPr>
        <w:t xml:space="preserve">np. </w:t>
      </w:r>
      <w:r w:rsidRPr="00214DCB">
        <w:rPr>
          <w:rFonts w:cs="Calibri"/>
        </w:rPr>
        <w:t>opaski uciskowej</w:t>
      </w:r>
      <w:r>
        <w:rPr>
          <w:rFonts w:cs="Calibri"/>
        </w:rPr>
        <w:t xml:space="preserve"> oraz</w:t>
      </w:r>
      <w:r w:rsidRPr="00214DCB">
        <w:rPr>
          <w:rFonts w:cs="Calibri"/>
        </w:rPr>
        <w:t xml:space="preserve"> </w:t>
      </w:r>
      <w:r>
        <w:rPr>
          <w:rFonts w:cs="Calibri"/>
        </w:rPr>
        <w:t>umożliwiać</w:t>
      </w:r>
      <w:r w:rsidRPr="00214DCB">
        <w:rPr>
          <w:rFonts w:cs="Calibri"/>
        </w:rPr>
        <w:t xml:space="preserve"> </w:t>
      </w:r>
      <w:r>
        <w:rPr>
          <w:rFonts w:cs="Calibri"/>
        </w:rPr>
        <w:t>rozszycie</w:t>
      </w:r>
      <w:r w:rsidRPr="00214DCB">
        <w:rPr>
          <w:rFonts w:cs="Calibri"/>
        </w:rPr>
        <w:t xml:space="preserve"> kabla instalacyjnego metodą </w:t>
      </w:r>
      <w:proofErr w:type="spellStart"/>
      <w:r w:rsidRPr="00214DCB">
        <w:rPr>
          <w:rFonts w:cs="Calibri"/>
        </w:rPr>
        <w:t>beznarzędziową</w:t>
      </w:r>
      <w:proofErr w:type="spellEnd"/>
      <w:r w:rsidRPr="00214DCB">
        <w:rPr>
          <w:rFonts w:cs="Calibri"/>
        </w:rPr>
        <w:t xml:space="preserve"> (nie wymagającą specjalistycznych narzędziach takich jak noże uderzeniowe itp.) </w:t>
      </w:r>
      <w:r w:rsidR="00663D5B">
        <w:rPr>
          <w:rFonts w:cs="Calibri"/>
        </w:rPr>
        <w:tab/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214DCB">
        <w:rPr>
          <w:rFonts w:cs="Calibri"/>
        </w:rPr>
        <w:t>Kable terminowane w module musza mieć możliwość rozszycia żył zarówno w sekwencji T568A j</w:t>
      </w:r>
      <w:r w:rsidR="00B4587C">
        <w:rPr>
          <w:rFonts w:cs="Calibri"/>
        </w:rPr>
        <w:t>aki i T568B oraz pod kątem 90 ° i 180 °</w:t>
      </w:r>
      <w:r w:rsidRPr="00214DCB">
        <w:rPr>
          <w:rFonts w:cs="Calibri"/>
        </w:rPr>
        <w:t xml:space="preserve">. </w:t>
      </w:r>
      <w:r w:rsidR="002515E5">
        <w:rPr>
          <w:rFonts w:cs="Calibri"/>
        </w:rPr>
        <w:t>oraz umożliwiać zasilanie podpiętych urządzeń zgodnie ze standardami</w:t>
      </w:r>
      <w:r w:rsidRPr="00214DCB">
        <w:rPr>
          <w:rFonts w:cs="Calibri"/>
        </w:rPr>
        <w:t xml:space="preserve"> Power </w:t>
      </w:r>
      <w:proofErr w:type="spellStart"/>
      <w:r w:rsidRPr="00214DCB">
        <w:rPr>
          <w:rFonts w:cs="Calibri"/>
        </w:rPr>
        <w:t>over</w:t>
      </w:r>
      <w:proofErr w:type="spellEnd"/>
      <w:r w:rsidRPr="00214DCB">
        <w:rPr>
          <w:rFonts w:cs="Calibri"/>
        </w:rPr>
        <w:t xml:space="preserve"> Ethernet (</w:t>
      </w:r>
      <w:proofErr w:type="spellStart"/>
      <w:r w:rsidRPr="00214DCB">
        <w:rPr>
          <w:rFonts w:cs="Calibri"/>
        </w:rPr>
        <w:t>PoE</w:t>
      </w:r>
      <w:proofErr w:type="spellEnd"/>
      <w:r w:rsidRPr="00214DCB">
        <w:rPr>
          <w:rFonts w:cs="Calibri"/>
        </w:rPr>
        <w:t xml:space="preserve">) oraz Power </w:t>
      </w:r>
      <w:proofErr w:type="spellStart"/>
      <w:r w:rsidRPr="00214DCB">
        <w:rPr>
          <w:rFonts w:cs="Calibri"/>
        </w:rPr>
        <w:t>over</w:t>
      </w:r>
      <w:proofErr w:type="spellEnd"/>
      <w:r w:rsidRPr="00214DCB">
        <w:rPr>
          <w:rFonts w:cs="Calibri"/>
        </w:rPr>
        <w:t xml:space="preserve"> Ethernet+ (</w:t>
      </w:r>
      <w:proofErr w:type="spellStart"/>
      <w:r w:rsidRPr="00214DCB">
        <w:rPr>
          <w:rFonts w:cs="Calibri"/>
        </w:rPr>
        <w:t>PoE</w:t>
      </w:r>
      <w:proofErr w:type="spellEnd"/>
      <w:r w:rsidRPr="00214DCB">
        <w:rPr>
          <w:rFonts w:cs="Calibri"/>
        </w:rPr>
        <w:t>+).</w:t>
      </w:r>
    </w:p>
    <w:p w:rsidR="007064E5" w:rsidRDefault="00663D5B" w:rsidP="007064E5">
      <w:pPr>
        <w:numPr>
          <w:ilvl w:val="1"/>
          <w:numId w:val="8"/>
        </w:numPr>
        <w:ind w:left="567"/>
        <w:rPr>
          <w:rFonts w:cs="Calibri"/>
        </w:rPr>
      </w:pPr>
      <w:r>
        <w:rPr>
          <w:rFonts w:cs="Calibri"/>
        </w:rPr>
        <w:t>Moduł m</w:t>
      </w:r>
      <w:r w:rsidR="007064E5" w:rsidRPr="00214DCB">
        <w:rPr>
          <w:rFonts w:cs="Calibri"/>
        </w:rPr>
        <w:t xml:space="preserve">usi być wyposażony w złącza IDC gwarantujące uzyskanie najwyższej jakości kontaktu modułu z żyłą kabla. </w:t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214DCB">
        <w:rPr>
          <w:rFonts w:cs="Calibri"/>
        </w:rPr>
        <w:t xml:space="preserve">Moduł musi być wyposażony w dedykowany system przeciwdziałania wpływom wibracji występujących w szczególności w punktach dystrybucyjnych. </w:t>
      </w:r>
    </w:p>
    <w:p w:rsidR="007064E5" w:rsidRPr="00A31418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214DCB">
        <w:rPr>
          <w:rFonts w:cs="Calibri"/>
        </w:rPr>
        <w:t>Moduł musi zapewniać możliwość dokonywania co najmniej 20</w:t>
      </w:r>
      <w:r>
        <w:rPr>
          <w:rFonts w:cs="Calibri"/>
        </w:rPr>
        <w:t>-</w:t>
      </w:r>
      <w:r w:rsidRPr="00214DCB">
        <w:rPr>
          <w:rFonts w:cs="Calibri"/>
        </w:rPr>
        <w:t xml:space="preserve">to krotnej </w:t>
      </w:r>
      <w:proofErr w:type="spellStart"/>
      <w:r w:rsidRPr="00214DCB">
        <w:rPr>
          <w:rFonts w:cs="Calibri"/>
        </w:rPr>
        <w:t>terminacji</w:t>
      </w:r>
      <w:proofErr w:type="spellEnd"/>
      <w:r w:rsidRPr="00214DCB">
        <w:rPr>
          <w:rFonts w:cs="Calibri"/>
        </w:rPr>
        <w:t xml:space="preserve"> kabli instalacyjnych co umożliwi korektę ewentualnych błędów instalacyjnych bez konieczności </w:t>
      </w:r>
      <w:r w:rsidRPr="00A31418">
        <w:rPr>
          <w:rFonts w:cs="Calibri"/>
        </w:rPr>
        <w:t xml:space="preserve">wymiany całego modułu oraz pozwoli na przyszłe zmiany w strukturze sieci. </w:t>
      </w:r>
    </w:p>
    <w:p w:rsidR="007064E5" w:rsidRPr="00A31418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A31418">
        <w:rPr>
          <w:rFonts w:cs="Calibri"/>
        </w:rPr>
        <w:t xml:space="preserve">Moduł musi obsługiwać protokół 10GBase-T zgodnie z IEEE 802.3an w zakresie do 500MHz i na dystansie 100m. </w:t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A31418">
        <w:rPr>
          <w:rFonts w:cs="Calibri"/>
        </w:rPr>
        <w:t>Musi charakteryzować</w:t>
      </w:r>
      <w:r w:rsidRPr="00214DCB">
        <w:rPr>
          <w:rFonts w:cs="Calibri"/>
        </w:rPr>
        <w:t xml:space="preserve"> się wsteczną kompatybilnością </w:t>
      </w:r>
      <w:r>
        <w:rPr>
          <w:rFonts w:cs="Calibri"/>
        </w:rPr>
        <w:t>do komponentów Kat.6 oraz Kat.5</w:t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>
        <w:rPr>
          <w:rFonts w:cs="Calibri"/>
        </w:rPr>
        <w:lastRenderedPageBreak/>
        <w:t xml:space="preserve">Musi </w:t>
      </w:r>
      <w:r w:rsidRPr="00214DCB">
        <w:rPr>
          <w:rFonts w:cs="Calibri"/>
        </w:rPr>
        <w:t xml:space="preserve">zapewniać możliwość </w:t>
      </w:r>
      <w:proofErr w:type="spellStart"/>
      <w:r w:rsidRPr="00214DCB">
        <w:rPr>
          <w:rFonts w:cs="Calibri"/>
        </w:rPr>
        <w:t>terminacji</w:t>
      </w:r>
      <w:proofErr w:type="spellEnd"/>
      <w:r w:rsidRPr="00214DCB">
        <w:rPr>
          <w:rFonts w:cs="Calibri"/>
        </w:rPr>
        <w:t xml:space="preserve"> kabla w zakresie średnicy żył AWG</w:t>
      </w:r>
      <w:r w:rsidR="006C3F83">
        <w:rPr>
          <w:rFonts w:cs="Calibri"/>
        </w:rPr>
        <w:t xml:space="preserve"> </w:t>
      </w:r>
      <w:r w:rsidRPr="00214DCB">
        <w:rPr>
          <w:rFonts w:cs="Calibri"/>
        </w:rPr>
        <w:t xml:space="preserve">26 – 22 (0,4 – 0,65 mm) oraz kabli typu linka AWG 26/7 – 22/7). </w:t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214DCB">
        <w:rPr>
          <w:rFonts w:cs="Calibri"/>
        </w:rPr>
        <w:t>Moduł musi być testowany w procesie wytwarzania na 100% próbek.</w:t>
      </w:r>
    </w:p>
    <w:p w:rsidR="007064E5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CD1DEB">
        <w:rPr>
          <w:rFonts w:cs="Calibri"/>
        </w:rPr>
        <w:t>Moduł w gnieździe i w panelu powinien mieć taką samą konstrukcję i być odporny, na co najmniej 1000 cykli łączeniowych (podłączania do niego wtyku RJ45).</w:t>
      </w:r>
    </w:p>
    <w:p w:rsidR="007064E5" w:rsidRPr="00CD1DEB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214DCB">
        <w:rPr>
          <w:rFonts w:cs="Calibri"/>
          <w:bCs/>
          <w:kern w:val="32"/>
        </w:rPr>
        <w:t>Standaryzacje</w:t>
      </w:r>
      <w:r>
        <w:rPr>
          <w:rFonts w:cs="Calibri"/>
          <w:bCs/>
          <w:kern w:val="32"/>
        </w:rPr>
        <w:t xml:space="preserve">: </w:t>
      </w:r>
      <w:r w:rsidRPr="00CD1DEB">
        <w:rPr>
          <w:rFonts w:cs="Calibri"/>
          <w:bCs/>
          <w:kern w:val="32"/>
        </w:rPr>
        <w:t xml:space="preserve">IEC 60603-7: </w:t>
      </w:r>
      <w:proofErr w:type="spellStart"/>
      <w:r w:rsidRPr="00CD1DEB">
        <w:rPr>
          <w:rFonts w:cs="Calibri"/>
          <w:bCs/>
          <w:kern w:val="32"/>
        </w:rPr>
        <w:t>Electrical</w:t>
      </w:r>
      <w:proofErr w:type="spellEnd"/>
      <w:r w:rsidRPr="00CD1DEB">
        <w:rPr>
          <w:rFonts w:cs="Calibri"/>
          <w:bCs/>
          <w:kern w:val="32"/>
        </w:rPr>
        <w:t xml:space="preserve"> </w:t>
      </w:r>
      <w:proofErr w:type="spellStart"/>
      <w:r w:rsidRPr="00CD1DEB">
        <w:rPr>
          <w:rFonts w:cs="Calibri"/>
          <w:bCs/>
          <w:kern w:val="32"/>
        </w:rPr>
        <w:t>Characteristics</w:t>
      </w:r>
      <w:proofErr w:type="spellEnd"/>
      <w:r w:rsidRPr="00CD1DEB">
        <w:rPr>
          <w:rFonts w:cs="Calibri"/>
          <w:bCs/>
          <w:kern w:val="32"/>
        </w:rPr>
        <w:t xml:space="preserve"> of the </w:t>
      </w:r>
      <w:proofErr w:type="spellStart"/>
      <w:r w:rsidRPr="00CD1DEB">
        <w:rPr>
          <w:rFonts w:cs="Calibri"/>
          <w:bCs/>
          <w:kern w:val="32"/>
        </w:rPr>
        <w:t>Telecommu</w:t>
      </w:r>
      <w:r w:rsidR="00EC5032">
        <w:rPr>
          <w:rFonts w:cs="Calibri"/>
          <w:bCs/>
          <w:kern w:val="32"/>
        </w:rPr>
        <w:t>nication</w:t>
      </w:r>
      <w:proofErr w:type="spellEnd"/>
      <w:r w:rsidR="00EC5032">
        <w:rPr>
          <w:rFonts w:cs="Calibri"/>
          <w:bCs/>
          <w:kern w:val="32"/>
        </w:rPr>
        <w:t xml:space="preserve"> </w:t>
      </w:r>
      <w:proofErr w:type="spellStart"/>
      <w:r w:rsidR="00EC5032">
        <w:rPr>
          <w:rFonts w:cs="Calibri"/>
          <w:bCs/>
          <w:kern w:val="32"/>
        </w:rPr>
        <w:t>Outlets</w:t>
      </w:r>
      <w:proofErr w:type="spellEnd"/>
      <w:r w:rsidR="00EC5032">
        <w:rPr>
          <w:rFonts w:cs="Calibri"/>
          <w:bCs/>
          <w:kern w:val="32"/>
        </w:rPr>
        <w:t xml:space="preserve"> ISO/IEC 11801</w:t>
      </w:r>
    </w:p>
    <w:p w:rsidR="007064E5" w:rsidRPr="00CD1DEB" w:rsidRDefault="004865D1" w:rsidP="007064E5">
      <w:pPr>
        <w:numPr>
          <w:ilvl w:val="1"/>
          <w:numId w:val="8"/>
        </w:numPr>
        <w:ind w:left="567"/>
        <w:rPr>
          <w:rFonts w:cs="Calibri"/>
        </w:rPr>
      </w:pPr>
      <w:r>
        <w:rPr>
          <w:rFonts w:cs="Calibri"/>
          <w:bCs/>
          <w:kern w:val="32"/>
        </w:rPr>
        <w:t>Typ złącza</w:t>
      </w:r>
      <w:r w:rsidR="007064E5">
        <w:rPr>
          <w:rFonts w:cs="Calibri"/>
          <w:bCs/>
          <w:kern w:val="32"/>
        </w:rPr>
        <w:t xml:space="preserve">: </w:t>
      </w:r>
      <w:r w:rsidR="007064E5" w:rsidRPr="00214DCB">
        <w:rPr>
          <w:rFonts w:cs="Calibri"/>
          <w:bCs/>
          <w:kern w:val="32"/>
        </w:rPr>
        <w:t>RJ45</w:t>
      </w:r>
    </w:p>
    <w:p w:rsidR="007064E5" w:rsidRPr="00CD1DEB" w:rsidRDefault="004865D1" w:rsidP="007064E5">
      <w:pPr>
        <w:numPr>
          <w:ilvl w:val="1"/>
          <w:numId w:val="8"/>
        </w:numPr>
        <w:ind w:left="567"/>
        <w:rPr>
          <w:rFonts w:cs="Calibri"/>
        </w:rPr>
      </w:pPr>
      <w:r>
        <w:rPr>
          <w:rFonts w:cs="Calibri"/>
          <w:bCs/>
          <w:kern w:val="32"/>
        </w:rPr>
        <w:t>Kategoria złącza</w:t>
      </w:r>
      <w:r w:rsidR="007064E5">
        <w:rPr>
          <w:rFonts w:cs="Calibri"/>
          <w:bCs/>
          <w:kern w:val="32"/>
        </w:rPr>
        <w:t xml:space="preserve">: </w:t>
      </w:r>
      <w:r w:rsidR="007064E5" w:rsidRPr="00214DCB">
        <w:rPr>
          <w:rFonts w:cs="Calibri"/>
          <w:bCs/>
          <w:kern w:val="32"/>
        </w:rPr>
        <w:t>Kat.6A (wg ISO)</w:t>
      </w:r>
      <w:r w:rsidR="007064E5">
        <w:rPr>
          <w:rFonts w:cs="Calibri"/>
          <w:bCs/>
          <w:kern w:val="32"/>
        </w:rPr>
        <w:t xml:space="preserve"> nieekranowane;</w:t>
      </w:r>
    </w:p>
    <w:p w:rsidR="007064E5" w:rsidRPr="00CD1DEB" w:rsidRDefault="007064E5" w:rsidP="007064E5">
      <w:pPr>
        <w:numPr>
          <w:ilvl w:val="1"/>
          <w:numId w:val="8"/>
        </w:numPr>
        <w:ind w:left="567"/>
        <w:rPr>
          <w:rFonts w:cs="Calibri"/>
        </w:rPr>
      </w:pPr>
      <w:r w:rsidRPr="00214DCB">
        <w:rPr>
          <w:rFonts w:cs="Calibri"/>
          <w:bCs/>
          <w:kern w:val="32"/>
        </w:rPr>
        <w:t>Rozszycie żył</w:t>
      </w:r>
      <w:r>
        <w:rPr>
          <w:rFonts w:cs="Calibri"/>
          <w:bCs/>
          <w:kern w:val="32"/>
        </w:rPr>
        <w:t xml:space="preserve">: </w:t>
      </w:r>
      <w:r w:rsidRPr="00214DCB">
        <w:rPr>
          <w:rFonts w:cs="Calibri"/>
          <w:bCs/>
          <w:kern w:val="32"/>
          <w:lang w:val="it-IT"/>
        </w:rPr>
        <w:t xml:space="preserve">EIA/TIA </w:t>
      </w:r>
      <w:r w:rsidR="004865D1">
        <w:rPr>
          <w:rFonts w:cs="Calibri"/>
          <w:bCs/>
          <w:kern w:val="32"/>
          <w:lang w:val="it-IT"/>
        </w:rPr>
        <w:t xml:space="preserve">568A </w:t>
      </w:r>
      <w:r w:rsidRPr="00214DCB">
        <w:rPr>
          <w:rFonts w:cs="Calibri"/>
          <w:bCs/>
          <w:kern w:val="32"/>
          <w:lang w:val="it-IT"/>
        </w:rPr>
        <w:t xml:space="preserve"> EIA/TIA 568B</w:t>
      </w:r>
      <w:r>
        <w:rPr>
          <w:rFonts w:cs="Calibri"/>
          <w:bCs/>
          <w:kern w:val="32"/>
          <w:lang w:val="it-IT"/>
        </w:rPr>
        <w:t>;</w:t>
      </w:r>
    </w:p>
    <w:p w:rsidR="007064E5" w:rsidRDefault="00877190" w:rsidP="007064E5">
      <w:pPr>
        <w:pStyle w:val="Bezodstpw1"/>
      </w:pPr>
      <w:r>
        <w:t>Zestawienie gniazd abonenckich</w:t>
      </w:r>
      <w:r w:rsidR="00D7746F">
        <w:t xml:space="preserve"> </w:t>
      </w:r>
      <w:r w:rsidR="00D7746F">
        <w:t>(lokalizacja, liczba i oznaczenia)</w:t>
      </w:r>
      <w:r>
        <w:t>:</w:t>
      </w:r>
    </w:p>
    <w:p w:rsidR="00877190" w:rsidRDefault="00877190" w:rsidP="007064E5">
      <w:pPr>
        <w:pStyle w:val="Bezodstpw1"/>
      </w:pPr>
    </w:p>
    <w:p w:rsidR="00877190" w:rsidRDefault="00877190" w:rsidP="007064E5">
      <w:pPr>
        <w:pStyle w:val="Bezodstpw1"/>
      </w:pPr>
      <w:r>
        <w:t>3.1.1 Część pierwsza</w:t>
      </w:r>
    </w:p>
    <w:p w:rsidR="00877190" w:rsidRDefault="00877190" w:rsidP="007064E5">
      <w:pPr>
        <w:pStyle w:val="Bezodstpw1"/>
      </w:pPr>
    </w:p>
    <w:tbl>
      <w:tblPr>
        <w:tblW w:w="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971"/>
        <w:gridCol w:w="1466"/>
        <w:gridCol w:w="941"/>
      </w:tblGrid>
      <w:tr w:rsidR="00877190" w:rsidRPr="00877190" w:rsidTr="00877190">
        <w:trPr>
          <w:trHeight w:val="300"/>
          <w:jc w:val="center"/>
        </w:trPr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Część 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Parter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Numer pomieszczenia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PELi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Węzeł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003a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007a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018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Piętro 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Numer pomieszczenia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PELi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Węzeł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103a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105a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107a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131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133a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KS1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KS2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01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90" w:rsidRPr="00877190" w:rsidRDefault="00877190" w:rsidP="00877190">
            <w:pPr>
              <w:spacing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90" w:rsidRPr="00877190" w:rsidRDefault="00877190" w:rsidP="00877190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190" w:rsidRPr="00877190" w:rsidRDefault="00877190" w:rsidP="00877190">
            <w:pPr>
              <w:spacing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877190" w:rsidRDefault="00877190" w:rsidP="00877190">
      <w:pPr>
        <w:pStyle w:val="Bezodstpw1"/>
        <w:jc w:val="center"/>
      </w:pPr>
    </w:p>
    <w:p w:rsidR="006A1C2D" w:rsidRDefault="006A1C2D" w:rsidP="007064E5">
      <w:pPr>
        <w:pStyle w:val="Bezodstpw1"/>
      </w:pPr>
    </w:p>
    <w:p w:rsidR="006A1C2D" w:rsidRDefault="00877190" w:rsidP="007064E5">
      <w:pPr>
        <w:pStyle w:val="Bezodstpw1"/>
      </w:pPr>
      <w:r>
        <w:t xml:space="preserve">3.1.2 </w:t>
      </w:r>
      <w:r>
        <w:tab/>
        <w:t>Część druga</w:t>
      </w:r>
    </w:p>
    <w:p w:rsidR="00877190" w:rsidRDefault="00877190" w:rsidP="007064E5">
      <w:pPr>
        <w:pStyle w:val="Bezodstpw1"/>
      </w:pPr>
    </w:p>
    <w:tbl>
      <w:tblPr>
        <w:tblW w:w="5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847"/>
        <w:gridCol w:w="1185"/>
        <w:gridCol w:w="1447"/>
      </w:tblGrid>
      <w:tr w:rsidR="00877190" w:rsidRPr="00877190" w:rsidTr="00877190">
        <w:trPr>
          <w:trHeight w:val="300"/>
          <w:jc w:val="center"/>
        </w:trPr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Część 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Pietro 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Numer pomieszczenia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PELi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Węzeł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203a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203b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 xml:space="preserve">204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216a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Punkt Obsługi Czytelnika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02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77190" w:rsidRPr="00877190" w:rsidTr="00877190">
        <w:trPr>
          <w:trHeight w:val="900"/>
          <w:jc w:val="center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Połączenie międzywęzłowe LPD 02 - LPD 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LPD02-LPD00</w:t>
            </w:r>
          </w:p>
        </w:tc>
      </w:tr>
    </w:tbl>
    <w:p w:rsidR="00877190" w:rsidRDefault="00877190" w:rsidP="007064E5">
      <w:pPr>
        <w:pStyle w:val="Bezodstpw1"/>
      </w:pPr>
    </w:p>
    <w:p w:rsidR="00877190" w:rsidRDefault="00877190" w:rsidP="007064E5">
      <w:pPr>
        <w:pStyle w:val="Bezodstpw1"/>
      </w:pPr>
    </w:p>
    <w:p w:rsidR="00877190" w:rsidRDefault="00877190" w:rsidP="00877190">
      <w:pPr>
        <w:pStyle w:val="Bezodstpw1"/>
      </w:pPr>
      <w:r>
        <w:t xml:space="preserve">3.1.3 </w:t>
      </w:r>
      <w:r>
        <w:tab/>
        <w:t>Część trzecia</w:t>
      </w:r>
    </w:p>
    <w:p w:rsidR="00877190" w:rsidRDefault="00877190" w:rsidP="00877190">
      <w:pPr>
        <w:pStyle w:val="Bezodstpw1"/>
      </w:pPr>
    </w:p>
    <w:tbl>
      <w:tblPr>
        <w:tblW w:w="5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3142"/>
        <w:gridCol w:w="1381"/>
        <w:gridCol w:w="886"/>
      </w:tblGrid>
      <w:tr w:rsidR="00877190" w:rsidRPr="00877190" w:rsidTr="00877190">
        <w:trPr>
          <w:trHeight w:val="300"/>
          <w:jc w:val="center"/>
        </w:trPr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Część 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Pietro 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Numer pomieszczenia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PELi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Węzeł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Punkt Obsługi Czytelnika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Pietro 4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Numer pomieszczenia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Liczba </w:t>
            </w:r>
            <w:proofErr w:type="spellStart"/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PELi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Węzeł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Pomieszczenia magazynu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LPD 03</w:t>
            </w:r>
          </w:p>
        </w:tc>
      </w:tr>
      <w:tr w:rsidR="00877190" w:rsidRPr="00877190" w:rsidTr="00877190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190" w:rsidRPr="00877190" w:rsidRDefault="00877190" w:rsidP="00877190">
            <w:pPr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7719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877190" w:rsidRDefault="00877190" w:rsidP="00877190">
      <w:pPr>
        <w:pStyle w:val="Bezodstpw1"/>
      </w:pPr>
    </w:p>
    <w:p w:rsidR="00877190" w:rsidRDefault="00877190" w:rsidP="007064E5">
      <w:pPr>
        <w:pStyle w:val="Bezodstpw1"/>
      </w:pPr>
    </w:p>
    <w:p w:rsidR="00877190" w:rsidRDefault="00877190" w:rsidP="007064E5">
      <w:pPr>
        <w:pStyle w:val="Bezodstpw1"/>
      </w:pPr>
    </w:p>
    <w:p w:rsidR="006A1C2D" w:rsidRDefault="006A1C2D" w:rsidP="006A1C2D">
      <w:pPr>
        <w:pStyle w:val="Nagwek2"/>
        <w:rPr>
          <w:lang w:val="pl-PL"/>
        </w:rPr>
      </w:pPr>
      <w:r>
        <w:rPr>
          <w:lang w:val="pl-PL"/>
        </w:rPr>
        <w:t xml:space="preserve">Gniazda </w:t>
      </w:r>
      <w:r w:rsidR="00764887">
        <w:rPr>
          <w:lang w:val="pl-PL"/>
        </w:rPr>
        <w:t>Wi-F</w:t>
      </w:r>
      <w:r>
        <w:rPr>
          <w:lang w:val="pl-PL"/>
        </w:rPr>
        <w:t>i</w:t>
      </w:r>
    </w:p>
    <w:p w:rsidR="00A3176C" w:rsidRPr="00A3176C" w:rsidRDefault="00877190" w:rsidP="00171639">
      <w:pPr>
        <w:ind w:firstLine="450"/>
      </w:pPr>
      <w:r>
        <w:t xml:space="preserve">Nie przewiduje się montażu przyłączy dla </w:t>
      </w:r>
      <w:proofErr w:type="spellStart"/>
      <w:r>
        <w:t>WiFi</w:t>
      </w:r>
      <w:proofErr w:type="spellEnd"/>
    </w:p>
    <w:p w:rsidR="006A1C2D" w:rsidRPr="00D46449" w:rsidRDefault="006A1C2D" w:rsidP="007064E5">
      <w:pPr>
        <w:pStyle w:val="Bezodstpw1"/>
      </w:pPr>
    </w:p>
    <w:p w:rsidR="007064E5" w:rsidRDefault="007064E5" w:rsidP="007064E5">
      <w:pPr>
        <w:pStyle w:val="Nagwek2"/>
      </w:pPr>
      <w:r>
        <w:rPr>
          <w:lang w:val="pl-PL"/>
        </w:rPr>
        <w:t>Trasy okablowania.</w:t>
      </w:r>
    </w:p>
    <w:p w:rsidR="007064E5" w:rsidRPr="00B324FE" w:rsidRDefault="007064E5" w:rsidP="008B2DC3">
      <w:pPr>
        <w:ind w:firstLine="450"/>
      </w:pPr>
      <w:r w:rsidRPr="00B324FE">
        <w:t xml:space="preserve">Dla okablowanie poziomego </w:t>
      </w:r>
      <w:r w:rsidR="00910074">
        <w:t>przewidywana</w:t>
      </w:r>
      <w:r w:rsidRPr="00B324FE">
        <w:t xml:space="preserve"> jest instalacja tras kablowych w </w:t>
      </w:r>
      <w:r w:rsidR="00AD7CD6">
        <w:t xml:space="preserve">pomieszczeniach oraz w przestrzeni nad sufitem podwieszanym. </w:t>
      </w:r>
      <w:r w:rsidR="00910074">
        <w:t xml:space="preserve">Trasy </w:t>
      </w:r>
      <w:r w:rsidR="00AD7CD6">
        <w:t xml:space="preserve">muszą </w:t>
      </w:r>
      <w:r w:rsidR="00910074">
        <w:t>być prowadzone w plastikowych listwach instalacyjnych w pomieszczeniach, na ścianie nad drzwiami</w:t>
      </w:r>
      <w:r w:rsidR="00B3760B">
        <w:t xml:space="preserve"> </w:t>
      </w:r>
      <w:r w:rsidR="00AD7CD6">
        <w:t>lub</w:t>
      </w:r>
      <w:r w:rsidR="00B3760B">
        <w:t xml:space="preserve"> na ścianach pod oknami</w:t>
      </w:r>
      <w:r w:rsidR="00910074">
        <w:t xml:space="preserve">. </w:t>
      </w:r>
      <w:r w:rsidR="00AD7CD6">
        <w:t>Przybliżony układ</w:t>
      </w:r>
      <w:r w:rsidRPr="00B324FE">
        <w:t xml:space="preserve"> pomieszczeń</w:t>
      </w:r>
      <w:r>
        <w:t>,</w:t>
      </w:r>
      <w:r w:rsidRPr="00B324FE">
        <w:t xml:space="preserve"> </w:t>
      </w:r>
      <w:r w:rsidR="003E01A0">
        <w:t>wraz z parametrami dotyczącymi odległości</w:t>
      </w:r>
      <w:r>
        <w:t xml:space="preserve"> jest</w:t>
      </w:r>
      <w:r w:rsidRPr="00B324FE">
        <w:t xml:space="preserve"> przedstawiony w rzutach dla poszczególnych pięter, znajdujących się w pliku </w:t>
      </w:r>
      <w:r w:rsidR="004D36A1">
        <w:t xml:space="preserve">„Załącznik </w:t>
      </w:r>
      <w:r w:rsidR="008B2DC3">
        <w:t>9</w:t>
      </w:r>
      <w:r>
        <w:t xml:space="preserve">. </w:t>
      </w:r>
      <w:r w:rsidRPr="00B324FE">
        <w:t xml:space="preserve">D Collegium </w:t>
      </w:r>
      <w:proofErr w:type="spellStart"/>
      <w:r w:rsidRPr="00B324FE">
        <w:t>Altum</w:t>
      </w:r>
      <w:proofErr w:type="spellEnd"/>
      <w:r w:rsidRPr="00B324FE">
        <w:t xml:space="preserve"> </w:t>
      </w:r>
      <w:r w:rsidR="00AD7CD6">
        <w:t>-1-4</w:t>
      </w:r>
      <w:r w:rsidRPr="00B324FE">
        <w:t>.rar</w:t>
      </w:r>
      <w:r>
        <w:t>”</w:t>
      </w:r>
      <w:r w:rsidRPr="00B324FE">
        <w:t>.</w:t>
      </w:r>
      <w:r w:rsidR="00980A66">
        <w:t xml:space="preserve"> Są to rysunki poglądowego, część zmian w układzie pomieszczeń nie została uwzględniona.</w:t>
      </w:r>
      <w:r w:rsidR="00910074">
        <w:t xml:space="preserve"> </w:t>
      </w:r>
      <w:r w:rsidR="00454568">
        <w:t xml:space="preserve">Na </w:t>
      </w:r>
      <w:r w:rsidR="00980A66">
        <w:t>szkicach</w:t>
      </w:r>
      <w:r w:rsidR="00454568">
        <w:t xml:space="preserve"> widoczne są również istniejące przyłącza. W pomieszczeniach w których będą montowane przyłącza nowego systemu okablowania strukturalnego, stare przyłącza będą demontowane. Dokła</w:t>
      </w:r>
      <w:r w:rsidR="00AD7CD6">
        <w:t>dny</w:t>
      </w:r>
      <w:r w:rsidR="00454568">
        <w:t xml:space="preserve"> sposób</w:t>
      </w:r>
      <w:r w:rsidR="00F501A0">
        <w:t>, rodzaj</w:t>
      </w:r>
      <w:r w:rsidR="00910074">
        <w:t xml:space="preserve"> i miejsca prowadzenia tras </w:t>
      </w:r>
      <w:r w:rsidR="00AD7CD6">
        <w:t xml:space="preserve">należy uzgodnić z </w:t>
      </w:r>
      <w:r w:rsidR="00910074">
        <w:t>Zamawiając</w:t>
      </w:r>
      <w:r w:rsidR="00AD7CD6">
        <w:t>ym</w:t>
      </w:r>
      <w:r w:rsidR="00F501A0">
        <w:t xml:space="preserve"> przed przystąpieniem do prac</w:t>
      </w:r>
      <w:r w:rsidR="00910074">
        <w:t>.</w:t>
      </w:r>
    </w:p>
    <w:p w:rsidR="007064E5" w:rsidRPr="00B324FE" w:rsidRDefault="007064E5" w:rsidP="007064E5">
      <w:r w:rsidRPr="00B324FE">
        <w:t>Trasy okablowania muszą być ułożone w taki sposób, aby chronić kable przed bezpośrednim uszkodzeniem i naciskiem. Wszystkie kable muszą być umieszczone zgodnie z wytycznymi producenta tak, aby nie były narażone na działania obniżające wymaganą jakość transmisji sygnału z zachowaniem właściwego, zalecanego przez producenta, promienia gięcia.</w:t>
      </w:r>
      <w:r>
        <w:t xml:space="preserve"> </w:t>
      </w:r>
      <w:r w:rsidRPr="00B324FE">
        <w:t>Trasy prowadzone będą natynkowo na ścianach oraz w przestrzeni nad sufitem podwieszanym.</w:t>
      </w:r>
      <w:r>
        <w:t xml:space="preserve"> </w:t>
      </w:r>
      <w:r w:rsidRPr="00B324FE">
        <w:t>Zamawiający nie przewiduje instalacji tras podtynkowych</w:t>
      </w:r>
      <w:r>
        <w:t>.</w:t>
      </w:r>
    </w:p>
    <w:p w:rsidR="007064E5" w:rsidRPr="00B324FE" w:rsidRDefault="007064E5" w:rsidP="007064E5">
      <w:r w:rsidRPr="00B324FE">
        <w:t>Tam gdzie jest to wymagane przez producenta, kanały i listwy instalacyjne powinny zawierać przegrodę oddzielającą kable zasilające od kabli system okablowania strukturalnego.</w:t>
      </w:r>
    </w:p>
    <w:p w:rsidR="007064E5" w:rsidRPr="00B324FE" w:rsidRDefault="007064E5" w:rsidP="007064E5">
      <w:r w:rsidRPr="00B324FE">
        <w:t xml:space="preserve">Przekrój kanałów i korytek instalacyjnych należy dobrać tak aby liczba przewodów układana w ramach zamówienia nie przekraczała </w:t>
      </w:r>
      <w:r>
        <w:t>60</w:t>
      </w:r>
      <w:r w:rsidRPr="00B324FE">
        <w:t xml:space="preserve">% objętości przekroju poprzecznego </w:t>
      </w:r>
      <w:r w:rsidR="00BF734A">
        <w:t>kanału lub listwy instalacyjnej oraz aby ich szerokość i wysokość umożliwiała w przyszłości dołożenie kolejnych przewodów.</w:t>
      </w:r>
    </w:p>
    <w:p w:rsidR="007064E5" w:rsidRPr="00B324FE" w:rsidRDefault="007064E5" w:rsidP="007064E5">
      <w:r w:rsidRPr="00B324FE">
        <w:t xml:space="preserve">Okablowanie układane w przestrzeni nad sufitem w musi być ułożone w kanale </w:t>
      </w:r>
      <w:r>
        <w:t>kablowym,</w:t>
      </w:r>
      <w:r w:rsidRPr="00B324FE">
        <w:t xml:space="preserve"> który jest przymocowany bezpośrednio do sufitu </w:t>
      </w:r>
      <w:r>
        <w:t xml:space="preserve">właściwego </w:t>
      </w:r>
      <w:r w:rsidRPr="00B324FE">
        <w:t>lub ściany.</w:t>
      </w:r>
    </w:p>
    <w:p w:rsidR="00010DE6" w:rsidRDefault="007064E5" w:rsidP="007064E5">
      <w:r w:rsidRPr="00B324FE">
        <w:t xml:space="preserve">Na potrzeby wprowadzenia przewodów do węzłów </w:t>
      </w:r>
      <w:r>
        <w:t xml:space="preserve">sieci (punktów dystrybucyjnych), </w:t>
      </w:r>
      <w:r w:rsidRPr="00B324FE">
        <w:t>znajdujących się w szachtach wentylacyjnych</w:t>
      </w:r>
      <w:r>
        <w:t>,</w:t>
      </w:r>
      <w:r w:rsidRPr="00B324FE">
        <w:t xml:space="preserve"> Zamawiający przygot</w:t>
      </w:r>
      <w:r w:rsidR="00B82DD7">
        <w:t>owano</w:t>
      </w:r>
      <w:r w:rsidRPr="00B324FE">
        <w:t xml:space="preserve"> po trzy otwory fi 100 na każdym piętrze</w:t>
      </w:r>
      <w:r w:rsidR="00B82DD7">
        <w:t xml:space="preserve">, </w:t>
      </w:r>
      <w:r w:rsidRPr="00B324FE">
        <w:t>które po zakończeniu prac Wykonawca zabezpieczy zgodnie z przepisami ppoż.</w:t>
      </w:r>
      <w:r w:rsidR="00CB2875">
        <w:t xml:space="preserve"> </w:t>
      </w:r>
    </w:p>
    <w:p w:rsidR="007064E5" w:rsidRDefault="007064E5" w:rsidP="007064E5">
      <w:pPr>
        <w:pStyle w:val="Nagwek1"/>
        <w:rPr>
          <w:lang w:val="pl-PL"/>
        </w:rPr>
      </w:pPr>
      <w:r>
        <w:rPr>
          <w:lang w:val="pl-PL"/>
        </w:rPr>
        <w:lastRenderedPageBreak/>
        <w:t>Węzły okablowania (punkty dystrybucyjne).</w:t>
      </w:r>
    </w:p>
    <w:p w:rsidR="00B82DD7" w:rsidRDefault="00B82DD7" w:rsidP="00B82DD7">
      <w:pPr>
        <w:ind w:firstLine="450"/>
      </w:pPr>
      <w:r>
        <w:t>W</w:t>
      </w:r>
      <w:r w:rsidR="009069AE">
        <w:t xml:space="preserve"> ramach zamówienia </w:t>
      </w:r>
      <w:r>
        <w:t xml:space="preserve">okablowanie powinno zbiegać się w przypisanych dla poszczególnych pięter </w:t>
      </w:r>
      <w:r w:rsidR="009069AE">
        <w:t>p</w:t>
      </w:r>
      <w:r>
        <w:t>unktach</w:t>
      </w:r>
      <w:r w:rsidR="007064E5" w:rsidRPr="00E32738">
        <w:t xml:space="preserve"> dystrybu</w:t>
      </w:r>
      <w:r>
        <w:t>cyjnych,</w:t>
      </w:r>
      <w:r w:rsidR="009069AE">
        <w:t xml:space="preserve"> </w:t>
      </w:r>
      <w:r>
        <w:t>zlokalizowanych</w:t>
      </w:r>
      <w:r w:rsidR="007064E5" w:rsidRPr="00E32738">
        <w:t xml:space="preserve"> w szach</w:t>
      </w:r>
      <w:r w:rsidR="009069AE">
        <w:t>tach</w:t>
      </w:r>
      <w:r w:rsidR="007064E5" w:rsidRPr="00E32738">
        <w:t xml:space="preserve"> wentylacyjny</w:t>
      </w:r>
      <w:r w:rsidR="009069AE">
        <w:t>ch</w:t>
      </w:r>
      <w:r w:rsidR="007064E5" w:rsidRPr="00E32738">
        <w:t xml:space="preserve"> na piętrach</w:t>
      </w:r>
      <w:r w:rsidR="007064E5">
        <w:t xml:space="preserve"> – </w:t>
      </w:r>
      <w:r>
        <w:t>1, 2 i 3.</w:t>
      </w:r>
    </w:p>
    <w:p w:rsidR="006335C1" w:rsidRDefault="004D4B9A" w:rsidP="006335C1">
      <w:r>
        <w:t>L</w:t>
      </w:r>
      <w:r w:rsidR="008B7E53">
        <w:t xml:space="preserve">okalizacje </w:t>
      </w:r>
      <w:r w:rsidR="006335C1">
        <w:t xml:space="preserve">poszczególnych </w:t>
      </w:r>
      <w:r w:rsidR="008B7E53">
        <w:t xml:space="preserve">węzłów okablowania </w:t>
      </w:r>
      <w:r w:rsidR="006335C1">
        <w:t>oraz zasilane przez nie piętra:</w:t>
      </w:r>
    </w:p>
    <w:p w:rsidR="006335C1" w:rsidRDefault="006335C1" w:rsidP="006335C1"/>
    <w:tbl>
      <w:tblPr>
        <w:tblW w:w="4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746"/>
        <w:gridCol w:w="952"/>
        <w:gridCol w:w="2104"/>
      </w:tblGrid>
      <w:tr w:rsidR="006335C1" w:rsidRPr="006335C1" w:rsidTr="00B82DD7">
        <w:trPr>
          <w:trHeight w:val="63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Pietro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Nazwa węzła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Obsługiwane piętra</w:t>
            </w:r>
          </w:p>
        </w:tc>
      </w:tr>
      <w:tr w:rsidR="006335C1" w:rsidRPr="006335C1" w:rsidTr="00B82DD7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B82DD7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6335C1" w:rsidP="00B82DD7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LPD 0</w:t>
            </w:r>
            <w:r w:rsidR="00B82DD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B82DD7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Parter i 1 Piętro</w:t>
            </w:r>
          </w:p>
        </w:tc>
      </w:tr>
      <w:tr w:rsidR="006335C1" w:rsidRPr="006335C1" w:rsidTr="00B82DD7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B82DD7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6335C1" w:rsidP="00B82DD7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LPD 0</w:t>
            </w:r>
            <w:r w:rsidR="00B82DD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B82DD7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 piętro i połączenie do węzła LPD 00</w:t>
            </w:r>
            <w:r w:rsidR="00877190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 (poziom -1)</w:t>
            </w:r>
          </w:p>
        </w:tc>
      </w:tr>
      <w:tr w:rsidR="006335C1" w:rsidRPr="006335C1" w:rsidTr="00B82DD7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6335C1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6335C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B82DD7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5C1" w:rsidRPr="006335C1" w:rsidRDefault="00B82DD7" w:rsidP="006335C1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LPD 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DD7" w:rsidRPr="006335C1" w:rsidRDefault="00B82DD7" w:rsidP="00B82DD7">
            <w:pPr>
              <w:spacing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Piętro 3 i 4</w:t>
            </w:r>
          </w:p>
        </w:tc>
      </w:tr>
    </w:tbl>
    <w:p w:rsidR="006335C1" w:rsidRDefault="006335C1" w:rsidP="006335C1">
      <w:pPr>
        <w:jc w:val="center"/>
      </w:pPr>
    </w:p>
    <w:p w:rsidR="006335C1" w:rsidRDefault="008B7E53" w:rsidP="006335C1">
      <w:r>
        <w:t>Szczegóły dotyczące rozmieszczeni</w:t>
      </w:r>
      <w:r w:rsidR="006335C1">
        <w:t>a</w:t>
      </w:r>
      <w:r>
        <w:t xml:space="preserve"> elementów pasywnych okablowania strukturalnego </w:t>
      </w:r>
      <w:r w:rsidR="006335C1">
        <w:t>dla poszczególnych węzłów należy uzgodnić z Zamawiającym bezpośrednio przed montażem</w:t>
      </w:r>
      <w:r>
        <w:t>.</w:t>
      </w:r>
      <w:r w:rsidR="006335C1">
        <w:t xml:space="preserve"> </w:t>
      </w:r>
    </w:p>
    <w:p w:rsidR="007064E5" w:rsidRDefault="007064E5" w:rsidP="006335C1"/>
    <w:p w:rsidR="007064E5" w:rsidRDefault="007064E5" w:rsidP="007064E5">
      <w:pPr>
        <w:pStyle w:val="Nagwek2"/>
      </w:pPr>
      <w:bookmarkStart w:id="10" w:name="_Toc262587577"/>
      <w:bookmarkStart w:id="11" w:name="_Toc320717145"/>
      <w:r w:rsidRPr="00214DCB">
        <w:t>Panele krosowe</w:t>
      </w:r>
      <w:bookmarkEnd w:id="10"/>
      <w:bookmarkEnd w:id="11"/>
      <w:r w:rsidR="00A34472">
        <w:rPr>
          <w:lang w:val="pl-PL"/>
        </w:rPr>
        <w:t>.</w:t>
      </w:r>
    </w:p>
    <w:p w:rsidR="00A31220" w:rsidRDefault="00A31220" w:rsidP="00A31220">
      <w:pPr>
        <w:ind w:firstLine="450"/>
        <w:rPr>
          <w:rFonts w:cs="Calibri"/>
        </w:rPr>
      </w:pPr>
      <w:r>
        <w:rPr>
          <w:rFonts w:cs="Calibri"/>
        </w:rPr>
        <w:t xml:space="preserve">Doprowadzone do stojaków okablowanie należy rozszyć na dedykowanych panelach krosowych. </w:t>
      </w:r>
      <w:r w:rsidRPr="00B516E6">
        <w:rPr>
          <w:rFonts w:eastAsia="Arial Unicode MS" w:cs="Calibri"/>
          <w:bCs/>
        </w:rPr>
        <w:t>Rama panelu krosowego musi być przystosowana do montażu zarówno modułów przyłączeniowych ekranowanych jak i nieekranowanych. Musi być zaopatrzona w dedykowane miejsca do przytwierdzania kabli instalacyjnych za pomocą opasek zaciskowych. W celu oszczędności miejsca w stojaku dystrybucyjnym, powinna posiadać prowadnice boczne do przeprowadzania kabli krosowych. Dla instalowanych w przyszłości modułów ekranowych kontakt systemu uziemiania przełącznicy z ekranem zainstalowanego w niej modułu musi następować automatycznie bez potrzeby wykonywania dodatkowych czynności.</w:t>
      </w:r>
      <w:r>
        <w:rPr>
          <w:rFonts w:eastAsia="Arial Unicode MS" w:cs="Calibri"/>
          <w:bCs/>
        </w:rPr>
        <w:t xml:space="preserve"> </w:t>
      </w:r>
      <w:r w:rsidRPr="00632997">
        <w:rPr>
          <w:rFonts w:cs="Calibri"/>
        </w:rPr>
        <w:t>Konstrukcja panelu musi umożliwiać skalowalność (rozbudowę) z dokładnością do jednego złącza RJ45,</w:t>
      </w:r>
      <w:r>
        <w:rPr>
          <w:rFonts w:cs="Calibri"/>
        </w:rPr>
        <w:t xml:space="preserve"> a s</w:t>
      </w:r>
      <w:r w:rsidRPr="00632997">
        <w:rPr>
          <w:rFonts w:cs="Calibri"/>
        </w:rPr>
        <w:t>posób montażu gniazd w panelu musi umożliwiać dokonywanie naprawy jednego łącza bez przerywania ciągłości pracy pozostałych.</w:t>
      </w:r>
      <w:r>
        <w:rPr>
          <w:rFonts w:cs="Calibri"/>
        </w:rPr>
        <w:t xml:space="preserve"> </w:t>
      </w:r>
      <w:r>
        <w:rPr>
          <w:rFonts w:eastAsia="Arial Unicode MS" w:cs="Calibri"/>
        </w:rPr>
        <w:t>Poszczególne gniazda panelu muszę mieć możliwość trwałego oznaczenia wybranych modułów</w:t>
      </w:r>
      <w:r w:rsidRPr="00B516E6">
        <w:rPr>
          <w:rFonts w:eastAsia="Arial Unicode MS" w:cs="Calibri"/>
        </w:rPr>
        <w:t xml:space="preserve"> </w:t>
      </w:r>
      <w:r>
        <w:rPr>
          <w:rFonts w:eastAsia="Arial Unicode MS" w:cs="Calibri"/>
        </w:rPr>
        <w:t xml:space="preserve">za pomocą np. koloru. </w:t>
      </w:r>
      <w:r w:rsidRPr="00214DCB">
        <w:rPr>
          <w:rFonts w:cs="Calibri"/>
        </w:rPr>
        <w:t>Do wyposażenia paneli krosowych</w:t>
      </w:r>
      <w:r>
        <w:rPr>
          <w:rFonts w:cs="Calibri"/>
        </w:rPr>
        <w:t>,</w:t>
      </w:r>
      <w:r w:rsidRPr="00214DCB">
        <w:rPr>
          <w:rFonts w:cs="Calibri"/>
        </w:rPr>
        <w:t xml:space="preserve"> w punktach dystrybucyjnych dopuszcza się użycie jednego rodzaju modułu przyłączeniowego kat.6A ISO typu RJ45</w:t>
      </w:r>
      <w:r>
        <w:rPr>
          <w:rFonts w:cs="Calibri"/>
        </w:rPr>
        <w:t xml:space="preserve">. Wymagania dotyczące modułów instalowanych w </w:t>
      </w:r>
      <w:r w:rsidR="00BF734A">
        <w:rPr>
          <w:rFonts w:cs="Calibri"/>
        </w:rPr>
        <w:t>panelach krosowych</w:t>
      </w:r>
      <w:r>
        <w:rPr>
          <w:rFonts w:cs="Calibri"/>
        </w:rPr>
        <w:t>: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>Konstrukcja m</w:t>
      </w:r>
      <w:r w:rsidRPr="00214DCB">
        <w:rPr>
          <w:rFonts w:cs="Calibri"/>
        </w:rPr>
        <w:t>oduł</w:t>
      </w:r>
      <w:r>
        <w:rPr>
          <w:rFonts w:cs="Calibri"/>
        </w:rPr>
        <w:t>u</w:t>
      </w:r>
      <w:r w:rsidRPr="00214DCB">
        <w:rPr>
          <w:rFonts w:cs="Calibri"/>
        </w:rPr>
        <w:t xml:space="preserve"> musi pozwalać na pewne przytwierdzenie do niego kabla instalacyjnego za pomocą </w:t>
      </w:r>
      <w:r>
        <w:rPr>
          <w:rFonts w:cs="Calibri"/>
        </w:rPr>
        <w:t xml:space="preserve">np. </w:t>
      </w:r>
      <w:r w:rsidRPr="00214DCB">
        <w:rPr>
          <w:rFonts w:cs="Calibri"/>
        </w:rPr>
        <w:t>opaski uciskowej</w:t>
      </w:r>
      <w:r>
        <w:rPr>
          <w:rFonts w:cs="Calibri"/>
        </w:rPr>
        <w:t xml:space="preserve"> oraz</w:t>
      </w:r>
      <w:r w:rsidRPr="00214DCB">
        <w:rPr>
          <w:rFonts w:cs="Calibri"/>
        </w:rPr>
        <w:t xml:space="preserve"> </w:t>
      </w:r>
      <w:r>
        <w:rPr>
          <w:rFonts w:cs="Calibri"/>
        </w:rPr>
        <w:t>umożliwiać</w:t>
      </w:r>
      <w:r w:rsidRPr="00214DCB">
        <w:rPr>
          <w:rFonts w:cs="Calibri"/>
        </w:rPr>
        <w:t xml:space="preserve"> </w:t>
      </w:r>
      <w:r>
        <w:rPr>
          <w:rFonts w:cs="Calibri"/>
        </w:rPr>
        <w:t>rozszycie</w:t>
      </w:r>
      <w:r w:rsidRPr="00214DCB">
        <w:rPr>
          <w:rFonts w:cs="Calibri"/>
        </w:rPr>
        <w:t xml:space="preserve"> kabla instalacyjnego metodą </w:t>
      </w:r>
      <w:proofErr w:type="spellStart"/>
      <w:r w:rsidRPr="00214DCB">
        <w:rPr>
          <w:rFonts w:cs="Calibri"/>
        </w:rPr>
        <w:t>beznarzędziową</w:t>
      </w:r>
      <w:proofErr w:type="spellEnd"/>
      <w:r w:rsidRPr="00214DCB">
        <w:rPr>
          <w:rFonts w:cs="Calibri"/>
        </w:rPr>
        <w:t xml:space="preserve"> (nie wymagającą specjalistycznych narzędziach takich jak noże uderzeniowe itp.) 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 w:rsidRPr="00214DCB">
        <w:rPr>
          <w:rFonts w:cs="Calibri"/>
        </w:rPr>
        <w:t>Kable terminowane w module musza mieć możliwość rozszycia żył zarówno w sekwencji T568A j</w:t>
      </w:r>
      <w:r w:rsidR="00684A42">
        <w:rPr>
          <w:rFonts w:cs="Calibri"/>
        </w:rPr>
        <w:t>aki i T568B oraz pod kątem 90 ° i 180 °</w:t>
      </w:r>
      <w:r w:rsidRPr="00214DCB">
        <w:rPr>
          <w:rFonts w:cs="Calibri"/>
        </w:rPr>
        <w:t xml:space="preserve">. Powinien być również kompatybilny z Power </w:t>
      </w:r>
      <w:proofErr w:type="spellStart"/>
      <w:r w:rsidRPr="00214DCB">
        <w:rPr>
          <w:rFonts w:cs="Calibri"/>
        </w:rPr>
        <w:t>over</w:t>
      </w:r>
      <w:proofErr w:type="spellEnd"/>
      <w:r w:rsidRPr="00214DCB">
        <w:rPr>
          <w:rFonts w:cs="Calibri"/>
        </w:rPr>
        <w:t xml:space="preserve"> Ethernet (</w:t>
      </w:r>
      <w:proofErr w:type="spellStart"/>
      <w:r w:rsidRPr="00214DCB">
        <w:rPr>
          <w:rFonts w:cs="Calibri"/>
        </w:rPr>
        <w:t>PoE</w:t>
      </w:r>
      <w:proofErr w:type="spellEnd"/>
      <w:r w:rsidRPr="00214DCB">
        <w:rPr>
          <w:rFonts w:cs="Calibri"/>
        </w:rPr>
        <w:t xml:space="preserve">) oraz Power </w:t>
      </w:r>
      <w:proofErr w:type="spellStart"/>
      <w:r w:rsidRPr="00214DCB">
        <w:rPr>
          <w:rFonts w:cs="Calibri"/>
        </w:rPr>
        <w:t>over</w:t>
      </w:r>
      <w:proofErr w:type="spellEnd"/>
      <w:r w:rsidRPr="00214DCB">
        <w:rPr>
          <w:rFonts w:cs="Calibri"/>
        </w:rPr>
        <w:t xml:space="preserve"> Ethernet+ (</w:t>
      </w:r>
      <w:proofErr w:type="spellStart"/>
      <w:r w:rsidRPr="00214DCB">
        <w:rPr>
          <w:rFonts w:cs="Calibri"/>
        </w:rPr>
        <w:t>PoE</w:t>
      </w:r>
      <w:proofErr w:type="spellEnd"/>
      <w:r w:rsidRPr="00214DCB">
        <w:rPr>
          <w:rFonts w:cs="Calibri"/>
        </w:rPr>
        <w:t>+).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 w:rsidRPr="00214DCB">
        <w:rPr>
          <w:rFonts w:cs="Calibri"/>
        </w:rPr>
        <w:t xml:space="preserve">Musi być wyposażony w złącza IDC gwarantujące uzyskanie najwyższej jakości kontaktu modułu z żyłą kabla. 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 w:rsidRPr="00214DCB">
        <w:rPr>
          <w:rFonts w:cs="Calibri"/>
        </w:rPr>
        <w:t xml:space="preserve">Moduł musi być wyposażony w dedykowany system przeciwdziałania wpływom wibracji występujących w szczególności w punktach dystrybucyjnych. </w:t>
      </w:r>
    </w:p>
    <w:p w:rsidR="00A31220" w:rsidRPr="00823AA2" w:rsidRDefault="00A31220" w:rsidP="00A31220">
      <w:pPr>
        <w:numPr>
          <w:ilvl w:val="0"/>
          <w:numId w:val="10"/>
        </w:numPr>
        <w:rPr>
          <w:rFonts w:cs="Calibri"/>
        </w:rPr>
      </w:pPr>
      <w:r w:rsidRPr="00214DCB">
        <w:rPr>
          <w:rFonts w:cs="Calibri"/>
        </w:rPr>
        <w:lastRenderedPageBreak/>
        <w:t>Moduł musi zapewniać możliwość dokonywania co najmniej 20</w:t>
      </w:r>
      <w:r>
        <w:rPr>
          <w:rFonts w:cs="Calibri"/>
        </w:rPr>
        <w:t>-</w:t>
      </w:r>
      <w:r w:rsidRPr="00214DCB">
        <w:rPr>
          <w:rFonts w:cs="Calibri"/>
        </w:rPr>
        <w:t xml:space="preserve">to krotnej </w:t>
      </w:r>
      <w:proofErr w:type="spellStart"/>
      <w:r w:rsidRPr="00214DCB">
        <w:rPr>
          <w:rFonts w:cs="Calibri"/>
        </w:rPr>
        <w:t>terminacji</w:t>
      </w:r>
      <w:proofErr w:type="spellEnd"/>
      <w:r w:rsidRPr="00214DCB">
        <w:rPr>
          <w:rFonts w:cs="Calibri"/>
        </w:rPr>
        <w:t xml:space="preserve"> kabli instalacyjnych co umożliwi korektę ewentualnych błędów instalacyjnych bez konieczności wymiany całego modułu oraz pozwoli na przyszłe zmiany w strukturze </w:t>
      </w:r>
      <w:r w:rsidRPr="00823AA2">
        <w:rPr>
          <w:rFonts w:cs="Calibri"/>
        </w:rPr>
        <w:t xml:space="preserve">sieci. </w:t>
      </w:r>
    </w:p>
    <w:p w:rsidR="00A31220" w:rsidRPr="00823AA2" w:rsidRDefault="00A31220" w:rsidP="00A31220">
      <w:pPr>
        <w:numPr>
          <w:ilvl w:val="0"/>
          <w:numId w:val="10"/>
        </w:numPr>
        <w:rPr>
          <w:rFonts w:cs="Calibri"/>
        </w:rPr>
      </w:pPr>
      <w:r w:rsidRPr="00823AA2">
        <w:rPr>
          <w:rFonts w:cs="Calibri"/>
        </w:rPr>
        <w:t xml:space="preserve">Moduł musi obsługiwać protokół 10GBase-T zgodnie z IEEE 802.3an w zakresie do 500MHz i na dystansie 100m. </w:t>
      </w:r>
    </w:p>
    <w:p w:rsidR="00A31220" w:rsidRPr="00823AA2" w:rsidRDefault="00A31220" w:rsidP="00A31220">
      <w:pPr>
        <w:numPr>
          <w:ilvl w:val="0"/>
          <w:numId w:val="10"/>
        </w:numPr>
        <w:rPr>
          <w:rFonts w:cs="Calibri"/>
        </w:rPr>
      </w:pPr>
      <w:r w:rsidRPr="00823AA2">
        <w:rPr>
          <w:rFonts w:cs="Calibri"/>
        </w:rPr>
        <w:t>Musi charakteryzować się wsteczną kompatybilnością do komponentów Kat.6 oraz Kat.5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>
        <w:rPr>
          <w:rFonts w:cs="Calibri"/>
        </w:rPr>
        <w:t xml:space="preserve">Musi </w:t>
      </w:r>
      <w:r w:rsidRPr="00214DCB">
        <w:rPr>
          <w:rFonts w:cs="Calibri"/>
        </w:rPr>
        <w:t xml:space="preserve">zapewniać możliwość </w:t>
      </w:r>
      <w:proofErr w:type="spellStart"/>
      <w:r w:rsidRPr="00214DCB">
        <w:rPr>
          <w:rFonts w:cs="Calibri"/>
        </w:rPr>
        <w:t>terminacji</w:t>
      </w:r>
      <w:proofErr w:type="spellEnd"/>
      <w:r w:rsidRPr="00214DCB">
        <w:rPr>
          <w:rFonts w:cs="Calibri"/>
        </w:rPr>
        <w:t xml:space="preserve"> kabla w zakresie średnicy żył AWG26 – 22 (0,4 – 0,65 mm) oraz kabli typu linka AWG 26/7 – 22/7). 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 w:rsidRPr="00214DCB">
        <w:rPr>
          <w:rFonts w:cs="Calibri"/>
        </w:rPr>
        <w:t>Moduł musi być testowany w procesie wytwarzania na 100% próbek.</w:t>
      </w:r>
    </w:p>
    <w:p w:rsidR="00A31220" w:rsidRDefault="00A31220" w:rsidP="00A31220">
      <w:pPr>
        <w:numPr>
          <w:ilvl w:val="0"/>
          <w:numId w:val="10"/>
        </w:numPr>
        <w:rPr>
          <w:rFonts w:cs="Calibri"/>
        </w:rPr>
      </w:pPr>
      <w:r w:rsidRPr="00CD1DEB">
        <w:rPr>
          <w:rFonts w:cs="Calibri"/>
        </w:rPr>
        <w:t>Moduł w gnieździe i w panelu powinien mieć taką samą konstrukcję i być odporny, na co najmniej 1000 cykli łączeniowych (podłączania do niego wtyku RJ45).</w:t>
      </w:r>
    </w:p>
    <w:p w:rsidR="00A31220" w:rsidRPr="00CD1DEB" w:rsidRDefault="00A31220" w:rsidP="00A31220">
      <w:pPr>
        <w:numPr>
          <w:ilvl w:val="0"/>
          <w:numId w:val="10"/>
        </w:numPr>
        <w:rPr>
          <w:rFonts w:cs="Calibri"/>
        </w:rPr>
      </w:pPr>
      <w:r w:rsidRPr="00214DCB">
        <w:rPr>
          <w:rFonts w:cs="Calibri"/>
          <w:bCs/>
          <w:kern w:val="32"/>
        </w:rPr>
        <w:t>Standaryzacje</w:t>
      </w:r>
      <w:r>
        <w:rPr>
          <w:rFonts w:cs="Calibri"/>
          <w:bCs/>
          <w:kern w:val="32"/>
        </w:rPr>
        <w:t xml:space="preserve">: </w:t>
      </w:r>
      <w:r w:rsidRPr="00CD1DEB">
        <w:rPr>
          <w:rFonts w:cs="Calibri"/>
          <w:bCs/>
          <w:kern w:val="32"/>
        </w:rPr>
        <w:t xml:space="preserve">IEC 60603-7: </w:t>
      </w:r>
      <w:proofErr w:type="spellStart"/>
      <w:r w:rsidRPr="00CD1DEB">
        <w:rPr>
          <w:rFonts w:cs="Calibri"/>
          <w:bCs/>
          <w:kern w:val="32"/>
        </w:rPr>
        <w:t>Electrical</w:t>
      </w:r>
      <w:proofErr w:type="spellEnd"/>
      <w:r w:rsidRPr="00CD1DEB">
        <w:rPr>
          <w:rFonts w:cs="Calibri"/>
          <w:bCs/>
          <w:kern w:val="32"/>
        </w:rPr>
        <w:t xml:space="preserve"> </w:t>
      </w:r>
      <w:proofErr w:type="spellStart"/>
      <w:r w:rsidRPr="00CD1DEB">
        <w:rPr>
          <w:rFonts w:cs="Calibri"/>
          <w:bCs/>
          <w:kern w:val="32"/>
        </w:rPr>
        <w:t>Characteristics</w:t>
      </w:r>
      <w:proofErr w:type="spellEnd"/>
      <w:r w:rsidRPr="00CD1DEB">
        <w:rPr>
          <w:rFonts w:cs="Calibri"/>
          <w:bCs/>
          <w:kern w:val="32"/>
        </w:rPr>
        <w:t xml:space="preserve"> of the </w:t>
      </w:r>
      <w:proofErr w:type="spellStart"/>
      <w:r w:rsidRPr="00CD1DEB">
        <w:rPr>
          <w:rFonts w:cs="Calibri"/>
          <w:bCs/>
          <w:kern w:val="32"/>
        </w:rPr>
        <w:t>Telecommu</w:t>
      </w:r>
      <w:r w:rsidR="00A616AA">
        <w:rPr>
          <w:rFonts w:cs="Calibri"/>
          <w:bCs/>
          <w:kern w:val="32"/>
        </w:rPr>
        <w:t>nication</w:t>
      </w:r>
      <w:proofErr w:type="spellEnd"/>
      <w:r w:rsidR="00A616AA">
        <w:rPr>
          <w:rFonts w:cs="Calibri"/>
          <w:bCs/>
          <w:kern w:val="32"/>
        </w:rPr>
        <w:t xml:space="preserve"> </w:t>
      </w:r>
      <w:proofErr w:type="spellStart"/>
      <w:r w:rsidR="00A616AA">
        <w:rPr>
          <w:rFonts w:cs="Calibri"/>
          <w:bCs/>
          <w:kern w:val="32"/>
        </w:rPr>
        <w:t>Outlets</w:t>
      </w:r>
      <w:proofErr w:type="spellEnd"/>
      <w:r w:rsidR="00A616AA">
        <w:rPr>
          <w:rFonts w:cs="Calibri"/>
          <w:bCs/>
          <w:kern w:val="32"/>
        </w:rPr>
        <w:t xml:space="preserve"> ISO/IEC 11801 według najnowszego wydania.</w:t>
      </w:r>
    </w:p>
    <w:p w:rsidR="00A31220" w:rsidRPr="00CD1DEB" w:rsidRDefault="00A616AA" w:rsidP="00A31220">
      <w:pPr>
        <w:numPr>
          <w:ilvl w:val="0"/>
          <w:numId w:val="10"/>
        </w:numPr>
        <w:rPr>
          <w:rFonts w:cs="Calibri"/>
        </w:rPr>
      </w:pPr>
      <w:r>
        <w:rPr>
          <w:rFonts w:cs="Calibri"/>
          <w:bCs/>
          <w:kern w:val="32"/>
        </w:rPr>
        <w:t>Typ złącza</w:t>
      </w:r>
      <w:r w:rsidR="00A31220">
        <w:rPr>
          <w:rFonts w:cs="Calibri"/>
          <w:bCs/>
          <w:kern w:val="32"/>
        </w:rPr>
        <w:t xml:space="preserve">: </w:t>
      </w:r>
      <w:r w:rsidR="00A31220" w:rsidRPr="00214DCB">
        <w:rPr>
          <w:rFonts w:cs="Calibri"/>
          <w:bCs/>
          <w:kern w:val="32"/>
        </w:rPr>
        <w:t>RJ45</w:t>
      </w:r>
    </w:p>
    <w:p w:rsidR="00A31220" w:rsidRPr="00CD1DEB" w:rsidRDefault="00A616AA" w:rsidP="00A31220">
      <w:pPr>
        <w:numPr>
          <w:ilvl w:val="0"/>
          <w:numId w:val="10"/>
        </w:numPr>
        <w:rPr>
          <w:rFonts w:cs="Calibri"/>
        </w:rPr>
      </w:pPr>
      <w:r>
        <w:rPr>
          <w:rFonts w:cs="Calibri"/>
          <w:bCs/>
          <w:kern w:val="32"/>
        </w:rPr>
        <w:t>Kategoria złącza</w:t>
      </w:r>
      <w:r w:rsidR="00A31220">
        <w:rPr>
          <w:rFonts w:cs="Calibri"/>
          <w:bCs/>
          <w:kern w:val="32"/>
        </w:rPr>
        <w:t xml:space="preserve">: </w:t>
      </w:r>
      <w:r w:rsidR="00A31220" w:rsidRPr="00214DCB">
        <w:rPr>
          <w:rFonts w:cs="Calibri"/>
          <w:bCs/>
          <w:kern w:val="32"/>
        </w:rPr>
        <w:t>Kat.6A (wg ISO)</w:t>
      </w:r>
      <w:r w:rsidR="00A31220">
        <w:rPr>
          <w:rFonts w:cs="Calibri"/>
          <w:bCs/>
          <w:kern w:val="32"/>
        </w:rPr>
        <w:t xml:space="preserve"> nieekranowane;</w:t>
      </w:r>
    </w:p>
    <w:p w:rsidR="007064E5" w:rsidRDefault="007064E5" w:rsidP="007064E5">
      <w:pPr>
        <w:pStyle w:val="Nagwek1"/>
        <w:rPr>
          <w:lang w:val="pl-PL"/>
        </w:rPr>
      </w:pPr>
      <w:r>
        <w:rPr>
          <w:lang w:val="pl-PL"/>
        </w:rPr>
        <w:t>Dedykowana instalacja zasilająca.</w:t>
      </w:r>
    </w:p>
    <w:p w:rsidR="00885DD0" w:rsidRPr="00E66D9B" w:rsidRDefault="00885DD0" w:rsidP="00885DD0">
      <w:pPr>
        <w:pStyle w:val="Nagwek2"/>
      </w:pPr>
      <w:r w:rsidRPr="00E66D9B">
        <w:rPr>
          <w:lang w:val="pl-PL"/>
        </w:rPr>
        <w:t>Zasilanie gniazd dedykowanej sieci elektrycznej</w:t>
      </w:r>
    </w:p>
    <w:p w:rsidR="00407383" w:rsidRPr="00E66D9B" w:rsidRDefault="00407383" w:rsidP="008E56CF">
      <w:r w:rsidRPr="00E66D9B">
        <w:t>Zasilanie stanowisk komputerowych odbywa się z wydzielonej (dedykowanej) instalacji elektrycznej,</w:t>
      </w:r>
    </w:p>
    <w:p w:rsidR="00407383" w:rsidRDefault="00AE4A21" w:rsidP="008E56CF">
      <w:r>
        <w:t xml:space="preserve">w skład której wchodzą </w:t>
      </w:r>
      <w:r w:rsidR="00407383" w:rsidRPr="00E66D9B">
        <w:t>rozdzielnice komputerowe</w:t>
      </w:r>
      <w:r>
        <w:t xml:space="preserve"> (zlokalizowane w szachtach elektrycznych) oraz</w:t>
      </w:r>
      <w:r w:rsidR="008E56CF" w:rsidRPr="00E66D9B">
        <w:t xml:space="preserve"> </w:t>
      </w:r>
      <w:r w:rsidR="00407383" w:rsidRPr="00E66D9B">
        <w:t>obwody odbiorcze.</w:t>
      </w:r>
    </w:p>
    <w:p w:rsidR="00B82DD7" w:rsidRPr="00E66D9B" w:rsidRDefault="00B82DD7" w:rsidP="008E56CF">
      <w:r>
        <w:t>W trakcie prac należy wymienić istniejące przewody i wyłączniki różnicowo prądowe na nowe.</w:t>
      </w:r>
    </w:p>
    <w:p w:rsidR="00407383" w:rsidRPr="00E66D9B" w:rsidRDefault="00407383" w:rsidP="008E56CF">
      <w:r w:rsidRPr="00E66D9B">
        <w:t>Przyjęto następujące parametry i wymagania dla wydzielonej (dedykowanej) instalacji zasilania</w:t>
      </w:r>
    </w:p>
    <w:p w:rsidR="00407383" w:rsidRPr="00E66D9B" w:rsidRDefault="00407383" w:rsidP="008E56CF">
      <w:r w:rsidRPr="00E66D9B">
        <w:t>stanowisk komputerowych: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r w:rsidR="00407383" w:rsidRPr="00E66D9B">
        <w:t>napięcie zasilania 400/230V,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r w:rsidR="00407383" w:rsidRPr="00E66D9B">
        <w:t>układ głównej rozdzielnicy komputerowej TN-S,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r w:rsidR="00407383" w:rsidRPr="00E66D9B">
        <w:t>układ zasilania instalacji komputerowych wewnętrznych TN-S,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r w:rsidR="00407383" w:rsidRPr="00E66D9B">
        <w:t>dodatkowy system ochrony od porażeń - szybkie wyłączanie przetężeniowe dla tablic</w:t>
      </w:r>
      <w:r w:rsidR="008E56CF" w:rsidRPr="00E66D9B">
        <w:t xml:space="preserve"> </w:t>
      </w:r>
      <w:r w:rsidR="00407383" w:rsidRPr="00E66D9B">
        <w:t>rozdzielczych i urządzeń komputerowych w obrębie punktów dystrybucyjnych</w:t>
      </w:r>
      <w:r w:rsidR="008E56CF" w:rsidRPr="00E66D9B">
        <w:t xml:space="preserve"> </w:t>
      </w:r>
      <w:r w:rsidR="00407383" w:rsidRPr="00E66D9B">
        <w:t>oraz zintegrowane wyłączniki różnicowoprądowe z członem nadmiarowym dla</w:t>
      </w:r>
      <w:r w:rsidR="008E56CF" w:rsidRPr="00E66D9B">
        <w:t xml:space="preserve"> </w:t>
      </w:r>
      <w:r w:rsidR="00407383" w:rsidRPr="00E66D9B">
        <w:t>komputerowych obwodów odbiorczych,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r w:rsidR="00407383" w:rsidRPr="00E66D9B">
        <w:t>moc zainstalowana przypadająca na pojedyncze przyłącze komputerowe</w:t>
      </w:r>
      <w:r w:rsidR="008E56CF" w:rsidRPr="00E66D9B">
        <w:t xml:space="preserve"> </w:t>
      </w:r>
      <w:r w:rsidR="00407383" w:rsidRPr="00E66D9B">
        <w:t xml:space="preserve">(PEL) = max. 300 </w:t>
      </w:r>
      <w:r w:rsidR="008E56CF" w:rsidRPr="00E66D9B">
        <w:t>VA dla komputerów stacjonarnych,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r w:rsidR="00407383" w:rsidRPr="00E66D9B">
        <w:t>maksymalna liczba PEL-i w jednym obwodzie odbiorczym nie powinna przekraczać</w:t>
      </w:r>
      <w:r w:rsidR="008E56CF" w:rsidRPr="00E66D9B">
        <w:t xml:space="preserve"> </w:t>
      </w:r>
      <w:r w:rsidR="00407383" w:rsidRPr="00E66D9B">
        <w:t>10 szt. zalecana 5-6 szt.</w:t>
      </w:r>
    </w:p>
    <w:p w:rsidR="00407383" w:rsidRPr="00E66D9B" w:rsidRDefault="003A4080" w:rsidP="008E56CF">
      <w:r w:rsidRPr="00E66D9B">
        <w:t>•</w:t>
      </w:r>
      <w:r w:rsidR="008E56CF" w:rsidRPr="00E66D9B">
        <w:t xml:space="preserve"> </w:t>
      </w:r>
      <w:proofErr w:type="spellStart"/>
      <w:r w:rsidR="00407383" w:rsidRPr="00E66D9B">
        <w:t>kz</w:t>
      </w:r>
      <w:proofErr w:type="spellEnd"/>
      <w:r w:rsidR="00407383" w:rsidRPr="00E66D9B">
        <w:t xml:space="preserve"> = 0,9 dla urządzeń komputerowych w obrębie serwerowni, punktów dystrybucyjnych</w:t>
      </w:r>
      <w:r w:rsidR="008E56CF" w:rsidRPr="00E66D9B">
        <w:t xml:space="preserve"> </w:t>
      </w:r>
      <w:r w:rsidR="00407383" w:rsidRPr="00E66D9B">
        <w:t xml:space="preserve">i laboratoriów oraz </w:t>
      </w:r>
      <w:proofErr w:type="spellStart"/>
      <w:r w:rsidR="00407383" w:rsidRPr="00E66D9B">
        <w:t>kz</w:t>
      </w:r>
      <w:proofErr w:type="spellEnd"/>
      <w:r w:rsidR="00407383" w:rsidRPr="00E66D9B">
        <w:t xml:space="preserve"> = 0,6 do 0,7 dla pozostałych odbiorników (PEL-i),</w:t>
      </w:r>
    </w:p>
    <w:p w:rsidR="00407383" w:rsidRPr="00E66D9B" w:rsidRDefault="008E56CF" w:rsidP="008E56CF">
      <w:r w:rsidRPr="00E66D9B">
        <w:t xml:space="preserve">• </w:t>
      </w:r>
      <w:r w:rsidR="00407383" w:rsidRPr="00E66D9B">
        <w:t xml:space="preserve">dopuszczalny spadek napięcia od zacisków transformatora do najdalszego </w:t>
      </w:r>
      <w:proofErr w:type="spellStart"/>
      <w:r w:rsidR="00407383" w:rsidRPr="00E66D9B">
        <w:t>PEL</w:t>
      </w:r>
      <w:r w:rsidRPr="00E66D9B">
        <w:t>’u</w:t>
      </w:r>
      <w:proofErr w:type="spellEnd"/>
      <w:r w:rsidR="00407383" w:rsidRPr="00E66D9B">
        <w:t>=5%, zalecany spadek napięcia od zacisków głównej rozdzielnicy komputerowej</w:t>
      </w:r>
      <w:r w:rsidRPr="00E66D9B">
        <w:t xml:space="preserve"> </w:t>
      </w:r>
      <w:r w:rsidR="00407383" w:rsidRPr="00E66D9B">
        <w:t>d</w:t>
      </w:r>
      <w:r w:rsidRPr="00E66D9B">
        <w:t xml:space="preserve">o najdalszego PEL-a </w:t>
      </w:r>
      <w:r w:rsidR="00407383" w:rsidRPr="00E66D9B">
        <w:t>U =3,5%,</w:t>
      </w:r>
    </w:p>
    <w:p w:rsidR="00407383" w:rsidRPr="00E66D9B" w:rsidRDefault="008E56CF" w:rsidP="008E56CF">
      <w:r w:rsidRPr="00E66D9B">
        <w:lastRenderedPageBreak/>
        <w:t xml:space="preserve">• </w:t>
      </w:r>
      <w:r w:rsidR="00407383" w:rsidRPr="00E66D9B">
        <w:t>konieczność ochrony przed przepięciami atmosferycznymi i łączeniowymi we</w:t>
      </w:r>
      <w:r w:rsidRPr="00E66D9B">
        <w:t xml:space="preserve"> </w:t>
      </w:r>
      <w:r w:rsidR="00407383" w:rsidRPr="00E66D9B">
        <w:t>wszystkich rozdzielnicach i tablic</w:t>
      </w:r>
      <w:r w:rsidR="00AE4A21">
        <w:t>ach rozdzielczych komputerowych.</w:t>
      </w:r>
    </w:p>
    <w:p w:rsidR="006335C1" w:rsidRDefault="00407383" w:rsidP="008E56CF">
      <w:r w:rsidRPr="00E66D9B">
        <w:t xml:space="preserve">Podłączenie komputerów do sieci elektrycznej odbywa się za pośrednictwem gniazd wtyczkowych, umieszczonych w </w:t>
      </w:r>
      <w:r w:rsidR="00AE4A21">
        <w:t xml:space="preserve">listwach natynkowych </w:t>
      </w:r>
      <w:r w:rsidRPr="00E66D9B">
        <w:t xml:space="preserve">lub w listwach elektroinstalacyjnych. Instalację </w:t>
      </w:r>
      <w:r w:rsidR="00AE4A21">
        <w:t>należy wyko</w:t>
      </w:r>
      <w:r w:rsidRPr="00E66D9B">
        <w:t>n</w:t>
      </w:r>
      <w:r w:rsidR="00AE4A21">
        <w:t>ać</w:t>
      </w:r>
      <w:r w:rsidRPr="00E66D9B">
        <w:t xml:space="preserve"> przewodem</w:t>
      </w:r>
      <w:r w:rsidR="00AE4A21">
        <w:t xml:space="preserve"> </w:t>
      </w:r>
      <w:r w:rsidRPr="00E66D9B">
        <w:t>kabelkowym YDY 3x2,5 mm2 450V, ułożonym w kanałach z przegrodą separacyjną</w:t>
      </w:r>
      <w:r w:rsidR="00AE4A21">
        <w:t xml:space="preserve"> </w:t>
      </w:r>
      <w:r w:rsidRPr="00E66D9B">
        <w:t>lub w korytkach kablowych.</w:t>
      </w:r>
    </w:p>
    <w:p w:rsidR="00656045" w:rsidRDefault="00656045" w:rsidP="008E56CF"/>
    <w:p w:rsidR="00B22397" w:rsidRDefault="007064E5" w:rsidP="00877190">
      <w:pPr>
        <w:pStyle w:val="Nagwek1"/>
      </w:pPr>
      <w:r w:rsidRPr="00FA4524">
        <w:rPr>
          <w:lang w:val="pl-PL"/>
        </w:rPr>
        <w:t>Pomiary</w:t>
      </w:r>
      <w:r w:rsidR="00E41FE3">
        <w:rPr>
          <w:lang w:val="pl-PL"/>
        </w:rPr>
        <w:t xml:space="preserve"> zainstalowanych przewodów i dokumentacja powykonawcza</w:t>
      </w:r>
      <w:r w:rsidR="00B22397" w:rsidRPr="00FA4524">
        <w:rPr>
          <w:lang w:val="pl-PL"/>
        </w:rPr>
        <w:t>.</w:t>
      </w:r>
    </w:p>
    <w:p w:rsidR="00B22397" w:rsidRDefault="00B22397" w:rsidP="00B22397">
      <w:pPr>
        <w:ind w:firstLine="708"/>
      </w:pPr>
      <w:r>
        <w:t xml:space="preserve">Wszystkie </w:t>
      </w:r>
      <w:r w:rsidR="00467615">
        <w:t>zainstalowane przewody sieci strukturalnej</w:t>
      </w:r>
      <w:r>
        <w:t xml:space="preserve"> wykonane kablami miedzianymi muszą być sprawdzone w trakcie montażu przy pomocy testera na zwarcie, przerwę i odwrócenie par. </w:t>
      </w:r>
    </w:p>
    <w:p w:rsidR="00B22397" w:rsidRDefault="00B22397" w:rsidP="00B22397">
      <w:r>
        <w:t>Do pomiarów tłumienności i przesłuchów użyć należy miernika badającego parametry okablowania pod kątem zgodności z wymogami kategorii 6</w:t>
      </w:r>
      <w:r w:rsidR="00131E2B">
        <w:t>A</w:t>
      </w:r>
      <w:r>
        <w:t xml:space="preserve"> (klasa EA) wg norm polskich lub międzynarodowych. Ze względu na zastosowanie kabla o podwyższonym paśmie 650MHz pomiary należy przeprowadzić w całym widmie częstotliwości w przedziale 0 - 650 MHz. </w:t>
      </w:r>
    </w:p>
    <w:p w:rsidR="00B22397" w:rsidRDefault="00B22397" w:rsidP="00B22397">
      <w:r>
        <w:t xml:space="preserve">Szczególnie ważne są pomiary tłumienności linii oraz przesłuchu </w:t>
      </w:r>
      <w:proofErr w:type="spellStart"/>
      <w:r>
        <w:t>zbliżnego</w:t>
      </w:r>
      <w:proofErr w:type="spellEnd"/>
      <w:r>
        <w:t xml:space="preserve"> (NEXT). Pomiary przeprowadzone przy pomocy ww. miernika pozwolą na określenie: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długości badanego odcinka kabla,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mapy połączeń par w gniazdach,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zakresu częstotliwości pomiarów,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współczynnika </w:t>
      </w:r>
      <w:proofErr w:type="spellStart"/>
      <w:r>
        <w:t>Near</w:t>
      </w:r>
      <w:proofErr w:type="spellEnd"/>
      <w:r>
        <w:t xml:space="preserve"> End Cross Talk (NEXT),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współczynnika Power Sum </w:t>
      </w:r>
      <w:proofErr w:type="spellStart"/>
      <w:r>
        <w:t>Near</w:t>
      </w:r>
      <w:proofErr w:type="spellEnd"/>
      <w:r>
        <w:t xml:space="preserve"> End Cross Talk (PS NEXT), </w:t>
      </w:r>
    </w:p>
    <w:p w:rsidR="00B22397" w:rsidRDefault="00131E2B" w:rsidP="00B22397">
      <w:pPr>
        <w:pStyle w:val="Akapitzlist"/>
        <w:numPr>
          <w:ilvl w:val="0"/>
          <w:numId w:val="11"/>
        </w:numPr>
      </w:pPr>
      <w:r>
        <w:t>tłumienności przesłuchu zdalnej</w:t>
      </w:r>
      <w:r w:rsidR="00B22397">
        <w:t xml:space="preserve"> (FEXT),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stratności (ELFEXT),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współczynnika PS ELFEXT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współczynnika </w:t>
      </w:r>
      <w:proofErr w:type="spellStart"/>
      <w:r>
        <w:t>Attenuation</w:t>
      </w:r>
      <w:proofErr w:type="spellEnd"/>
      <w:r>
        <w:t xml:space="preserve"> / Cross Talk Ratio (ACR),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max. tłumienia (dla podanej częstotliwości),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impedancji, rezystancji, pojemności. </w:t>
      </w:r>
    </w:p>
    <w:p w:rsidR="00B22397" w:rsidRDefault="00B22397" w:rsidP="00B22397">
      <w:pPr>
        <w:pStyle w:val="Akapitzlist"/>
        <w:numPr>
          <w:ilvl w:val="0"/>
          <w:numId w:val="11"/>
        </w:numPr>
      </w:pPr>
      <w:r>
        <w:t xml:space="preserve">opóźnienie propagacji </w:t>
      </w:r>
    </w:p>
    <w:p w:rsidR="00B22397" w:rsidRDefault="00B22397" w:rsidP="00B22397">
      <w:r w:rsidRPr="00B22397">
        <w:t xml:space="preserve">Wyniki pomiarów okablowania strukturalnego w formie wydruku zbiorczego oraz szczegółowe w formie elektronicznej muszą być dołączone do dokumentacji powykonawczej przekazywanej </w:t>
      </w:r>
      <w:r>
        <w:t xml:space="preserve">Zamawiającemu </w:t>
      </w:r>
      <w:r w:rsidRPr="00B22397">
        <w:t xml:space="preserve"> przy odbiorze</w:t>
      </w:r>
      <w:r>
        <w:t xml:space="preserve"> (częściowym lub końcowym)</w:t>
      </w:r>
      <w:r w:rsidRPr="00B22397">
        <w:t xml:space="preserve"> </w:t>
      </w:r>
      <w:r>
        <w:t>prac</w:t>
      </w:r>
      <w:r w:rsidRPr="00B22397">
        <w:t>.</w:t>
      </w:r>
    </w:p>
    <w:p w:rsidR="00304E1C" w:rsidRDefault="00304E1C" w:rsidP="00B22397"/>
    <w:p w:rsidR="00B22397" w:rsidRDefault="00B22397" w:rsidP="00B22397">
      <w:pPr>
        <w:pStyle w:val="Nagwek2"/>
      </w:pPr>
      <w:r>
        <w:t xml:space="preserve">Pomiary elektryczne </w:t>
      </w:r>
    </w:p>
    <w:p w:rsidR="00B22397" w:rsidRDefault="00B22397" w:rsidP="00BA0F93">
      <w:pPr>
        <w:ind w:firstLine="450"/>
      </w:pPr>
      <w:r>
        <w:t>Przed oddaniem instalacji do użytku</w:t>
      </w:r>
      <w:r w:rsidR="009103E5">
        <w:t>,</w:t>
      </w:r>
      <w:r>
        <w:t xml:space="preserve"> </w:t>
      </w:r>
      <w:r w:rsidR="009103E5">
        <w:t>p</w:t>
      </w:r>
      <w:r w:rsidR="009103E5" w:rsidRPr="009103E5">
        <w:t xml:space="preserve">o wykonaniu wszelkich prac należy </w:t>
      </w:r>
      <w:r w:rsidR="009103E5">
        <w:t xml:space="preserve">przekazać Zamawiającemu </w:t>
      </w:r>
      <w:r w:rsidR="009103E5" w:rsidRPr="009103E5">
        <w:t>wyniki pomiarów powykonawczych</w:t>
      </w:r>
      <w:r w:rsidR="009103E5">
        <w:t>,</w:t>
      </w:r>
      <w:r w:rsidR="009103E5" w:rsidRPr="009103E5">
        <w:t xml:space="preserve"> elektrycznych (badanie skuteczności ochrony przeciwporażeniowej, badanie wyłączników różnicowoprądowych, badanie rezystancji izolacji przewodów)</w:t>
      </w:r>
      <w:r w:rsidR="009103E5">
        <w:t>.</w:t>
      </w:r>
      <w:r>
        <w:t xml:space="preserve"> </w:t>
      </w:r>
      <w:r w:rsidR="009103E5">
        <w:t>P</w:t>
      </w:r>
      <w:r>
        <w:t xml:space="preserve">odpisane przez uprawnione osoby protokoły z pomiarów należy przekazać </w:t>
      </w:r>
      <w:r w:rsidR="00BA0F93">
        <w:t>Zamawiającemu</w:t>
      </w:r>
      <w:r>
        <w:t xml:space="preserve"> w formie </w:t>
      </w:r>
      <w:r w:rsidR="00BA0F93">
        <w:t>drukowanej</w:t>
      </w:r>
      <w:r w:rsidR="00BA0F93" w:rsidRPr="00B22397">
        <w:t xml:space="preserve"> przy odbiorze</w:t>
      </w:r>
      <w:r w:rsidR="00BA0F93">
        <w:t xml:space="preserve"> (częściowym lub końcowym)</w:t>
      </w:r>
      <w:r w:rsidR="00BA0F93" w:rsidRPr="00B22397">
        <w:t xml:space="preserve"> </w:t>
      </w:r>
      <w:r w:rsidR="00BA0F93">
        <w:t>prac</w:t>
      </w:r>
      <w:r w:rsidR="00BA0F93" w:rsidRPr="00B22397">
        <w:t>.</w:t>
      </w:r>
    </w:p>
    <w:p w:rsidR="00304E1C" w:rsidRDefault="00304E1C" w:rsidP="00BA0F93">
      <w:pPr>
        <w:ind w:firstLine="450"/>
      </w:pPr>
    </w:p>
    <w:p w:rsidR="00304E1C" w:rsidRDefault="00304E1C" w:rsidP="00BA0F93">
      <w:pPr>
        <w:ind w:firstLine="450"/>
      </w:pPr>
    </w:p>
    <w:p w:rsidR="00B22397" w:rsidRDefault="00B22397" w:rsidP="00BA0F93">
      <w:pPr>
        <w:pStyle w:val="Nagwek2"/>
      </w:pPr>
      <w:r>
        <w:t xml:space="preserve">Dokumentacja powykonawcza </w:t>
      </w:r>
    </w:p>
    <w:p w:rsidR="00BA0F93" w:rsidRPr="00E66D9B" w:rsidRDefault="00B22397" w:rsidP="00B22397">
      <w:r w:rsidRPr="00E66D9B">
        <w:t>Dokumentac</w:t>
      </w:r>
      <w:r w:rsidR="00BA0F93" w:rsidRPr="00E66D9B">
        <w:t>ja powykonawcza powinna zawierać</w:t>
      </w:r>
      <w:r w:rsidRPr="00E66D9B">
        <w:t>:</w:t>
      </w:r>
    </w:p>
    <w:p w:rsidR="00BA0F93" w:rsidRPr="00E66D9B" w:rsidRDefault="00BA0F93" w:rsidP="00B22397">
      <w:r w:rsidRPr="00E66D9B">
        <w:lastRenderedPageBreak/>
        <w:t>- opis zastosowanego rozwiązania;</w:t>
      </w:r>
    </w:p>
    <w:p w:rsidR="00B22397" w:rsidRDefault="00BA0F93" w:rsidP="00B22397">
      <w:r w:rsidRPr="00E66D9B">
        <w:t>- schematy prowadzenie</w:t>
      </w:r>
      <w:r>
        <w:t xml:space="preserve"> tras i rozmieszczenia przyłączy elektryczno-logicznych;</w:t>
      </w:r>
    </w:p>
    <w:p w:rsidR="00BA0F93" w:rsidRDefault="00BA0F93" w:rsidP="00B22397">
      <w:r>
        <w:t>- numerację poszczególnych przyłączy logicznych oraz obwodów zasilających;</w:t>
      </w:r>
    </w:p>
    <w:p w:rsidR="00BA0F93" w:rsidRDefault="00BA0F93" w:rsidP="00B22397">
      <w:r>
        <w:t>- schematy rozszycia przewodów na panelach krosowych;</w:t>
      </w:r>
    </w:p>
    <w:p w:rsidR="00BA0F93" w:rsidRDefault="00BA0F93" w:rsidP="00B22397">
      <w:r>
        <w:t>- schematy rozdzielni dedykowanej instalacji zasilającej;</w:t>
      </w:r>
    </w:p>
    <w:p w:rsidR="00BA0F93" w:rsidRDefault="00BA0F93" w:rsidP="00B22397">
      <w:r>
        <w:t>- schematy wykonanych połączeń międzywęzłowych.</w:t>
      </w:r>
    </w:p>
    <w:p w:rsidR="00B22397" w:rsidRDefault="00B22397" w:rsidP="00B22397">
      <w:r>
        <w:t>Dokumentację powykonawczą wraz z wynikami pomiarów należy dostarczyć w wersji elektronicznej</w:t>
      </w:r>
      <w:r w:rsidR="00BA0F93">
        <w:t xml:space="preserve"> zgodnie z wymogami umowy</w:t>
      </w:r>
      <w:r>
        <w:t>.</w:t>
      </w:r>
    </w:p>
    <w:p w:rsidR="007064E5" w:rsidRPr="00CD1DEB" w:rsidRDefault="007064E5" w:rsidP="007064E5">
      <w:pPr>
        <w:pStyle w:val="Nagwek1"/>
      </w:pPr>
      <w:bookmarkStart w:id="12" w:name="_Toc320717150"/>
      <w:r w:rsidRPr="00CD1DEB">
        <w:t>Wymagania dotyczące gwarancji</w:t>
      </w:r>
      <w:bookmarkEnd w:id="12"/>
    </w:p>
    <w:p w:rsidR="007064E5" w:rsidRDefault="007064E5" w:rsidP="00407383">
      <w:pPr>
        <w:autoSpaceDE w:val="0"/>
        <w:autoSpaceDN w:val="0"/>
        <w:adjustRightInd w:val="0"/>
        <w:ind w:left="360"/>
        <w:rPr>
          <w:rFonts w:cs="Calibri"/>
        </w:rPr>
      </w:pPr>
      <w:r w:rsidRPr="00214DCB">
        <w:rPr>
          <w:rFonts w:cs="Calibri"/>
          <w:bCs/>
        </w:rPr>
        <w:t>Zamawiający wymaga</w:t>
      </w:r>
      <w:r w:rsidRPr="00214DCB">
        <w:rPr>
          <w:rFonts w:cs="Calibri"/>
        </w:rPr>
        <w:t xml:space="preserve">, aby </w:t>
      </w:r>
      <w:r w:rsidR="00CE6D58">
        <w:rPr>
          <w:rFonts w:cs="Calibri"/>
        </w:rPr>
        <w:t>system transmisyjny</w:t>
      </w:r>
      <w:r w:rsidRPr="00214DCB">
        <w:rPr>
          <w:rFonts w:cs="Calibri"/>
        </w:rPr>
        <w:t xml:space="preserve"> obj</w:t>
      </w:r>
      <w:r w:rsidRPr="00214DCB">
        <w:rPr>
          <w:rFonts w:eastAsia="TimesNewRoman" w:cs="Calibri"/>
        </w:rPr>
        <w:t>ę</w:t>
      </w:r>
      <w:r w:rsidRPr="00214DCB">
        <w:rPr>
          <w:rFonts w:cs="Calibri"/>
        </w:rPr>
        <w:t>t</w:t>
      </w:r>
      <w:r w:rsidR="00CE6D58">
        <w:rPr>
          <w:rFonts w:cs="Calibri"/>
        </w:rPr>
        <w:t>y był</w:t>
      </w:r>
      <w:r w:rsidRPr="00214DCB">
        <w:rPr>
          <w:rFonts w:cs="Calibri"/>
        </w:rPr>
        <w:t xml:space="preserve"> jednolit</w:t>
      </w:r>
      <w:r w:rsidRPr="00214DCB">
        <w:rPr>
          <w:rFonts w:eastAsia="TimesNewRoman" w:cs="Calibri"/>
        </w:rPr>
        <w:t>ą</w:t>
      </w:r>
      <w:r w:rsidRPr="00214DCB">
        <w:rPr>
          <w:rFonts w:cs="Calibri"/>
        </w:rPr>
        <w:t>, spójn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25-letni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gwarancj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systemow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producenta, obejmuj</w:t>
      </w:r>
      <w:r w:rsidRPr="00214DCB">
        <w:rPr>
          <w:rFonts w:eastAsia="TimesNewRoman" w:cs="Calibri"/>
        </w:rPr>
        <w:t>ą</w:t>
      </w:r>
      <w:r w:rsidRPr="00214DCB">
        <w:rPr>
          <w:rFonts w:cs="Calibri"/>
        </w:rPr>
        <w:t>c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cał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cz</w:t>
      </w:r>
      <w:r w:rsidRPr="00214DCB">
        <w:rPr>
          <w:rFonts w:eastAsia="TimesNewRoman" w:cs="Calibri"/>
        </w:rPr>
        <w:t xml:space="preserve">ęść </w:t>
      </w:r>
      <w:r w:rsidRPr="00214DCB">
        <w:rPr>
          <w:rFonts w:cs="Calibri"/>
        </w:rPr>
        <w:t>transmisyjn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 xml:space="preserve">wraz z kablami krosowymi. </w:t>
      </w:r>
    </w:p>
    <w:p w:rsidR="002A7B8D" w:rsidRPr="002A7B8D" w:rsidRDefault="002A7B8D" w:rsidP="00407383">
      <w:pPr>
        <w:autoSpaceDE w:val="0"/>
        <w:autoSpaceDN w:val="0"/>
        <w:adjustRightInd w:val="0"/>
        <w:ind w:left="360"/>
        <w:rPr>
          <w:rFonts w:cs="Calibri"/>
          <w:bCs/>
        </w:rPr>
      </w:pPr>
      <w:r w:rsidRPr="002A7B8D">
        <w:rPr>
          <w:rFonts w:cs="Calibri"/>
          <w:bCs/>
        </w:rPr>
        <w:t>Dostawca poprzez Wykonawcę systemu okablowania strukturalnego powinien zapewnić min. 25 letnią gwarancję producenta systemu tj. na wszystkie podsystemy okablowania poziomego oraz okablowania magistralnego. Gwarancja na system miedziany i światłowodowy powinna być udzielana na system, jako całość. 25-letnia gwarancja powinna być standardowym elementem w ofercie producenta, nie może być oferowana „specjalnie dla tej inwestycji” przez wykonawcę, dostawcę, dystrybutora, a nawet przez producenta.</w:t>
      </w:r>
    </w:p>
    <w:p w:rsidR="007064E5" w:rsidRPr="00214DCB" w:rsidRDefault="007064E5" w:rsidP="00407383">
      <w:pPr>
        <w:autoSpaceDE w:val="0"/>
        <w:autoSpaceDN w:val="0"/>
        <w:adjustRightInd w:val="0"/>
        <w:ind w:left="360"/>
        <w:rPr>
          <w:rFonts w:cs="Calibri"/>
          <w:b/>
          <w:bCs/>
        </w:rPr>
      </w:pPr>
      <w:r w:rsidRPr="00214DCB">
        <w:rPr>
          <w:rFonts w:cs="Calibri"/>
          <w:bCs/>
        </w:rPr>
        <w:t>Na wszystkie wykonane prace instalacyjne Zamawiający wymaga udzielenia 36 miesięcznej gwarancji Wykonawcy.</w:t>
      </w:r>
    </w:p>
    <w:p w:rsidR="007064E5" w:rsidRPr="00214DCB" w:rsidRDefault="007064E5" w:rsidP="00407383">
      <w:pPr>
        <w:autoSpaceDE w:val="0"/>
        <w:autoSpaceDN w:val="0"/>
        <w:adjustRightInd w:val="0"/>
        <w:ind w:left="360"/>
        <w:rPr>
          <w:rFonts w:cs="Calibri"/>
        </w:rPr>
      </w:pPr>
      <w:r w:rsidRPr="00214DCB">
        <w:rPr>
          <w:rFonts w:cs="Calibri"/>
        </w:rPr>
        <w:t>Gwarancja powinna obejmowa</w:t>
      </w:r>
      <w:r w:rsidRPr="00214DCB">
        <w:rPr>
          <w:rFonts w:eastAsia="TimesNewRoman" w:cs="Calibri"/>
        </w:rPr>
        <w:t>ć</w:t>
      </w:r>
      <w:r w:rsidRPr="00214DCB">
        <w:rPr>
          <w:rFonts w:cs="Calibri"/>
        </w:rPr>
        <w:t>:</w:t>
      </w:r>
    </w:p>
    <w:p w:rsidR="007064E5" w:rsidRPr="00407383" w:rsidRDefault="007064E5" w:rsidP="00407383">
      <w:pPr>
        <w:autoSpaceDE w:val="0"/>
        <w:autoSpaceDN w:val="0"/>
        <w:adjustRightInd w:val="0"/>
        <w:ind w:left="360"/>
        <w:rPr>
          <w:rFonts w:cs="Calibri"/>
        </w:rPr>
      </w:pPr>
      <w:r w:rsidRPr="00407383">
        <w:rPr>
          <w:rFonts w:cs="Calibri"/>
        </w:rPr>
        <w:t>-</w:t>
      </w:r>
      <w:r w:rsidRPr="00407383">
        <w:rPr>
          <w:rFonts w:cs="Calibri"/>
        </w:rPr>
        <w:tab/>
        <w:t>gwarancj</w:t>
      </w:r>
      <w:r w:rsidRPr="00407383">
        <w:rPr>
          <w:rFonts w:eastAsia="TimesNewRoman" w:cs="Calibri"/>
        </w:rPr>
        <w:t xml:space="preserve">ę </w:t>
      </w:r>
      <w:r w:rsidRPr="00407383">
        <w:rPr>
          <w:rFonts w:cs="Calibri"/>
        </w:rPr>
        <w:t>systemow</w:t>
      </w:r>
      <w:r w:rsidRPr="00407383">
        <w:rPr>
          <w:rFonts w:eastAsia="TimesNewRoman" w:cs="Calibri"/>
        </w:rPr>
        <w:t xml:space="preserve">ą </w:t>
      </w:r>
      <w:r w:rsidRPr="00407383">
        <w:rPr>
          <w:rFonts w:cs="Calibri"/>
        </w:rPr>
        <w:t xml:space="preserve">(Producent zagwarantuje, </w:t>
      </w:r>
      <w:r w:rsidRPr="00407383">
        <w:rPr>
          <w:rFonts w:eastAsia="TimesNewRoman" w:cs="Calibri"/>
        </w:rPr>
        <w:t>ż</w:t>
      </w:r>
      <w:r w:rsidRPr="00407383">
        <w:rPr>
          <w:rFonts w:cs="Calibri"/>
        </w:rPr>
        <w:t>e je</w:t>
      </w:r>
      <w:r w:rsidRPr="00407383">
        <w:rPr>
          <w:rFonts w:eastAsia="TimesNewRoman" w:cs="Calibri"/>
        </w:rPr>
        <w:t>ś</w:t>
      </w:r>
      <w:r w:rsidRPr="00407383">
        <w:rPr>
          <w:rFonts w:cs="Calibri"/>
        </w:rPr>
        <w:t>li w jego produktach podczas dostawy, instalacji b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>d</w:t>
      </w:r>
      <w:r w:rsidRPr="00407383">
        <w:rPr>
          <w:rFonts w:eastAsia="TimesNewRoman" w:cs="Calibri"/>
        </w:rPr>
        <w:t xml:space="preserve">ź </w:t>
      </w:r>
      <w:r w:rsidRPr="00407383">
        <w:rPr>
          <w:rFonts w:cs="Calibri"/>
        </w:rPr>
        <w:t>25-letniej eksploatacji wykryte zostan</w:t>
      </w:r>
      <w:r w:rsidRPr="00407383">
        <w:rPr>
          <w:rFonts w:eastAsia="TimesNewRoman" w:cs="Calibri"/>
        </w:rPr>
        <w:t xml:space="preserve">ą </w:t>
      </w:r>
      <w:r w:rsidRPr="00407383">
        <w:rPr>
          <w:rFonts w:cs="Calibri"/>
        </w:rPr>
        <w:t>wady lub usterki fabryczne, to produkty te zostan</w:t>
      </w:r>
      <w:r w:rsidRPr="00407383">
        <w:rPr>
          <w:rFonts w:eastAsia="TimesNewRoman" w:cs="Calibri"/>
        </w:rPr>
        <w:t xml:space="preserve">ą </w:t>
      </w:r>
      <w:r w:rsidRPr="00407383">
        <w:rPr>
          <w:rFonts w:cs="Calibri"/>
        </w:rPr>
        <w:t>naprawione b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>d</w:t>
      </w:r>
      <w:r w:rsidRPr="00407383">
        <w:rPr>
          <w:rFonts w:eastAsia="TimesNewRoman" w:cs="Calibri"/>
        </w:rPr>
        <w:t xml:space="preserve">ź </w:t>
      </w:r>
      <w:r w:rsidRPr="00407383">
        <w:rPr>
          <w:rFonts w:cs="Calibri"/>
        </w:rPr>
        <w:t>wymienione),</w:t>
      </w:r>
    </w:p>
    <w:p w:rsidR="007064E5" w:rsidRPr="00407383" w:rsidRDefault="007064E5" w:rsidP="00407383">
      <w:pPr>
        <w:autoSpaceDE w:val="0"/>
        <w:autoSpaceDN w:val="0"/>
        <w:adjustRightInd w:val="0"/>
        <w:ind w:left="360"/>
        <w:rPr>
          <w:rFonts w:cs="Calibri"/>
        </w:rPr>
      </w:pPr>
      <w:r w:rsidRPr="00407383">
        <w:rPr>
          <w:rFonts w:cs="Calibri"/>
        </w:rPr>
        <w:t>-</w:t>
      </w:r>
      <w:r w:rsidRPr="00407383">
        <w:rPr>
          <w:rFonts w:cs="Calibri"/>
        </w:rPr>
        <w:tab/>
        <w:t>gwarancj</w:t>
      </w:r>
      <w:r w:rsidRPr="00407383">
        <w:rPr>
          <w:rFonts w:eastAsia="TimesNewRoman" w:cs="Calibri"/>
        </w:rPr>
        <w:t xml:space="preserve">ę </w:t>
      </w:r>
      <w:r w:rsidRPr="00407383">
        <w:rPr>
          <w:rFonts w:cs="Calibri"/>
        </w:rPr>
        <w:t>parametrów ł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 xml:space="preserve">cza/kanału (Producent zagwarantuje, </w:t>
      </w:r>
      <w:r w:rsidRPr="00407383">
        <w:rPr>
          <w:rFonts w:eastAsia="TimesNewRoman" w:cs="Calibri"/>
        </w:rPr>
        <w:t>ż</w:t>
      </w:r>
      <w:r w:rsidRPr="00407383">
        <w:rPr>
          <w:rFonts w:cs="Calibri"/>
        </w:rPr>
        <w:t>e ł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>cze stałe b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>d</w:t>
      </w:r>
      <w:r w:rsidRPr="00407383">
        <w:rPr>
          <w:rFonts w:eastAsia="TimesNewRoman" w:cs="Calibri"/>
        </w:rPr>
        <w:t xml:space="preserve">ź </w:t>
      </w:r>
      <w:r w:rsidRPr="00407383">
        <w:rPr>
          <w:rFonts w:cs="Calibri"/>
        </w:rPr>
        <w:t>kanał transmisyjny zbudowany z jego komponentów prze okres 25 lat b</w:t>
      </w:r>
      <w:r w:rsidRPr="00407383">
        <w:rPr>
          <w:rFonts w:eastAsia="TimesNewRoman" w:cs="Calibri"/>
        </w:rPr>
        <w:t>ę</w:t>
      </w:r>
      <w:r w:rsidRPr="00407383">
        <w:rPr>
          <w:rFonts w:cs="Calibri"/>
        </w:rPr>
        <w:t>dzie charakteryzował si</w:t>
      </w:r>
      <w:r w:rsidRPr="00407383">
        <w:rPr>
          <w:rFonts w:eastAsia="TimesNewRoman" w:cs="Calibri"/>
        </w:rPr>
        <w:t xml:space="preserve">ę </w:t>
      </w:r>
      <w:r w:rsidRPr="00407383">
        <w:rPr>
          <w:rFonts w:cs="Calibri"/>
        </w:rPr>
        <w:t>parametrami transmisyjnymi</w:t>
      </w:r>
      <w:r w:rsidR="002B7452">
        <w:rPr>
          <w:rFonts w:cs="Calibri"/>
        </w:rPr>
        <w:t xml:space="preserve"> równymi lub</w:t>
      </w:r>
      <w:r w:rsidRPr="00407383">
        <w:rPr>
          <w:rFonts w:cs="Calibri"/>
        </w:rPr>
        <w:t xml:space="preserve"> przewy</w:t>
      </w:r>
      <w:r w:rsidRPr="00407383">
        <w:rPr>
          <w:rFonts w:eastAsia="TimesNewRoman" w:cs="Calibri"/>
        </w:rPr>
        <w:t>ż</w:t>
      </w:r>
      <w:r w:rsidRPr="00407383">
        <w:rPr>
          <w:rFonts w:cs="Calibri"/>
        </w:rPr>
        <w:t>szaj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>cymi wymogi stawiane przez norm</w:t>
      </w:r>
      <w:r w:rsidRPr="00407383">
        <w:rPr>
          <w:rFonts w:eastAsia="TimesNewRoman" w:cs="Calibri"/>
        </w:rPr>
        <w:t xml:space="preserve">ę </w:t>
      </w:r>
      <w:r w:rsidRPr="00407383">
        <w:rPr>
          <w:rFonts w:cs="Calibri"/>
          <w:snapToGrid w:val="0"/>
        </w:rPr>
        <w:t xml:space="preserve">ISO/IEC 11801 </w:t>
      </w:r>
      <w:r w:rsidR="00131E2B">
        <w:rPr>
          <w:rFonts w:cs="Calibri"/>
          <w:snapToGrid w:val="0"/>
        </w:rPr>
        <w:t xml:space="preserve">według najnowszej edycji </w:t>
      </w:r>
      <w:r w:rsidRPr="00407383">
        <w:rPr>
          <w:rFonts w:cs="Calibri"/>
        </w:rPr>
        <w:t>dla klasy EA),</w:t>
      </w:r>
    </w:p>
    <w:p w:rsidR="007064E5" w:rsidRPr="00407383" w:rsidRDefault="007064E5" w:rsidP="00407383">
      <w:pPr>
        <w:autoSpaceDE w:val="0"/>
        <w:autoSpaceDN w:val="0"/>
        <w:adjustRightInd w:val="0"/>
        <w:ind w:left="360"/>
        <w:rPr>
          <w:rFonts w:cs="Calibri"/>
        </w:rPr>
      </w:pPr>
      <w:r w:rsidRPr="00407383">
        <w:rPr>
          <w:rFonts w:cs="Calibri"/>
        </w:rPr>
        <w:t>-</w:t>
      </w:r>
      <w:r w:rsidRPr="00407383">
        <w:rPr>
          <w:rFonts w:cs="Calibri"/>
        </w:rPr>
        <w:tab/>
        <w:t>gwarancj</w:t>
      </w:r>
      <w:r w:rsidRPr="00407383">
        <w:rPr>
          <w:rFonts w:eastAsia="TimesNewRoman" w:cs="Calibri"/>
        </w:rPr>
        <w:t xml:space="preserve">ę </w:t>
      </w:r>
      <w:r w:rsidRPr="00407383">
        <w:rPr>
          <w:rFonts w:cs="Calibri"/>
        </w:rPr>
        <w:t xml:space="preserve">aplikacji (Producent zagwarantuje, </w:t>
      </w:r>
      <w:r w:rsidRPr="00407383">
        <w:rPr>
          <w:rFonts w:eastAsia="TimesNewRoman" w:cs="Calibri"/>
        </w:rPr>
        <w:t>ż</w:t>
      </w:r>
      <w:r w:rsidRPr="00407383">
        <w:rPr>
          <w:rFonts w:cs="Calibri"/>
        </w:rPr>
        <w:t>e na jego systemie okablowania przez okres 25 lat b</w:t>
      </w:r>
      <w:r w:rsidRPr="00407383">
        <w:rPr>
          <w:rFonts w:eastAsia="TimesNewRoman" w:cs="Calibri"/>
        </w:rPr>
        <w:t>ę</w:t>
      </w:r>
      <w:r w:rsidRPr="00407383">
        <w:rPr>
          <w:rFonts w:cs="Calibri"/>
        </w:rPr>
        <w:t>d</w:t>
      </w:r>
      <w:r w:rsidRPr="00407383">
        <w:rPr>
          <w:rFonts w:eastAsia="TimesNewRoman" w:cs="Calibri"/>
        </w:rPr>
        <w:t xml:space="preserve">ą </w:t>
      </w:r>
      <w:r w:rsidRPr="00407383">
        <w:rPr>
          <w:rFonts w:cs="Calibri"/>
        </w:rPr>
        <w:t>pracowały dowolne aplikacje (współczesne i stworzone w przyszło</w:t>
      </w:r>
      <w:r w:rsidRPr="00407383">
        <w:rPr>
          <w:rFonts w:eastAsia="TimesNewRoman" w:cs="Calibri"/>
        </w:rPr>
        <w:t>ś</w:t>
      </w:r>
      <w:r w:rsidRPr="00407383">
        <w:rPr>
          <w:rFonts w:cs="Calibri"/>
        </w:rPr>
        <w:t>ci), które zaprojektowane były (lub b</w:t>
      </w:r>
      <w:r w:rsidRPr="00407383">
        <w:rPr>
          <w:rFonts w:eastAsia="TimesNewRoman" w:cs="Calibri"/>
        </w:rPr>
        <w:t>ę</w:t>
      </w:r>
      <w:r w:rsidRPr="00407383">
        <w:rPr>
          <w:rFonts w:cs="Calibri"/>
        </w:rPr>
        <w:t>d</w:t>
      </w:r>
      <w:r w:rsidRPr="00407383">
        <w:rPr>
          <w:rFonts w:eastAsia="TimesNewRoman" w:cs="Calibri"/>
        </w:rPr>
        <w:t>ą</w:t>
      </w:r>
      <w:r w:rsidRPr="00407383">
        <w:rPr>
          <w:rFonts w:cs="Calibri"/>
        </w:rPr>
        <w:t>) dla systemów okablowania klasy EA (w rozumieniu normy</w:t>
      </w:r>
      <w:r w:rsidRPr="00407383">
        <w:rPr>
          <w:rFonts w:cs="Calibri"/>
          <w:snapToGrid w:val="0"/>
        </w:rPr>
        <w:t xml:space="preserve"> ISO/IEC 11801 </w:t>
      </w:r>
      <w:r w:rsidR="00131E2B">
        <w:rPr>
          <w:rFonts w:cs="Calibri"/>
          <w:snapToGrid w:val="0"/>
        </w:rPr>
        <w:t>według najnowszej edycji</w:t>
      </w:r>
      <w:r w:rsidRPr="00407383">
        <w:rPr>
          <w:rFonts w:cs="Calibri"/>
          <w:snapToGrid w:val="0"/>
        </w:rPr>
        <w:t xml:space="preserve"> 2.2 06-2011</w:t>
      </w:r>
      <w:r w:rsidRPr="00407383">
        <w:rPr>
          <w:rFonts w:cs="Calibri"/>
        </w:rPr>
        <w:t>).</w:t>
      </w:r>
    </w:p>
    <w:p w:rsidR="007064E5" w:rsidRPr="00214DCB" w:rsidRDefault="007064E5" w:rsidP="00407383">
      <w:pPr>
        <w:autoSpaceDE w:val="0"/>
        <w:autoSpaceDN w:val="0"/>
        <w:adjustRightInd w:val="0"/>
        <w:ind w:left="360"/>
        <w:rPr>
          <w:rFonts w:cs="Calibri"/>
        </w:rPr>
      </w:pPr>
      <w:r w:rsidRPr="00214DCB">
        <w:rPr>
          <w:rFonts w:cs="Calibri"/>
        </w:rPr>
        <w:t>Wymagana gwarancja powinna by</w:t>
      </w:r>
      <w:r w:rsidRPr="00214DCB">
        <w:rPr>
          <w:rFonts w:eastAsia="TimesNewRoman" w:cs="Calibri"/>
        </w:rPr>
        <w:t xml:space="preserve">ć </w:t>
      </w:r>
      <w:r w:rsidRPr="00214DCB">
        <w:rPr>
          <w:rFonts w:cs="Calibri"/>
        </w:rPr>
        <w:t>bezpłatn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usług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serwisową oferowaną U</w:t>
      </w:r>
      <w:r w:rsidRPr="00214DCB">
        <w:rPr>
          <w:rFonts w:eastAsia="TimesNewRoman" w:cs="Calibri"/>
        </w:rPr>
        <w:t>ż</w:t>
      </w:r>
      <w:r w:rsidRPr="00214DCB">
        <w:rPr>
          <w:rFonts w:cs="Calibri"/>
        </w:rPr>
        <w:t>ytkownikowi ko</w:t>
      </w:r>
      <w:r w:rsidRPr="00214DCB">
        <w:rPr>
          <w:rFonts w:eastAsia="TimesNewRoman" w:cs="Calibri"/>
        </w:rPr>
        <w:t>ń</w:t>
      </w:r>
      <w:r w:rsidRPr="00214DCB">
        <w:rPr>
          <w:rFonts w:cs="Calibri"/>
        </w:rPr>
        <w:t>cowemu (Inwestorowi). Powinna obejmowa</w:t>
      </w:r>
      <w:r w:rsidRPr="00214DCB">
        <w:rPr>
          <w:rFonts w:eastAsia="TimesNewRoman" w:cs="Calibri"/>
        </w:rPr>
        <w:t xml:space="preserve">ć </w:t>
      </w:r>
      <w:r w:rsidRPr="00214DCB">
        <w:rPr>
          <w:rFonts w:cs="Calibri"/>
        </w:rPr>
        <w:t>swoim zakresem cało</w:t>
      </w:r>
      <w:r w:rsidRPr="00214DCB">
        <w:rPr>
          <w:rFonts w:eastAsia="TimesNewRoman" w:cs="Calibri"/>
        </w:rPr>
        <w:t xml:space="preserve">ść </w:t>
      </w:r>
      <w:r w:rsidRPr="00214DCB">
        <w:rPr>
          <w:rFonts w:cs="Calibri"/>
        </w:rPr>
        <w:t>systemu okablowania od głównego punktu dystrybucyjnego do gniazda U</w:t>
      </w:r>
      <w:r w:rsidRPr="00214DCB">
        <w:rPr>
          <w:rFonts w:eastAsia="TimesNewRoman" w:cs="Calibri"/>
        </w:rPr>
        <w:t>ż</w:t>
      </w:r>
      <w:r w:rsidRPr="00214DCB">
        <w:rPr>
          <w:rFonts w:cs="Calibri"/>
        </w:rPr>
        <w:t>ytkownika, w tym równie</w:t>
      </w:r>
      <w:r w:rsidRPr="00214DCB">
        <w:rPr>
          <w:rFonts w:eastAsia="TimesNewRoman" w:cs="Calibri"/>
        </w:rPr>
        <w:t xml:space="preserve">ż </w:t>
      </w:r>
      <w:r w:rsidRPr="00214DCB">
        <w:rPr>
          <w:rFonts w:cs="Calibri"/>
        </w:rPr>
        <w:t>okablowanie magistralne (pionowe) i poziome, zarówno dla projektowanej cz</w:t>
      </w:r>
      <w:r w:rsidRPr="00214DCB">
        <w:rPr>
          <w:rFonts w:eastAsia="TimesNewRoman" w:cs="Calibri"/>
        </w:rPr>
        <w:t>ęś</w:t>
      </w:r>
      <w:r w:rsidRPr="00214DCB">
        <w:rPr>
          <w:rFonts w:cs="Calibri"/>
        </w:rPr>
        <w:t>ci logicznej. W celu uzyskania tego rodzaju gwarancji cały system musi by</w:t>
      </w:r>
      <w:r w:rsidRPr="00214DCB">
        <w:rPr>
          <w:rFonts w:eastAsia="TimesNewRoman" w:cs="Calibri"/>
        </w:rPr>
        <w:t xml:space="preserve">ć </w:t>
      </w:r>
      <w:r w:rsidRPr="00214DCB">
        <w:rPr>
          <w:rFonts w:cs="Calibri"/>
        </w:rPr>
        <w:t>zainstalowany przez firm</w:t>
      </w:r>
      <w:r w:rsidRPr="00214DCB">
        <w:rPr>
          <w:rFonts w:eastAsia="TimesNewRoman" w:cs="Calibri"/>
        </w:rPr>
        <w:t xml:space="preserve">ę </w:t>
      </w:r>
      <w:r w:rsidRPr="00214DCB">
        <w:rPr>
          <w:rFonts w:cs="Calibri"/>
        </w:rPr>
        <w:t>instalacyjn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posiadaj</w:t>
      </w:r>
      <w:r w:rsidRPr="00214DCB">
        <w:rPr>
          <w:rFonts w:eastAsia="TimesNewRoman" w:cs="Calibri"/>
        </w:rPr>
        <w:t>ą</w:t>
      </w:r>
      <w:r w:rsidRPr="00214DCB">
        <w:rPr>
          <w:rFonts w:cs="Calibri"/>
        </w:rPr>
        <w:t>c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odpowiedni status uprawniaj</w:t>
      </w:r>
      <w:r w:rsidRPr="00214DCB">
        <w:rPr>
          <w:rFonts w:eastAsia="TimesNewRoman" w:cs="Calibri"/>
        </w:rPr>
        <w:t>ą</w:t>
      </w:r>
      <w:r w:rsidRPr="00214DCB">
        <w:rPr>
          <w:rFonts w:cs="Calibri"/>
        </w:rPr>
        <w:t>cy do udzielenia gwarancji producenta. Wniosek o udzielenie gwarancji składany przez firm</w:t>
      </w:r>
      <w:r w:rsidRPr="00214DCB">
        <w:rPr>
          <w:rFonts w:eastAsia="TimesNewRoman" w:cs="Calibri"/>
        </w:rPr>
        <w:t xml:space="preserve">ę </w:t>
      </w:r>
      <w:r w:rsidRPr="00214DCB">
        <w:rPr>
          <w:rFonts w:cs="Calibri"/>
        </w:rPr>
        <w:t>instalacyjn</w:t>
      </w:r>
      <w:r w:rsidRPr="00214DCB">
        <w:rPr>
          <w:rFonts w:eastAsia="TimesNewRoman" w:cs="Calibri"/>
        </w:rPr>
        <w:t xml:space="preserve">ą </w:t>
      </w:r>
      <w:r w:rsidRPr="00214DCB">
        <w:rPr>
          <w:rFonts w:cs="Calibri"/>
        </w:rPr>
        <w:t>do producenta ma zawiera</w:t>
      </w:r>
      <w:r w:rsidRPr="00214DCB">
        <w:rPr>
          <w:rFonts w:eastAsia="TimesNewRoman" w:cs="Calibri"/>
        </w:rPr>
        <w:t>ć</w:t>
      </w:r>
      <w:r w:rsidRPr="00214DCB">
        <w:rPr>
          <w:rFonts w:cs="Calibri"/>
        </w:rPr>
        <w:t>: list</w:t>
      </w:r>
      <w:r w:rsidRPr="00214DCB">
        <w:rPr>
          <w:rFonts w:eastAsia="TimesNewRoman" w:cs="Calibri"/>
        </w:rPr>
        <w:t xml:space="preserve">ę </w:t>
      </w:r>
      <w:r w:rsidRPr="00214DCB">
        <w:rPr>
          <w:rFonts w:cs="Calibri"/>
        </w:rPr>
        <w:t>zainstalowanych elementów systemu zakupionych w autoryzowanej sieci sprzeda</w:t>
      </w:r>
      <w:r w:rsidRPr="00214DCB">
        <w:rPr>
          <w:rFonts w:eastAsia="TimesNewRoman" w:cs="Calibri"/>
        </w:rPr>
        <w:t>ż</w:t>
      </w:r>
      <w:r w:rsidRPr="00214DCB">
        <w:rPr>
          <w:rFonts w:cs="Calibri"/>
        </w:rPr>
        <w:t>y w Polsce, wyci</w:t>
      </w:r>
      <w:r w:rsidRPr="00214DCB">
        <w:rPr>
          <w:rFonts w:eastAsia="TimesNewRoman" w:cs="Calibri"/>
        </w:rPr>
        <w:t>ą</w:t>
      </w:r>
      <w:r w:rsidRPr="00214DCB">
        <w:rPr>
          <w:rFonts w:cs="Calibri"/>
        </w:rPr>
        <w:t>g z dokumentacji powykonawczej podpisanego przez projektanta instalatora, wyniki pomiarów dynamicznych łącza  transmisyjnego (Permanent Link) wszystkich torów transmisyjnych według norm ISO/IEC11801:2002 wyd. drugie lub EN 50173-1:2007.</w:t>
      </w:r>
    </w:p>
    <w:p w:rsidR="00476B0D" w:rsidRPr="00131E2B" w:rsidRDefault="007064E5" w:rsidP="00131E2B">
      <w:pPr>
        <w:autoSpaceDE w:val="0"/>
        <w:autoSpaceDN w:val="0"/>
        <w:adjustRightInd w:val="0"/>
        <w:ind w:left="360"/>
        <w:rPr>
          <w:rFonts w:cs="Calibri"/>
        </w:rPr>
      </w:pPr>
      <w:r w:rsidRPr="00214DCB">
        <w:rPr>
          <w:rFonts w:cs="Calibri"/>
        </w:rPr>
        <w:t xml:space="preserve">W przypadku wymiany sprzętu, kabli krosowych i przyłączeniowych oraz zmiany torów transmisji sygnału należy upewnić się czy całkowita droga transmisji nie przekracza maksymalnej długości działania danej aplikacji. Wszystkie zmiany konfiguracji okablowania powinny być dokonywane </w:t>
      </w:r>
      <w:r w:rsidRPr="00214DCB">
        <w:rPr>
          <w:rFonts w:cs="Calibri"/>
        </w:rPr>
        <w:lastRenderedPageBreak/>
        <w:t>wyłącznie przy użyciu elementów należących do systemu danego producenta okablowania strukturalnego. Obejmuje to kable przyłączeniowe i krosowe oraz różne adaptery dopasowujące impedancję różnych urządzeń do impedancji kabla U/UTP. Każda rozbudowa okablowania strukturalnego powinna być wykonywana wyłączne przez autoryzowanych instalatorów danego producenta.</w:t>
      </w:r>
    </w:p>
    <w:sectPr w:rsidR="00476B0D" w:rsidRPr="00131E2B" w:rsidSect="004D36A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D66"/>
    <w:multiLevelType w:val="hybridMultilevel"/>
    <w:tmpl w:val="3F8088BA"/>
    <w:lvl w:ilvl="0" w:tplc="452888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A2E"/>
    <w:multiLevelType w:val="hybridMultilevel"/>
    <w:tmpl w:val="E8A6D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FB9"/>
    <w:multiLevelType w:val="hybridMultilevel"/>
    <w:tmpl w:val="6D3CF3D4"/>
    <w:lvl w:ilvl="0" w:tplc="4906C0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146B5"/>
    <w:multiLevelType w:val="hybridMultilevel"/>
    <w:tmpl w:val="B18A6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258D4"/>
    <w:multiLevelType w:val="hybridMultilevel"/>
    <w:tmpl w:val="A0848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723B"/>
    <w:multiLevelType w:val="hybridMultilevel"/>
    <w:tmpl w:val="05641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947DC"/>
    <w:multiLevelType w:val="hybridMultilevel"/>
    <w:tmpl w:val="1A2A1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5EB1"/>
    <w:multiLevelType w:val="hybridMultilevel"/>
    <w:tmpl w:val="FDCAC26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Niagara Solid" w:hAnsi="Niagara Solid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370BD"/>
    <w:multiLevelType w:val="hybridMultilevel"/>
    <w:tmpl w:val="AA702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6261D"/>
    <w:multiLevelType w:val="hybridMultilevel"/>
    <w:tmpl w:val="A3DCB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427D7"/>
    <w:multiLevelType w:val="hybridMultilevel"/>
    <w:tmpl w:val="1C9C0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65F4"/>
    <w:multiLevelType w:val="multilevel"/>
    <w:tmpl w:val="22022124"/>
    <w:lvl w:ilvl="0">
      <w:start w:val="1"/>
      <w:numFmt w:val="decimal"/>
      <w:pStyle w:val="Nagwek1"/>
      <w:lvlText w:val="%1."/>
      <w:lvlJc w:val="left"/>
      <w:pPr>
        <w:ind w:left="840" w:hanging="84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ind w:left="1290" w:hanging="840"/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ind w:left="17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2" w15:restartNumberingAfterBreak="0">
    <w:nsid w:val="3CB37125"/>
    <w:multiLevelType w:val="hybridMultilevel"/>
    <w:tmpl w:val="B44E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32FA1"/>
    <w:multiLevelType w:val="hybridMultilevel"/>
    <w:tmpl w:val="E3500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E16A4"/>
    <w:multiLevelType w:val="hybridMultilevel"/>
    <w:tmpl w:val="89201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B76D2"/>
    <w:multiLevelType w:val="hybridMultilevel"/>
    <w:tmpl w:val="B44E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C01AE"/>
    <w:multiLevelType w:val="hybridMultilevel"/>
    <w:tmpl w:val="472A8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B0AE6"/>
    <w:multiLevelType w:val="hybridMultilevel"/>
    <w:tmpl w:val="817005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A93360"/>
    <w:multiLevelType w:val="hybridMultilevel"/>
    <w:tmpl w:val="1C9C0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6415"/>
    <w:multiLevelType w:val="hybridMultilevel"/>
    <w:tmpl w:val="A268F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C313B"/>
    <w:multiLevelType w:val="hybridMultilevel"/>
    <w:tmpl w:val="E8A6D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4"/>
  </w:num>
  <w:num w:numId="5">
    <w:abstractNumId w:val="6"/>
  </w:num>
  <w:num w:numId="6">
    <w:abstractNumId w:val="7"/>
  </w:num>
  <w:num w:numId="7">
    <w:abstractNumId w:val="16"/>
  </w:num>
  <w:num w:numId="8">
    <w:abstractNumId w:val="1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5"/>
  </w:num>
  <w:num w:numId="12">
    <w:abstractNumId w:val="8"/>
  </w:num>
  <w:num w:numId="13">
    <w:abstractNumId w:val="18"/>
  </w:num>
  <w:num w:numId="14">
    <w:abstractNumId w:val="12"/>
  </w:num>
  <w:num w:numId="15">
    <w:abstractNumId w:val="0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E5"/>
    <w:rsid w:val="00010DE6"/>
    <w:rsid w:val="00024BA3"/>
    <w:rsid w:val="00035A23"/>
    <w:rsid w:val="0004255B"/>
    <w:rsid w:val="000F6706"/>
    <w:rsid w:val="00131E2B"/>
    <w:rsid w:val="00171639"/>
    <w:rsid w:val="0017477E"/>
    <w:rsid w:val="001C1147"/>
    <w:rsid w:val="001D7552"/>
    <w:rsid w:val="002515E5"/>
    <w:rsid w:val="00257FE4"/>
    <w:rsid w:val="002837A2"/>
    <w:rsid w:val="002A10F9"/>
    <w:rsid w:val="002A7B8D"/>
    <w:rsid w:val="002B7452"/>
    <w:rsid w:val="00304E1C"/>
    <w:rsid w:val="003564A0"/>
    <w:rsid w:val="003A4080"/>
    <w:rsid w:val="003E01A0"/>
    <w:rsid w:val="00407383"/>
    <w:rsid w:val="00454568"/>
    <w:rsid w:val="00466EDE"/>
    <w:rsid w:val="00467324"/>
    <w:rsid w:val="00467615"/>
    <w:rsid w:val="00476B0D"/>
    <w:rsid w:val="004865D1"/>
    <w:rsid w:val="004D09E0"/>
    <w:rsid w:val="004D36A1"/>
    <w:rsid w:val="004D4B9A"/>
    <w:rsid w:val="004F01B4"/>
    <w:rsid w:val="00530A3F"/>
    <w:rsid w:val="0054095F"/>
    <w:rsid w:val="005852FC"/>
    <w:rsid w:val="005A5C27"/>
    <w:rsid w:val="005E32D8"/>
    <w:rsid w:val="00604913"/>
    <w:rsid w:val="006335C1"/>
    <w:rsid w:val="00656045"/>
    <w:rsid w:val="00663D5B"/>
    <w:rsid w:val="00682BCD"/>
    <w:rsid w:val="00684A42"/>
    <w:rsid w:val="006A1C2D"/>
    <w:rsid w:val="006C3F83"/>
    <w:rsid w:val="006D6BFA"/>
    <w:rsid w:val="00703096"/>
    <w:rsid w:val="007064E5"/>
    <w:rsid w:val="0071347F"/>
    <w:rsid w:val="007135C2"/>
    <w:rsid w:val="00764887"/>
    <w:rsid w:val="00775C80"/>
    <w:rsid w:val="00822319"/>
    <w:rsid w:val="00823AA2"/>
    <w:rsid w:val="00877190"/>
    <w:rsid w:val="00885DD0"/>
    <w:rsid w:val="008B2DC3"/>
    <w:rsid w:val="008B7E53"/>
    <w:rsid w:val="008E56CF"/>
    <w:rsid w:val="009069AE"/>
    <w:rsid w:val="00910074"/>
    <w:rsid w:val="009103E5"/>
    <w:rsid w:val="00980A66"/>
    <w:rsid w:val="00997AF7"/>
    <w:rsid w:val="009A31E0"/>
    <w:rsid w:val="009B0E77"/>
    <w:rsid w:val="009E274F"/>
    <w:rsid w:val="00A27CF3"/>
    <w:rsid w:val="00A31220"/>
    <w:rsid w:val="00A31418"/>
    <w:rsid w:val="00A3176C"/>
    <w:rsid w:val="00A34472"/>
    <w:rsid w:val="00A616AA"/>
    <w:rsid w:val="00A62B12"/>
    <w:rsid w:val="00AA1364"/>
    <w:rsid w:val="00AD7CD6"/>
    <w:rsid w:val="00AE1FA4"/>
    <w:rsid w:val="00AE428A"/>
    <w:rsid w:val="00AE4A21"/>
    <w:rsid w:val="00B175C0"/>
    <w:rsid w:val="00B22397"/>
    <w:rsid w:val="00B3760B"/>
    <w:rsid w:val="00B4587C"/>
    <w:rsid w:val="00B63DCA"/>
    <w:rsid w:val="00B65960"/>
    <w:rsid w:val="00B82DD7"/>
    <w:rsid w:val="00BA0F93"/>
    <w:rsid w:val="00BF734A"/>
    <w:rsid w:val="00C47328"/>
    <w:rsid w:val="00C53AA2"/>
    <w:rsid w:val="00CB2875"/>
    <w:rsid w:val="00CE6D58"/>
    <w:rsid w:val="00CF53C9"/>
    <w:rsid w:val="00D22851"/>
    <w:rsid w:val="00D7746F"/>
    <w:rsid w:val="00D7798C"/>
    <w:rsid w:val="00DF57F3"/>
    <w:rsid w:val="00E1520D"/>
    <w:rsid w:val="00E31FE2"/>
    <w:rsid w:val="00E41FE3"/>
    <w:rsid w:val="00E66D9B"/>
    <w:rsid w:val="00EC5032"/>
    <w:rsid w:val="00ED4403"/>
    <w:rsid w:val="00F40743"/>
    <w:rsid w:val="00F47772"/>
    <w:rsid w:val="00F501A0"/>
    <w:rsid w:val="00F92E88"/>
    <w:rsid w:val="00FA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18A7"/>
  <w15:chartTrackingRefBased/>
  <w15:docId w15:val="{0A7664AF-7EC8-4637-896B-34F6DF18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4E5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3"/>
    <w:next w:val="Normalny"/>
    <w:link w:val="Nagwek1Znak"/>
    <w:qFormat/>
    <w:rsid w:val="007064E5"/>
    <w:pPr>
      <w:numPr>
        <w:ilvl w:val="0"/>
      </w:numPr>
      <w:outlineLvl w:val="0"/>
    </w:pPr>
  </w:style>
  <w:style w:type="paragraph" w:styleId="Nagwek2">
    <w:name w:val="heading 2"/>
    <w:basedOn w:val="Nagwek3"/>
    <w:next w:val="Normalny"/>
    <w:link w:val="Nagwek2Znak"/>
    <w:qFormat/>
    <w:rsid w:val="007064E5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7064E5"/>
    <w:pPr>
      <w:keepNext/>
      <w:keepLines/>
      <w:numPr>
        <w:ilvl w:val="2"/>
        <w:numId w:val="1"/>
      </w:numPr>
      <w:spacing w:before="360" w:after="240"/>
      <w:outlineLvl w:val="2"/>
    </w:pPr>
    <w:rPr>
      <w:rFonts w:eastAsia="Times New Roman"/>
      <w:b/>
      <w:bCs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64E5"/>
    <w:rPr>
      <w:rFonts w:ascii="Calibri" w:eastAsia="Times New Roman" w:hAnsi="Calibri" w:cs="Times New Roman"/>
      <w:b/>
      <w:bCs/>
      <w:sz w:val="28"/>
      <w:lang w:val="x-none"/>
    </w:rPr>
  </w:style>
  <w:style w:type="character" w:customStyle="1" w:styleId="Nagwek2Znak">
    <w:name w:val="Nagłówek 2 Znak"/>
    <w:basedOn w:val="Domylnaczcionkaakapitu"/>
    <w:link w:val="Nagwek2"/>
    <w:rsid w:val="007064E5"/>
    <w:rPr>
      <w:rFonts w:ascii="Calibri" w:eastAsia="Times New Roman" w:hAnsi="Calibri" w:cs="Times New Roman"/>
      <w:b/>
      <w:bCs/>
      <w:sz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7064E5"/>
    <w:rPr>
      <w:rFonts w:ascii="Calibri" w:eastAsia="Times New Roman" w:hAnsi="Calibri" w:cs="Times New Roman"/>
      <w:b/>
      <w:bCs/>
      <w:sz w:val="28"/>
      <w:lang w:val="x-none"/>
    </w:rPr>
  </w:style>
  <w:style w:type="character" w:customStyle="1" w:styleId="FontStyle47">
    <w:name w:val="Font Style47"/>
    <w:rsid w:val="007064E5"/>
    <w:rPr>
      <w:rFonts w:ascii="Arial Unicode MS" w:eastAsia="Arial Unicode MS" w:cs="Arial Unicode MS"/>
      <w:sz w:val="20"/>
      <w:szCs w:val="20"/>
    </w:rPr>
  </w:style>
  <w:style w:type="paragraph" w:customStyle="1" w:styleId="Style32">
    <w:name w:val="Style32"/>
    <w:basedOn w:val="Normalny"/>
    <w:rsid w:val="007064E5"/>
    <w:pPr>
      <w:widowControl w:val="0"/>
      <w:autoSpaceDE w:val="0"/>
      <w:autoSpaceDN w:val="0"/>
      <w:adjustRightInd w:val="0"/>
      <w:spacing w:after="0" w:line="264" w:lineRule="exact"/>
      <w:ind w:hanging="706"/>
      <w:jc w:val="left"/>
    </w:pPr>
    <w:rPr>
      <w:rFonts w:ascii="Verdana" w:hAnsi="Verdana"/>
      <w:sz w:val="24"/>
      <w:szCs w:val="24"/>
      <w:lang w:eastAsia="pl-PL"/>
    </w:rPr>
  </w:style>
  <w:style w:type="character" w:customStyle="1" w:styleId="FontStyle12">
    <w:name w:val="Font Style12"/>
    <w:rsid w:val="007064E5"/>
    <w:rPr>
      <w:rFonts w:ascii="Tahoma" w:hAnsi="Tahoma" w:cs="Tahoma"/>
      <w:sz w:val="18"/>
      <w:szCs w:val="18"/>
    </w:rPr>
  </w:style>
  <w:style w:type="paragraph" w:customStyle="1" w:styleId="Bezodstpw1">
    <w:name w:val="Bez odstępów1"/>
    <w:qFormat/>
    <w:rsid w:val="007064E5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tyle29">
    <w:name w:val="Style29"/>
    <w:basedOn w:val="Normalny"/>
    <w:rsid w:val="007064E5"/>
    <w:pPr>
      <w:widowControl w:val="0"/>
      <w:autoSpaceDE w:val="0"/>
      <w:autoSpaceDN w:val="0"/>
      <w:adjustRightInd w:val="0"/>
      <w:spacing w:before="0" w:after="0" w:line="267" w:lineRule="exact"/>
      <w:jc w:val="left"/>
    </w:pPr>
    <w:rPr>
      <w:rFonts w:ascii="Verdana" w:eastAsia="Times New Roman" w:hAnsi="Verdan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2397"/>
    <w:pPr>
      <w:ind w:left="720"/>
      <w:contextualSpacing/>
    </w:pPr>
  </w:style>
  <w:style w:type="paragraph" w:customStyle="1" w:styleId="default">
    <w:name w:val="default"/>
    <w:basedOn w:val="Normalny"/>
    <w:rsid w:val="0070309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3521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Blachowski</dc:creator>
  <cp:keywords/>
  <dc:description/>
  <cp:lastModifiedBy>Marcin Blachowski</cp:lastModifiedBy>
  <cp:revision>6</cp:revision>
  <dcterms:created xsi:type="dcterms:W3CDTF">2024-11-08T07:19:00Z</dcterms:created>
  <dcterms:modified xsi:type="dcterms:W3CDTF">2024-11-08T07:44:00Z</dcterms:modified>
</cp:coreProperties>
</file>