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eastAsia="Calibri" w:cs="Times New Roman" w:ascii="Cambria" w:hAnsi="Cambria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A.271.5.2023.AM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rFonts w:ascii="Calibri Light" w:hAnsi="Calibri Light" w:cs="Arial" w:asciiTheme="majorHAnsi" w:hAnsiTheme="majorHAnsi"/>
          <w:bCs/>
        </w:rPr>
      </w:pPr>
      <w:r>
        <w:rPr>
          <w:rFonts w:eastAsia="Cambria" w:cs="Arial" w:ascii="Calibri Light" w:hAnsi="Calibri Light" w:asciiTheme="majorHAnsi" w:hAnsiTheme="majorHAnsi"/>
          <w:bCs/>
          <w:sz w:val="24"/>
          <w:szCs w:val="24"/>
          <w:u w:val="singl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libri Light" w:hAnsi="Calibri Light" w:asciiTheme="majorHAnsi" w:hAnsiTheme="majorHAnsi"/>
          <w:bCs/>
          <w:color w:val="0000FF"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 w:cs="Arial"/>
          <w:b/>
          <w:bCs/>
          <w:color w:val="000000"/>
          <w:u w:val="none"/>
        </w:rPr>
      </w:pPr>
      <w:r>
        <w:rPr>
          <w:rFonts w:cs="Arial" w:ascii="Calibri Light" w:hAnsi="Calibri Light" w:asciiTheme="majorHAnsi" w:hAnsiTheme="majorHAnsi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 w:before="0" w:after="0"/>
        <w:ind w:left="720" w:hanging="0"/>
        <w:contextualSpacing/>
        <w:rPr>
          <w:rFonts w:ascii="Cambria" w:hAnsi="Cambria" w:cs="Arial"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83185</wp:posOffset>
                </wp:positionH>
                <wp:positionV relativeFrom="paragraph">
                  <wp:posOffset>-13970</wp:posOffset>
                </wp:positionV>
                <wp:extent cx="199390" cy="18415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-1.1pt;width:15.65pt;height:14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9390" cy="18415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5.65pt;height:14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b w:val="false"/>
          <w:bCs w:val="false"/>
        </w:rPr>
      </w:pPr>
      <w:r>
        <w:rPr>
          <w:rFonts w:ascii="Cambria" w:hAnsi="Cambria"/>
          <w:b w:val="false"/>
          <w:bCs w:val="false"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WARUNKÓW UDZIAŁU W POSTĘPOWANIU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color w:val="000000"/>
          <w:sz w:val="24"/>
          <w:szCs w:val="24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Przebudowa dróg gminnych ul. Wiejska, ul. Krzywa, ul. Klasztorna, ul. Saperów, ul. 9PAC, ul. Sztabowa, oraz budowa dróg wewnętrznych na osiedlu Kamiennym</w:t>
        <w:br/>
        <w:t xml:space="preserve">i Ceglanym 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  <w:bookmarkStart w:id="0" w:name="_GoBack"/>
      <w:bookmarkEnd w:id="0"/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cstheme="minorHAnsi" w:ascii="Cambria" w:hAnsi="Cambria"/>
          <w:iCs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cs="Calibri" w:ascii="Cambria" w:hAnsi="Cambria" w:cstheme="minorHAnsi"/>
        </w:rPr>
        <w:t xml:space="preserve">określone przez Zamawiającego w Rozdziale 6 Specyfikacji Warunków Zamówienia </w:t>
      </w:r>
      <w:r>
        <w:rPr>
          <w:rFonts w:cs="Calibri" w:ascii="Cambria" w:hAnsi="Cambria" w:cstheme="minorHAnsi"/>
          <w:iCs/>
        </w:rPr>
        <w:t>w zakresie warunku wskazanego w: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1300" cy="232410"/>
                <wp:effectExtent l="0" t="0" r="0" b="0"/>
                <wp:wrapNone/>
                <wp:docPr id="3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5pt;width:18.95pt;height:18.2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1)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10"/>
          <w:szCs w:val="10"/>
        </w:rPr>
      </w:pPr>
      <w:r>
        <w:rPr>
          <w:rFonts w:cs="Calibri" w:cstheme="minorHAnsi" w:ascii="Cambria" w:hAnsi="Cambria"/>
          <w:b/>
          <w:b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1300" cy="232410"/>
                <wp:effectExtent l="0" t="0" r="0" b="0"/>
                <wp:wrapNone/>
                <wp:docPr id="4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17.8pt;margin-top:3.8pt;width:18.95pt;height:18.2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2)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 w:before="120" w:after="0"/>
        <w:ind w:left="453" w:firstLine="567"/>
        <w:contextualSpacing/>
        <w:jc w:val="both"/>
        <w:rPr>
          <w:rFonts w:ascii="Cambria" w:hAnsi="Cambria" w:cs="Calibri" w:cstheme="minorHAnsi"/>
          <w:color w:val="000000"/>
          <w:sz w:val="10"/>
          <w:szCs w:val="10"/>
        </w:rPr>
      </w:pPr>
      <w:r>
        <w:rPr>
          <w:rFonts w:cs="Calibri" w:cstheme="minorHAnsi" w:ascii="Cambria" w:hAnsi="Cambria"/>
          <w:color w:val="000000"/>
          <w:sz w:val="10"/>
          <w:szCs w:val="10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</w:rPr>
        <w:t xml:space="preserve">Oświadczam, że Wykonawca, w imieniu którego składane jest oświadczenie, w celu wykazania warunków udziału w postępowaniu polega na zasobach </w:t>
        <w:br/>
        <w:t xml:space="preserve">innych podmiotu/ów </w:t>
      </w:r>
      <w:r>
        <w:rPr>
          <w:rFonts w:cs="Calibri" w:ascii="Cambria" w:hAnsi="Cambria" w:cstheme="minorHAnsi"/>
          <w:iCs/>
        </w:rPr>
        <w:t>w zakresie warunku wskazanego w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1300" cy="232410"/>
                <wp:effectExtent l="0" t="0" r="0" b="0"/>
                <wp:wrapNone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fillcolor="white" stroked="t" o:allowincell="f" style="position:absolute;margin-left:17.8pt;margin-top:5pt;width:18.95pt;height:18.2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1)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10"/>
          <w:szCs w:val="10"/>
        </w:rPr>
      </w:pPr>
      <w:r>
        <w:rPr>
          <w:rFonts w:cs="Calibri" w:cstheme="minorHAnsi" w:ascii="Cambria" w:hAnsi="Cambria"/>
          <w:b/>
          <w:b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1300" cy="232410"/>
                <wp:effectExtent l="0" t="0" r="0" b="0"/>
                <wp:wrapNone/>
                <wp:docPr id="6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fillcolor="white" stroked="t" o:allowincell="f" style="position:absolute;margin-left:17.8pt;margin-top:3.8pt;width:18.95pt;height:18.2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 xml:space="preserve">pkt. 6.1.4, ppkt. 2), 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color w:val="000000"/>
          <w:sz w:val="10"/>
          <w:szCs w:val="10"/>
        </w:rPr>
      </w:pPr>
      <w:r>
        <w:rPr>
          <w:rFonts w:cs="Calibri" w:cstheme="minorHAnsi" w:ascii="Cambria" w:hAnsi="Cambria"/>
          <w:color w:val="000000"/>
          <w:sz w:val="10"/>
          <w:szCs w:val="10"/>
        </w:rPr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Dane podmiotu, na zasobach którego polega Wykonawca: 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</w:t>
      </w:r>
      <w:r>
        <w:rPr>
          <w:rFonts w:cs="Arial" w:ascii="Cambria" w:hAnsi="Cambria"/>
          <w:sz w:val="24"/>
          <w:szCs w:val="24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7" w:right="1417" w:gutter="0" w:header="1417" w:top="4116" w:footer="905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Wypełnia wykonawca. Rubryki nie wypełnia podmiot udostępniający zasoby.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 ul. Wiejska, ul. Krzywa, ul. Klasztorna, ul. Saperów, ul. 9PAC, ul. Sztabowa, oraz budowa dróg wewnętrznych na osiedlu Kamiennym i Ceglanym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”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LibreOffice/7.5.0.3$Windows_X86_64 LibreOffice_project/c21113d003cd3efa8c53188764377a8272d9d6de</Application>
  <AppVersion>15.0000</AppVersion>
  <Pages>2</Pages>
  <Words>407</Words>
  <Characters>2847</Characters>
  <CharactersWithSpaces>3364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dcterms:modified xsi:type="dcterms:W3CDTF">2023-03-09T08:31:33Z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