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61F02112" w14:textId="77777777" w:rsidR="00B11AE7" w:rsidRDefault="00B11AE7" w:rsidP="00436E80">
      <w:pPr>
        <w:spacing w:after="0" w:line="360" w:lineRule="auto"/>
        <w:jc w:val="center"/>
        <w:rPr>
          <w:rFonts w:ascii="Calibri" w:eastAsia="Calibri" w:hAnsi="Calibri" w:cs="Times New Roman"/>
          <w:b/>
          <w:bCs/>
          <w:sz w:val="36"/>
          <w:szCs w:val="36"/>
        </w:rPr>
      </w:pPr>
    </w:p>
    <w:p w14:paraId="54319178" w14:textId="0DAA0195"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A7343F">
        <w:rPr>
          <w:rFonts w:ascii="Calibri" w:eastAsia="Calibri" w:hAnsi="Calibri" w:cs="Times New Roman"/>
          <w:b/>
          <w:bCs/>
          <w:sz w:val="28"/>
          <w:szCs w:val="28"/>
        </w:rPr>
        <w:t>AB/6/23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6F82550E" w14:textId="3C814515" w:rsidR="00B11AE7" w:rsidRPr="00676E98" w:rsidRDefault="00676E98" w:rsidP="00676E98">
      <w:pPr>
        <w:spacing w:after="0" w:line="360" w:lineRule="auto"/>
        <w:jc w:val="center"/>
        <w:rPr>
          <w:b/>
          <w:bCs/>
          <w:iCs/>
          <w:sz w:val="40"/>
          <w:szCs w:val="40"/>
        </w:rPr>
      </w:pPr>
      <w:r w:rsidRPr="00676E98">
        <w:rPr>
          <w:b/>
          <w:bCs/>
          <w:iCs/>
          <w:sz w:val="40"/>
          <w:szCs w:val="40"/>
        </w:rPr>
        <w:t xml:space="preserve">na dostawę odczynników laboratoryjnych do </w:t>
      </w:r>
      <w:r w:rsidR="00A7343F">
        <w:rPr>
          <w:b/>
          <w:bCs/>
          <w:iCs/>
          <w:sz w:val="40"/>
          <w:szCs w:val="40"/>
        </w:rPr>
        <w:t>biochemii</w:t>
      </w:r>
      <w:r>
        <w:rPr>
          <w:b/>
          <w:bCs/>
          <w:iCs/>
          <w:sz w:val="40"/>
          <w:szCs w:val="40"/>
        </w:rPr>
        <w:t xml:space="preserve"> </w:t>
      </w:r>
      <w:r w:rsidRPr="00676E98">
        <w:rPr>
          <w:b/>
          <w:bCs/>
          <w:iCs/>
          <w:sz w:val="40"/>
          <w:szCs w:val="40"/>
        </w:rPr>
        <w:t>z dzierżawą</w:t>
      </w:r>
      <w:r>
        <w:rPr>
          <w:b/>
          <w:bCs/>
          <w:iCs/>
          <w:sz w:val="40"/>
          <w:szCs w:val="40"/>
        </w:rPr>
        <w:t xml:space="preserve"> automatycznego</w:t>
      </w:r>
      <w:r w:rsidRPr="00676E98">
        <w:rPr>
          <w:b/>
          <w:bCs/>
          <w:iCs/>
          <w:sz w:val="40"/>
          <w:szCs w:val="40"/>
        </w:rPr>
        <w:t xml:space="preserve"> analizatora </w:t>
      </w:r>
      <w:r w:rsidR="00A7343F">
        <w:rPr>
          <w:b/>
          <w:bCs/>
          <w:iCs/>
          <w:sz w:val="40"/>
          <w:szCs w:val="40"/>
        </w:rPr>
        <w:t>biochemicznego</w:t>
      </w:r>
    </w:p>
    <w:p w14:paraId="26C165F4" w14:textId="77777777" w:rsidR="00676E98" w:rsidRDefault="00676E98" w:rsidP="00436E80">
      <w:pPr>
        <w:spacing w:after="0" w:line="360" w:lineRule="auto"/>
        <w:jc w:val="both"/>
        <w:rPr>
          <w:b/>
          <w:sz w:val="24"/>
          <w:szCs w:val="24"/>
        </w:rPr>
      </w:pPr>
    </w:p>
    <w:p w14:paraId="7605F497" w14:textId="1502C80D" w:rsidR="00B11AE7" w:rsidRPr="00B11AE7" w:rsidRDefault="00B11AE7" w:rsidP="00436E80">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5D854475" w14:textId="77777777" w:rsidR="00B11AE7" w:rsidRDefault="00B11AE7" w:rsidP="00436E80">
      <w:pPr>
        <w:spacing w:after="0" w:line="360" w:lineRule="auto"/>
        <w:jc w:val="both"/>
        <w:rPr>
          <w:b/>
          <w:sz w:val="24"/>
          <w:szCs w:val="24"/>
        </w:rPr>
      </w:pPr>
    </w:p>
    <w:p w14:paraId="5CA0233B" w14:textId="77777777" w:rsidR="00B11AE7" w:rsidRDefault="00B11AE7" w:rsidP="00436E80">
      <w:pPr>
        <w:spacing w:after="0" w:line="360" w:lineRule="auto"/>
        <w:jc w:val="both"/>
        <w:rPr>
          <w:b/>
          <w:sz w:val="24"/>
          <w:szCs w:val="24"/>
        </w:rPr>
      </w:pPr>
    </w:p>
    <w:p w14:paraId="06746966" w14:textId="77777777" w:rsidR="00B11AE7" w:rsidRDefault="00B11AE7" w:rsidP="00436E80">
      <w:pPr>
        <w:spacing w:after="0" w:line="360" w:lineRule="auto"/>
        <w:jc w:val="both"/>
        <w:rPr>
          <w:b/>
          <w:sz w:val="24"/>
          <w:szCs w:val="24"/>
        </w:rPr>
      </w:pPr>
    </w:p>
    <w:p w14:paraId="78904E31" w14:textId="0DA766F4"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1AA80CE5" w14:textId="314CFCB1"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Pr>
          <w:b/>
          <w:sz w:val="24"/>
          <w:szCs w:val="24"/>
        </w:rPr>
        <w:t xml:space="preserve">Zatwierdził </w:t>
      </w:r>
    </w:p>
    <w:p w14:paraId="7186E7B7" w14:textId="14AB202D"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7455B0">
        <w:rPr>
          <w:b/>
          <w:sz w:val="24"/>
          <w:szCs w:val="24"/>
        </w:rPr>
        <w:t>11.05</w:t>
      </w:r>
      <w:r w:rsidR="00B365A6">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5A90B025" w14:textId="3D0A6903" w:rsidR="00B11AE7"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74EF14F0" w14:textId="20353452" w:rsidR="00FB3E5F" w:rsidRDefault="00FB3E5F" w:rsidP="00436E80">
      <w:pPr>
        <w:spacing w:after="0" w:line="360" w:lineRule="auto"/>
        <w:jc w:val="both"/>
        <w:rPr>
          <w:b/>
          <w:sz w:val="24"/>
          <w:szCs w:val="24"/>
        </w:rPr>
      </w:pPr>
      <w:r>
        <w:rPr>
          <w:b/>
          <w:sz w:val="24"/>
          <w:szCs w:val="24"/>
        </w:rPr>
        <w:t xml:space="preserve">                                                                                      </w:t>
      </w:r>
    </w:p>
    <w:p w14:paraId="3424E948" w14:textId="77777777" w:rsidR="00FB3E5F" w:rsidRDefault="00FB3E5F" w:rsidP="00436E80">
      <w:pPr>
        <w:spacing w:after="0" w:line="360" w:lineRule="auto"/>
        <w:jc w:val="both"/>
        <w:rPr>
          <w:b/>
          <w:sz w:val="24"/>
          <w:szCs w:val="24"/>
        </w:rPr>
      </w:pPr>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77777777" w:rsidR="009529FF" w:rsidRPr="002B21CC" w:rsidRDefault="009529FF" w:rsidP="00436E80">
      <w:pPr>
        <w:spacing w:after="0" w:line="360"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7455B0"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5C72FA15" w14:textId="39C578F3" w:rsidR="007E0366" w:rsidRDefault="007E0366" w:rsidP="00436E80">
      <w:pPr>
        <w:spacing w:after="0" w:line="360" w:lineRule="auto"/>
        <w:jc w:val="both"/>
      </w:pPr>
    </w:p>
    <w:p w14:paraId="67BDD43F" w14:textId="78846A25" w:rsidR="007E0366" w:rsidRDefault="007E0366" w:rsidP="00436E80">
      <w:pPr>
        <w:spacing w:after="0" w:line="360" w:lineRule="auto"/>
        <w:jc w:val="both"/>
      </w:pPr>
    </w:p>
    <w:p w14:paraId="0AE917EA" w14:textId="2B4712E6" w:rsidR="007E0366" w:rsidRDefault="007E0366" w:rsidP="00436E80">
      <w:pPr>
        <w:spacing w:after="0" w:line="360" w:lineRule="auto"/>
        <w:jc w:val="both"/>
      </w:pPr>
    </w:p>
    <w:p w14:paraId="60ACBF72" w14:textId="77777777" w:rsidR="007E0366" w:rsidRDefault="007E0366"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lastRenderedPageBreak/>
        <w:t>OPIS PRZEDMIOTU ZAMÓWIENIA</w:t>
      </w:r>
    </w:p>
    <w:p w14:paraId="78AC0F80" w14:textId="08B8716C" w:rsidR="00BE1B57" w:rsidRDefault="00BE1B57" w:rsidP="00436E80">
      <w:pPr>
        <w:pStyle w:val="Akapitzlist"/>
        <w:numPr>
          <w:ilvl w:val="0"/>
          <w:numId w:val="3"/>
        </w:numPr>
        <w:spacing w:after="0" w:line="360" w:lineRule="auto"/>
        <w:jc w:val="both"/>
      </w:pPr>
      <w:r w:rsidRPr="00BE1B57">
        <w:t xml:space="preserve">Przedmiotem zamówienia jest </w:t>
      </w:r>
      <w:r w:rsidRPr="00BE1B57">
        <w:rPr>
          <w:b/>
        </w:rPr>
        <w:t xml:space="preserve">dostawa </w:t>
      </w:r>
      <w:r w:rsidR="00141023">
        <w:rPr>
          <w:b/>
        </w:rPr>
        <w:t>odczynników</w:t>
      </w:r>
      <w:r w:rsidR="00887E5C">
        <w:rPr>
          <w:b/>
        </w:rPr>
        <w:t xml:space="preserve"> laboratoryjnych</w:t>
      </w:r>
      <w:r w:rsidR="00141023">
        <w:rPr>
          <w:b/>
        </w:rPr>
        <w:t xml:space="preserve"> </w:t>
      </w:r>
      <w:r w:rsidR="00FB3E5F">
        <w:rPr>
          <w:b/>
        </w:rPr>
        <w:t xml:space="preserve">do </w:t>
      </w:r>
      <w:r w:rsidR="00A7343F">
        <w:rPr>
          <w:b/>
        </w:rPr>
        <w:t>bioc</w:t>
      </w:r>
      <w:r w:rsidR="00E0679D">
        <w:rPr>
          <w:b/>
        </w:rPr>
        <w:t>hemii</w:t>
      </w:r>
      <w:r w:rsidR="00A7343F">
        <w:rPr>
          <w:b/>
        </w:rPr>
        <w:t xml:space="preserve"> z </w:t>
      </w:r>
      <w:r w:rsidR="00FB3E5F">
        <w:rPr>
          <w:b/>
        </w:rPr>
        <w:t>dzierżawą</w:t>
      </w:r>
      <w:r w:rsidR="00676E98">
        <w:rPr>
          <w:b/>
        </w:rPr>
        <w:t xml:space="preserve"> automatycznego</w:t>
      </w:r>
      <w:r w:rsidR="00141023">
        <w:rPr>
          <w:b/>
        </w:rPr>
        <w:t xml:space="preserve"> analizatora </w:t>
      </w:r>
      <w:r w:rsidR="00E0679D">
        <w:rPr>
          <w:b/>
        </w:rPr>
        <w:t>bio</w:t>
      </w:r>
      <w:r w:rsidR="00676E98">
        <w:rPr>
          <w:b/>
        </w:rPr>
        <w:t>chemicznego</w:t>
      </w:r>
      <w:r w:rsidR="00141023">
        <w:rPr>
          <w:b/>
        </w:rPr>
        <w:t xml:space="preserve"> dla potrzeb Centralnego Laboratorium</w:t>
      </w:r>
      <w:r w:rsidR="00AC63E7" w:rsidRPr="00AC63E7">
        <w:rPr>
          <w:b/>
        </w:rPr>
        <w:t xml:space="preserve"> Szpitala</w:t>
      </w:r>
      <w:r w:rsidR="00AC63E7">
        <w:rPr>
          <w:b/>
        </w:rPr>
        <w:t xml:space="preserve"> </w:t>
      </w:r>
      <w:r w:rsidR="00AC63E7" w:rsidRPr="00AC63E7">
        <w:rPr>
          <w:b/>
        </w:rPr>
        <w:t>Powiatowego w Węgrowie</w:t>
      </w:r>
      <w:r w:rsidRPr="00BE1B57">
        <w:t>.</w:t>
      </w:r>
    </w:p>
    <w:p w14:paraId="7BDB94A9" w14:textId="74581C70" w:rsidR="0001540F" w:rsidRDefault="0001540F" w:rsidP="00436E80">
      <w:pPr>
        <w:pStyle w:val="Akapitzlist"/>
        <w:numPr>
          <w:ilvl w:val="0"/>
          <w:numId w:val="3"/>
        </w:numPr>
        <w:spacing w:after="0" w:line="360" w:lineRule="auto"/>
        <w:jc w:val="both"/>
      </w:pPr>
      <w:r w:rsidRPr="0001540F">
        <w:t xml:space="preserve">Szczegółowy opis przedmiotu zamówienia znajduje się w </w:t>
      </w:r>
      <w:r>
        <w:t>Formularzu cenowym stanowiącym Załącznik</w:t>
      </w:r>
      <w:r w:rsidRPr="0001540F">
        <w:t xml:space="preserve"> nr 2</w:t>
      </w:r>
      <w:r w:rsidR="00141023">
        <w:t xml:space="preserve"> oraz Zestawieniu parametrów technicznych i jakościowych stanowiącym </w:t>
      </w:r>
      <w:r w:rsidR="00827298">
        <w:t xml:space="preserve">Załącznik nr 3 do niniejszej </w:t>
      </w:r>
      <w:r w:rsidR="000C5489">
        <w:t>S</w:t>
      </w:r>
      <w:r w:rsidR="00827298">
        <w:t>pecyfikacji</w:t>
      </w:r>
      <w:r w:rsidRPr="0001540F">
        <w:t xml:space="preserve">.        </w:t>
      </w:r>
    </w:p>
    <w:p w14:paraId="31E31EA4" w14:textId="77777777" w:rsidR="00BE1B57" w:rsidRDefault="00BE1B57" w:rsidP="00E0679D">
      <w:pPr>
        <w:pStyle w:val="Akapitzlist"/>
        <w:numPr>
          <w:ilvl w:val="0"/>
          <w:numId w:val="3"/>
        </w:numPr>
        <w:spacing w:after="0" w:line="360" w:lineRule="auto"/>
        <w:jc w:val="both"/>
      </w:pPr>
      <w:r w:rsidRPr="00BE1B57">
        <w:t>Oznaczenie wg Wspólnego Słownika Zamówień (kod CPV)</w:t>
      </w:r>
      <w:r>
        <w:t>:</w:t>
      </w:r>
    </w:p>
    <w:p w14:paraId="1107B419" w14:textId="6BD5D4D7" w:rsidR="00827298" w:rsidRDefault="00FB3E5F" w:rsidP="00E0679D">
      <w:pPr>
        <w:pStyle w:val="Akapitzlist"/>
        <w:spacing w:after="0" w:line="360" w:lineRule="auto"/>
        <w:ind w:left="360"/>
        <w:jc w:val="both"/>
        <w:rPr>
          <w:b/>
        </w:rPr>
      </w:pPr>
      <w:r>
        <w:rPr>
          <w:b/>
        </w:rPr>
        <w:t>33696500-0 – o</w:t>
      </w:r>
      <w:r w:rsidR="00827298" w:rsidRPr="00827298">
        <w:rPr>
          <w:b/>
        </w:rPr>
        <w:t xml:space="preserve">dczynniki </w:t>
      </w:r>
      <w:r>
        <w:rPr>
          <w:b/>
        </w:rPr>
        <w:t>laboratoryjne</w:t>
      </w:r>
      <w:r w:rsidR="00827298" w:rsidRPr="00827298">
        <w:rPr>
          <w:b/>
        </w:rPr>
        <w:t xml:space="preserve">, </w:t>
      </w:r>
    </w:p>
    <w:p w14:paraId="7043CA6C" w14:textId="77777777" w:rsidR="00E0679D" w:rsidRPr="007A7AE3" w:rsidRDefault="00E0679D" w:rsidP="00E0679D">
      <w:pPr>
        <w:pStyle w:val="Akapitzlist"/>
        <w:spacing w:after="0" w:line="360" w:lineRule="auto"/>
        <w:ind w:left="360"/>
        <w:jc w:val="both"/>
        <w:rPr>
          <w:b/>
          <w:bCs/>
        </w:rPr>
      </w:pPr>
      <w:r>
        <w:rPr>
          <w:b/>
          <w:bCs/>
        </w:rPr>
        <w:t>38434500-1</w:t>
      </w:r>
      <w:r w:rsidRPr="007A7AE3">
        <w:rPr>
          <w:b/>
          <w:bCs/>
        </w:rPr>
        <w:t xml:space="preserve"> – anal</w:t>
      </w:r>
      <w:r>
        <w:rPr>
          <w:b/>
          <w:bCs/>
        </w:rPr>
        <w:t>izatory biochemiczne</w:t>
      </w:r>
    </w:p>
    <w:p w14:paraId="25AB011B" w14:textId="77777777" w:rsidR="00827298" w:rsidRPr="00827298" w:rsidRDefault="00827298" w:rsidP="00E0679D">
      <w:pPr>
        <w:pStyle w:val="Akapitzlist"/>
        <w:numPr>
          <w:ilvl w:val="0"/>
          <w:numId w:val="3"/>
        </w:numPr>
        <w:spacing w:after="0" w:line="360" w:lineRule="auto"/>
        <w:jc w:val="both"/>
        <w:rPr>
          <w:b/>
          <w:bCs/>
        </w:rPr>
      </w:pPr>
      <w:r w:rsidRPr="00827298">
        <w:rPr>
          <w:b/>
          <w:bCs/>
        </w:rPr>
        <w:t>Zamawiający nie dopuszcza składania ofert częściowych</w:t>
      </w:r>
    </w:p>
    <w:p w14:paraId="7E5D8031" w14:textId="1973FA50" w:rsidR="00BE1B57" w:rsidRDefault="00827298" w:rsidP="00436E80">
      <w:pPr>
        <w:pStyle w:val="Akapitzlist"/>
        <w:spacing w:after="0" w:line="360" w:lineRule="auto"/>
        <w:ind w:left="360"/>
        <w:jc w:val="both"/>
      </w:pPr>
      <w:r w:rsidRPr="001D63AC">
        <w:t xml:space="preserve">Dzierżawa analizatora wiąże się z zapewnieniem do niego odczynników i części zużywalnych – </w:t>
      </w:r>
      <w:r w:rsidRPr="001D63AC">
        <w:br/>
        <w:t>w  takiej sytuacji powierzenie wykonania zamówienia jednej firmie obniża koszty eksploatacji aparatu i zapewnia kompatybilność odczynników i części zużywalnych z urządzeniem</w:t>
      </w:r>
      <w:r>
        <w:t>.</w:t>
      </w:r>
    </w:p>
    <w:p w14:paraId="27AA3781" w14:textId="5BCC507F" w:rsidR="00743A64" w:rsidRDefault="00743A64" w:rsidP="00436E80">
      <w:pPr>
        <w:pStyle w:val="Akapitzlist"/>
        <w:numPr>
          <w:ilvl w:val="0"/>
          <w:numId w:val="3"/>
        </w:numPr>
        <w:spacing w:after="0" w:line="360" w:lineRule="auto"/>
        <w:jc w:val="both"/>
      </w:pPr>
      <w:r w:rsidRPr="00436E80">
        <w:rPr>
          <w:b/>
        </w:rPr>
        <w:t>Wymagania Zamawiającego</w:t>
      </w:r>
      <w:r>
        <w:t>:</w:t>
      </w:r>
    </w:p>
    <w:p w14:paraId="453AF893" w14:textId="152B185B" w:rsidR="00E0679D" w:rsidRDefault="00E0679D" w:rsidP="00E0679D">
      <w:pPr>
        <w:pStyle w:val="Akapitzlist"/>
        <w:numPr>
          <w:ilvl w:val="1"/>
          <w:numId w:val="3"/>
        </w:numPr>
        <w:spacing w:after="0" w:line="360" w:lineRule="auto"/>
        <w:jc w:val="both"/>
      </w:pPr>
      <w:r>
        <w:t xml:space="preserve">Wykonawca dostarczy analizator do </w:t>
      </w:r>
      <w:r w:rsidRPr="007A7AE3">
        <w:rPr>
          <w:b/>
          <w:bCs/>
        </w:rPr>
        <w:t xml:space="preserve">Centralnego Laboratorium Szpitala Powiatowego </w:t>
      </w:r>
      <w:r>
        <w:rPr>
          <w:b/>
          <w:bCs/>
        </w:rPr>
        <w:br/>
      </w:r>
      <w:r w:rsidRPr="007A7AE3">
        <w:rPr>
          <w:b/>
          <w:bCs/>
        </w:rPr>
        <w:t>w Węgrowie ul. Kościuszki 201</w:t>
      </w:r>
      <w:r>
        <w:t>, bezpłatnie zainstaluje i podłączy do sieci  informatycznej Marcel w terminie do 15 dni od daty podpisania umowy, oraz  przeszkoli personel.</w:t>
      </w:r>
    </w:p>
    <w:p w14:paraId="640BCE1C" w14:textId="3EA31498" w:rsidR="00BE1B57" w:rsidRDefault="00E0679D" w:rsidP="00436E80">
      <w:pPr>
        <w:pStyle w:val="Akapitzlist"/>
        <w:numPr>
          <w:ilvl w:val="1"/>
          <w:numId w:val="3"/>
        </w:numPr>
        <w:spacing w:after="0" w:line="360" w:lineRule="auto"/>
        <w:jc w:val="both"/>
      </w:pPr>
      <w:r>
        <w:t>Wykonawca zapewni</w:t>
      </w:r>
      <w:r w:rsidRPr="00E02A08">
        <w:t xml:space="preserve"> dostosowanie warunków środowiskowych panujących w pomieszczeniu, w którym zostanie zainstalowany analizator, pod względem temperatury i wilgotności, w granicach wymaganych przez producenta aparatu. Kubatu</w:t>
      </w:r>
      <w:r>
        <w:t xml:space="preserve">ra pomieszczenia wynosi ok. </w:t>
      </w:r>
      <w:r w:rsidRPr="00E0679D">
        <w:rPr>
          <w:b/>
        </w:rPr>
        <w:t>70m</w:t>
      </w:r>
      <w:r w:rsidRPr="00E0679D">
        <w:rPr>
          <w:b/>
          <w:vertAlign w:val="superscript"/>
        </w:rPr>
        <w:t>3</w:t>
      </w:r>
      <w:r w:rsidRPr="00E02A08">
        <w:t>.</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163A21E2" w:rsidR="00476FC5" w:rsidRDefault="00476FC5" w:rsidP="00436E80">
      <w:pPr>
        <w:spacing w:after="0" w:line="360" w:lineRule="auto"/>
        <w:jc w:val="both"/>
      </w:pPr>
      <w:r w:rsidRPr="00476FC5">
        <w:t xml:space="preserve">Realizacja zamówienia odbywać się będzie w ciągu </w:t>
      </w:r>
      <w:r w:rsidR="00C0023D">
        <w:rPr>
          <w:b/>
        </w:rPr>
        <w:t>36</w:t>
      </w:r>
      <w:r w:rsidRPr="00476FC5">
        <w:rPr>
          <w:b/>
        </w:rPr>
        <w:t xml:space="preserve"> miesięcy od daty podpisania umowy</w:t>
      </w:r>
      <w:r w:rsidRPr="00476FC5">
        <w:t>, sukcesywnie do potrzeb i możliwości finansowych Zamawiającego na podstawie składanych częściowych zamówień</w:t>
      </w:r>
      <w:r>
        <w:t>.</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05EE870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lastRenderedPageBreak/>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w:t>
      </w:r>
      <w:r w:rsidRPr="00B017DA">
        <w:rPr>
          <w:rFonts w:ascii="Calibri" w:eastAsia="Calibri" w:hAnsi="Calibri" w:cs="Times New Roman"/>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1C60DFA5" w14:textId="77777777" w:rsidR="005F3BE6" w:rsidRPr="001148E7"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14:paraId="4B708433" w14:textId="77777777" w:rsidR="005F3BE6" w:rsidRPr="000C3383" w:rsidRDefault="005F3BE6" w:rsidP="00436E80">
      <w:pPr>
        <w:pStyle w:val="Akapitzlist"/>
        <w:numPr>
          <w:ilvl w:val="1"/>
          <w:numId w:val="8"/>
        </w:numPr>
        <w:spacing w:after="0" w:line="360"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beneficjentem rzeczywistym w rozumieniu ustawy z dnia 1 marca 2018 r. o przeciwdziałaniu praniu pieniędzy oraz finansowaniu </w:t>
      </w:r>
      <w:r w:rsidRPr="00D84BCF">
        <w:rPr>
          <w:rFonts w:ascii="Calibri" w:eastAsia="Calibri" w:hAnsi="Calibri" w:cs="Times New Roman"/>
        </w:rPr>
        <w:lastRenderedPageBreak/>
        <w:t>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74CCC4D8" w14:textId="2E2C3714" w:rsidR="00DB08F7" w:rsidRDefault="00DB08F7" w:rsidP="00DB08F7">
      <w:pPr>
        <w:pStyle w:val="Akapitzlist"/>
        <w:numPr>
          <w:ilvl w:val="1"/>
          <w:numId w:val="4"/>
        </w:numPr>
        <w:spacing w:after="0" w:line="360" w:lineRule="auto"/>
        <w:jc w:val="both"/>
      </w:pPr>
      <w:r w:rsidRPr="000D27C8">
        <w:rPr>
          <w:b/>
          <w:bCs/>
        </w:rPr>
        <w:t>folderu – katalogu</w:t>
      </w:r>
      <w:r>
        <w:t xml:space="preserve"> (w języku polskim) zawierającego opis – specyfikację oferowanego przedmiotu zamówienia tj. </w:t>
      </w:r>
      <w:r w:rsidR="007B030F">
        <w:t xml:space="preserve">automatycznego </w:t>
      </w:r>
      <w:r>
        <w:t xml:space="preserve">analizatora </w:t>
      </w:r>
      <w:r w:rsidR="00DE2F4A">
        <w:t>biochemicznego</w:t>
      </w:r>
      <w:r>
        <w:t xml:space="preserve"> który</w:t>
      </w:r>
      <w:r w:rsidR="007B030F">
        <w:t xml:space="preserve"> </w:t>
      </w:r>
      <w:r>
        <w:t xml:space="preserve">potwierdza spełnianie wymagań opisanych w Załączniku nr 3 do SWZ (Zestawienie parametrów technicznych i użytkowych analizatora </w:t>
      </w:r>
      <w:r w:rsidR="00DE2F4A">
        <w:t>biochemicznego)</w:t>
      </w:r>
      <w:r>
        <w:t>;</w:t>
      </w:r>
    </w:p>
    <w:p w14:paraId="6EA88063" w14:textId="77777777" w:rsidR="00DB08F7" w:rsidRDefault="00DB08F7" w:rsidP="00DB08F7">
      <w:pPr>
        <w:pStyle w:val="Akapitzlist"/>
        <w:numPr>
          <w:ilvl w:val="1"/>
          <w:numId w:val="4"/>
        </w:numPr>
        <w:spacing w:after="0" w:line="360" w:lineRule="auto"/>
        <w:jc w:val="both"/>
      </w:pPr>
      <w:r>
        <w:rPr>
          <w:b/>
          <w:bCs/>
        </w:rPr>
        <w:t xml:space="preserve">dokumentów </w:t>
      </w:r>
      <w:r>
        <w:t>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w:t>
      </w:r>
    </w:p>
    <w:p w14:paraId="515241C9" w14:textId="77777777" w:rsidR="00DB08F7" w:rsidRDefault="00DB08F7" w:rsidP="00DB08F7">
      <w:pPr>
        <w:pStyle w:val="Akapitzlist"/>
        <w:numPr>
          <w:ilvl w:val="1"/>
          <w:numId w:val="4"/>
        </w:numPr>
        <w:spacing w:after="0" w:line="360" w:lineRule="auto"/>
        <w:jc w:val="both"/>
      </w:pPr>
      <w:r>
        <w:rPr>
          <w:b/>
          <w:bCs/>
        </w:rPr>
        <w:t xml:space="preserve">metodyk oraz kart charakterystyk </w:t>
      </w:r>
      <w:r>
        <w:t>substancji niebezpiecznych, wystawionych dla każdego odczynnika odrębnie.</w:t>
      </w:r>
    </w:p>
    <w:p w14:paraId="6FBC50B0" w14:textId="77777777" w:rsidR="00C4607D" w:rsidRDefault="00C4607D" w:rsidP="00436E80">
      <w:pPr>
        <w:pStyle w:val="Akapitzlist"/>
        <w:numPr>
          <w:ilvl w:val="0"/>
          <w:numId w:val="4"/>
        </w:numPr>
        <w:spacing w:after="0" w:line="360" w:lineRule="auto"/>
        <w:jc w:val="both"/>
      </w:pPr>
      <w:r>
        <w:t>Dokumenty potwierdzające zgodność oferowanego aparatu z wymaganiami technicznymi i użytkowymi należy złożyć z zaznaczeniem, której pozycji dotyczą.</w:t>
      </w:r>
    </w:p>
    <w:p w14:paraId="267063B4" w14:textId="77777777" w:rsidR="00C4607D" w:rsidRDefault="00C4607D" w:rsidP="00436E80">
      <w:pPr>
        <w:pStyle w:val="Akapitzlist"/>
        <w:numPr>
          <w:ilvl w:val="0"/>
          <w:numId w:val="4"/>
        </w:numPr>
        <w:spacing w:after="0" w:line="360" w:lineRule="auto"/>
        <w:jc w:val="both"/>
      </w:pPr>
      <w:r>
        <w:lastRenderedPageBreak/>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5723F7D"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0106744" w14:textId="77777777" w:rsidR="00E359D1" w:rsidRPr="00D16BED" w:rsidRDefault="00E359D1" w:rsidP="00436E80">
      <w:pPr>
        <w:numPr>
          <w:ilvl w:val="0"/>
          <w:numId w:val="5"/>
        </w:numPr>
        <w:spacing w:after="0" w:line="360" w:lineRule="auto"/>
        <w:contextualSpacing/>
        <w:jc w:val="both"/>
        <w:rPr>
          <w:b/>
          <w:i/>
        </w:rPr>
      </w:pPr>
      <w:r w:rsidRPr="00D16BED">
        <w:rPr>
          <w:b/>
          <w:i/>
          <w:iCs/>
        </w:rPr>
        <w:t xml:space="preserve">Zamawiający wezwie Wykonawcę, którego oferta została najwyżej oceniona do złożenia </w:t>
      </w:r>
      <w:r w:rsidRPr="00D16BED">
        <w:rPr>
          <w:b/>
          <w:i/>
          <w:iCs/>
        </w:rPr>
        <w:br/>
        <w:t>w wyznaczonym terminie, nie krótszym niż 5 dni</w:t>
      </w:r>
      <w:r w:rsidRPr="00D16BED">
        <w:rPr>
          <w:b/>
          <w:i/>
        </w:rPr>
        <w:t xml:space="preserve">: </w:t>
      </w:r>
    </w:p>
    <w:p w14:paraId="00566117" w14:textId="2DFB2FF2" w:rsidR="00E359D1" w:rsidRDefault="00E359D1" w:rsidP="00436E80">
      <w:pPr>
        <w:numPr>
          <w:ilvl w:val="1"/>
          <w:numId w:val="5"/>
        </w:numPr>
        <w:spacing w:after="0" w:line="360" w:lineRule="auto"/>
        <w:contextualSpacing/>
        <w:jc w:val="both"/>
      </w:pPr>
      <w:r w:rsidRPr="00E359D1">
        <w:rPr>
          <w:b/>
        </w:rPr>
        <w:t>oświadczenia Wykonawcy w zakresie art. 108 ust. 1 pkt 1 Pzp o braku przynależności do tej samej grupy kapitałowej</w:t>
      </w:r>
      <w:r w:rsidRPr="00E359D1">
        <w:t xml:space="preserve">, zgodnie z </w:t>
      </w:r>
      <w:r w:rsidRPr="00E359D1">
        <w:rPr>
          <w:b/>
        </w:rPr>
        <w:t xml:space="preserve">Załącznikiem nr </w:t>
      </w:r>
      <w:r w:rsidR="00883879">
        <w:rPr>
          <w:b/>
        </w:rPr>
        <w:t>5</w:t>
      </w:r>
      <w:r w:rsidRPr="00E359D1">
        <w:t xml:space="preserve"> do SWZ; </w:t>
      </w:r>
    </w:p>
    <w:p w14:paraId="0CD76A7A" w14:textId="7A96D956" w:rsidR="00E359D1" w:rsidRDefault="00E359D1" w:rsidP="00436E80">
      <w:pPr>
        <w:numPr>
          <w:ilvl w:val="0"/>
          <w:numId w:val="5"/>
        </w:numPr>
        <w:spacing w:after="0" w:line="360" w:lineRule="auto"/>
        <w:contextualSpacing/>
        <w:jc w:val="both"/>
      </w:pPr>
      <w:r w:rsidRPr="00E359D1">
        <w:t xml:space="preserve">W przypadku, kiedy w postępowaniu zostanie złożona tylko jedna ważna oferta Zamawiający </w:t>
      </w:r>
      <w:r w:rsidRPr="00E359D1">
        <w:rPr>
          <w:b/>
        </w:rPr>
        <w:t>odstąpi od wymogu</w:t>
      </w:r>
      <w:r w:rsidRPr="00E359D1">
        <w:t xml:space="preserve"> złożenia oświadczenia Wykonawcy w zakresie art. 108 ust. 1 pkt 1 Pzp o braku przynależności do tej samej grupy kapitałowej.</w:t>
      </w:r>
    </w:p>
    <w:p w14:paraId="35240C4E" w14:textId="77777777" w:rsidR="000E34F3" w:rsidRDefault="000E34F3" w:rsidP="00436E80">
      <w:pPr>
        <w:numPr>
          <w:ilvl w:val="0"/>
          <w:numId w:val="5"/>
        </w:numPr>
        <w:spacing w:after="0" w:line="360" w:lineRule="auto"/>
        <w:contextualSpacing/>
        <w:jc w:val="both"/>
      </w:pPr>
      <w:r w:rsidRPr="00017661">
        <w:rPr>
          <w:b/>
          <w:bCs/>
        </w:rPr>
        <w:lastRenderedPageBreak/>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673E2C01" w14:textId="77777777" w:rsidR="00B03AA0" w:rsidRPr="000D3F0C"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572B2244" w14:textId="4AFF09EA" w:rsidR="00B03AA0" w:rsidRDefault="00B03AA0" w:rsidP="00436E80">
      <w:pPr>
        <w:numPr>
          <w:ilvl w:val="0"/>
          <w:numId w:val="14"/>
        </w:numPr>
        <w:spacing w:after="0" w:line="360" w:lineRule="auto"/>
        <w:contextualSpacing/>
        <w:jc w:val="both"/>
        <w:rPr>
          <w:rFonts w:ascii="Calibri" w:eastAsia="Calibri" w:hAnsi="Calibri" w:cs="Times New Roman"/>
        </w:rPr>
      </w:pPr>
      <w:r w:rsidRPr="00AA2048">
        <w:rPr>
          <w:rFonts w:ascii="Calibri" w:eastAsia="Calibri" w:hAnsi="Calibri" w:cs="Times New Roman"/>
        </w:rPr>
        <w:t xml:space="preserve"> </w:t>
      </w: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cenowy</w:t>
      </w:r>
      <w:r w:rsidRPr="00AA2048">
        <w:rPr>
          <w:rFonts w:ascii="Calibri" w:eastAsia="Calibri" w:hAnsi="Calibri" w:cs="Times New Roman"/>
        </w:rPr>
        <w:t xml:space="preserve"> </w:t>
      </w:r>
    </w:p>
    <w:p w14:paraId="352C3099" w14:textId="42A53042"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Załącznik nr 3</w:t>
      </w:r>
      <w:r>
        <w:rPr>
          <w:rFonts w:ascii="Calibri" w:eastAsia="Calibri" w:hAnsi="Calibri" w:cs="Times New Roman"/>
        </w:rPr>
        <w:t xml:space="preserve"> do Specyfikacji, Zestawienie parametrów technicznych i użytkowych</w:t>
      </w:r>
    </w:p>
    <w:p w14:paraId="2CCE66DE" w14:textId="6940CC60"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883879">
        <w:rPr>
          <w:rFonts w:ascii="Calibri" w:eastAsia="Calibri" w:hAnsi="Calibri" w:cs="Times New Roman"/>
          <w:b/>
        </w:rPr>
        <w:t>4</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lastRenderedPageBreak/>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Pr="00A651D2" w:rsidRDefault="003B1924" w:rsidP="003E1E2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lastRenderedPageBreak/>
        <w:t>INFORMACJA O SPOSOBIE POROZUMIEWANIA SIĘ ZAMAWIAJĄCEGO Z WYKONAWCAMI ORAZ PRZEKAZYWANIA OŚWIADCZEŃ I DOKUMENTÓW</w:t>
      </w:r>
    </w:p>
    <w:p w14:paraId="33582F23" w14:textId="25FBE67D" w:rsidR="003B1924" w:rsidRPr="00417D32" w:rsidRDefault="003B1924" w:rsidP="00436E80">
      <w:pPr>
        <w:numPr>
          <w:ilvl w:val="0"/>
          <w:numId w:val="10"/>
        </w:numPr>
        <w:spacing w:after="0" w:line="360" w:lineRule="auto"/>
        <w:contextualSpacing/>
        <w:jc w:val="both"/>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F241A8">
        <w:rPr>
          <w:b/>
        </w:rPr>
        <w:t>Emilia Skóra, Kierownik Laboratorium</w:t>
      </w:r>
    </w:p>
    <w:p w14:paraId="0C628DDC" w14:textId="77777777" w:rsidR="00417D32" w:rsidRDefault="003B1924" w:rsidP="00436E80">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017661">
        <w:rPr>
          <w:b/>
          <w:bCs/>
        </w:rPr>
        <w:lastRenderedPageBreak/>
        <w:t>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6716C599" w:rsidR="006A2804" w:rsidRDefault="00A8258E" w:rsidP="00436E80">
      <w:pPr>
        <w:pStyle w:val="Akapitzlist"/>
        <w:numPr>
          <w:ilvl w:val="0"/>
          <w:numId w:val="11"/>
        </w:numPr>
        <w:spacing w:after="0" w:line="360" w:lineRule="auto"/>
        <w:jc w:val="both"/>
      </w:pPr>
      <w:r w:rsidRPr="00A8258E">
        <w:lastRenderedPageBreak/>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8C37D2">
        <w:rPr>
          <w:b/>
          <w:color w:val="FF0000"/>
        </w:rPr>
        <w:t>22.05.2023</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44EE92BF"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8C37D2">
        <w:rPr>
          <w:b/>
          <w:color w:val="FF0000"/>
        </w:rPr>
        <w:t>25.06.2023</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lastRenderedPageBreak/>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lastRenderedPageBreak/>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lastRenderedPageBreak/>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047B02">
        <w:t>Zamawiający rekomenduje wykorzystanie podpisu z kwalifikowanym znacznikiem czasu.</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53A32403"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8C37D2">
        <w:rPr>
          <w:b/>
          <w:color w:val="FF0000"/>
        </w:rPr>
        <w:t>26.05.2023</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lastRenderedPageBreak/>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12FC8821" w:rsidR="00D7335D" w:rsidRDefault="00D7335D" w:rsidP="00436E80">
      <w:pPr>
        <w:pStyle w:val="Akapitzlist"/>
        <w:numPr>
          <w:ilvl w:val="0"/>
          <w:numId w:val="18"/>
        </w:numPr>
        <w:spacing w:after="0" w:line="360" w:lineRule="auto"/>
        <w:jc w:val="both"/>
      </w:pPr>
      <w:r w:rsidRPr="00D7335D">
        <w:t xml:space="preserve">Otwarcie ofert nastąpi w dniu: </w:t>
      </w:r>
      <w:r w:rsidR="008C37D2">
        <w:rPr>
          <w:b/>
        </w:rPr>
        <w:t>26.05.2023</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lastRenderedPageBreak/>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46C85722" w14:textId="45FD9546" w:rsid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2C54859C" w14:textId="7B16B287" w:rsidR="00AC31BF" w:rsidRPr="00AC31BF" w:rsidRDefault="00AC31BF" w:rsidP="00AC31BF">
      <w:pPr>
        <w:numPr>
          <w:ilvl w:val="0"/>
          <w:numId w:val="40"/>
        </w:numPr>
        <w:spacing w:after="0"/>
        <w:contextualSpacing/>
        <w:jc w:val="both"/>
        <w:rPr>
          <w:rFonts w:ascii="Calibri" w:eastAsia="Calibri" w:hAnsi="Calibri" w:cs="Times New Roman"/>
        </w:rPr>
      </w:pPr>
      <w:r w:rsidRPr="00E53DF8">
        <w:rPr>
          <w:rFonts w:ascii="Calibri" w:eastAsia="Calibri" w:hAnsi="Calibri" w:cs="Times New Roman"/>
        </w:rPr>
        <w:t>termin dostawy odczynników – „T”</w:t>
      </w:r>
    </w:p>
    <w:p w14:paraId="7F4E7F7F" w14:textId="77777777" w:rsidR="00D22FBE" w:rsidRPr="00D22FBE" w:rsidRDefault="00D22FBE" w:rsidP="00436E80">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3F962227" w:rsidR="00D22FBE" w:rsidRPr="00D22FBE" w:rsidRDefault="00A966A2"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30</w:t>
            </w:r>
          </w:p>
        </w:tc>
        <w:tc>
          <w:tcPr>
            <w:tcW w:w="1134" w:type="dxa"/>
            <w:vAlign w:val="center"/>
          </w:tcPr>
          <w:p w14:paraId="6F9EF5A0" w14:textId="3438AF75" w:rsidR="00D22FBE" w:rsidRPr="00D22FBE" w:rsidRDefault="00D96993"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3</w:t>
            </w:r>
            <w:r w:rsidR="00D22FBE">
              <w:rPr>
                <w:rFonts w:ascii="Calibri" w:eastAsia="Calibri" w:hAnsi="Calibri" w:cs="Times New Roman"/>
                <w:sz w:val="20"/>
                <w:szCs w:val="20"/>
              </w:rPr>
              <w:t>0</w:t>
            </w:r>
          </w:p>
        </w:tc>
        <w:tc>
          <w:tcPr>
            <w:tcW w:w="4025" w:type="dxa"/>
            <w:vAlign w:val="center"/>
          </w:tcPr>
          <w:p w14:paraId="4041FED9" w14:textId="433C5CC6" w:rsidR="00D22FBE" w:rsidRPr="00D22FBE" w:rsidRDefault="006E673A"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Na podstawie załącznika nr 3 do SWZ</w:t>
            </w:r>
          </w:p>
        </w:tc>
      </w:tr>
      <w:tr w:rsidR="00D96993" w:rsidRPr="00D22FBE" w14:paraId="6C5EBB46" w14:textId="77777777" w:rsidTr="00A966A2">
        <w:tc>
          <w:tcPr>
            <w:tcW w:w="2381" w:type="dxa"/>
            <w:vAlign w:val="center"/>
          </w:tcPr>
          <w:p w14:paraId="3C5E8B2A" w14:textId="08226B6F" w:rsidR="00D96993" w:rsidRPr="00D22FBE" w:rsidRDefault="00D96993" w:rsidP="00D96993">
            <w:pPr>
              <w:spacing w:line="360" w:lineRule="auto"/>
              <w:rPr>
                <w:rFonts w:ascii="Calibri" w:eastAsia="Calibri" w:hAnsi="Calibri" w:cs="Times New Roman"/>
                <w:sz w:val="20"/>
                <w:szCs w:val="20"/>
              </w:rPr>
            </w:pPr>
            <w:r w:rsidRPr="00E53DF8">
              <w:rPr>
                <w:rFonts w:ascii="Calibri" w:eastAsia="Calibri" w:hAnsi="Calibri" w:cs="Times New Roman"/>
                <w:sz w:val="20"/>
                <w:szCs w:val="20"/>
              </w:rPr>
              <w:t>Termin dostawy odczynników</w:t>
            </w:r>
          </w:p>
        </w:tc>
        <w:tc>
          <w:tcPr>
            <w:tcW w:w="1134" w:type="dxa"/>
            <w:vAlign w:val="center"/>
          </w:tcPr>
          <w:p w14:paraId="120D938A" w14:textId="2B80363A"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1134" w:type="dxa"/>
            <w:vAlign w:val="center"/>
          </w:tcPr>
          <w:p w14:paraId="2DE1E156" w14:textId="70AD0BAF" w:rsidR="00D96993"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10</w:t>
            </w:r>
          </w:p>
        </w:tc>
        <w:tc>
          <w:tcPr>
            <w:tcW w:w="4025" w:type="dxa"/>
            <w:tcBorders>
              <w:bottom w:val="single" w:sz="4" w:space="0" w:color="auto"/>
            </w:tcBorders>
            <w:vAlign w:val="center"/>
          </w:tcPr>
          <w:p w14:paraId="4D8E6FAA" w14:textId="39A636C1" w:rsidR="00D96993" w:rsidRPr="00D22FBE" w:rsidRDefault="00D96993" w:rsidP="00D96993">
            <w:pPr>
              <w:spacing w:line="360" w:lineRule="auto"/>
              <w:jc w:val="center"/>
              <w:rPr>
                <w:rFonts w:ascii="Calibri" w:eastAsia="Calibri" w:hAnsi="Calibri" w:cs="Times New Roman"/>
                <w:sz w:val="20"/>
                <w:szCs w:val="20"/>
              </w:rPr>
            </w:pPr>
            <w:r w:rsidRPr="00E53DF8">
              <w:rPr>
                <w:rFonts w:ascii="Calibri" w:eastAsia="Calibri" w:hAnsi="Calibri" w:cs="Times New Roman"/>
                <w:sz w:val="20"/>
                <w:szCs w:val="20"/>
              </w:rPr>
              <w:t xml:space="preserve">T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E53DF8">
              <w:rPr>
                <w:rFonts w:ascii="Calibri" w:eastAsia="Times New Roman" w:hAnsi="Calibri" w:cs="Times New Roman"/>
                <w:sz w:val="20"/>
                <w:szCs w:val="20"/>
              </w:rPr>
              <w:t xml:space="preserve"> x 100 x 10%</w:t>
            </w:r>
          </w:p>
        </w:tc>
      </w:tr>
      <w:tr w:rsidR="00D22FBE" w:rsidRPr="00D22FBE" w14:paraId="2272826B" w14:textId="77777777" w:rsidTr="00A966A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lastRenderedPageBreak/>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58775F6" w14:textId="7FD87122" w:rsidR="00D96993" w:rsidRPr="00E53DF8"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Przy obliczaniu liczby punktów w kryterium nr 3 „termin dostawy odczynników”, Zamawiający  zastosuje następujące wyliczenie:</w:t>
      </w:r>
    </w:p>
    <w:p w14:paraId="48C54DC9"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5 dni roboczych</w:t>
      </w:r>
      <w:r w:rsidRPr="00E53DF8">
        <w:rPr>
          <w:rFonts w:ascii="Calibri" w:eastAsia="Calibri" w:hAnsi="Calibri" w:cs="Times New Roman"/>
        </w:rPr>
        <w:t xml:space="preserve"> (maksymalny termin graniczny) – </w:t>
      </w:r>
      <w:r w:rsidRPr="00E53DF8">
        <w:rPr>
          <w:rFonts w:ascii="Calibri" w:eastAsia="Calibri" w:hAnsi="Calibri" w:cs="Times New Roman"/>
          <w:b/>
          <w:bCs/>
        </w:rPr>
        <w:t>0 pkt</w:t>
      </w:r>
      <w:r w:rsidRPr="00E53DF8">
        <w:rPr>
          <w:rFonts w:ascii="Calibri" w:eastAsia="Calibri" w:hAnsi="Calibri" w:cs="Times New Roman"/>
        </w:rPr>
        <w:t>;</w:t>
      </w:r>
    </w:p>
    <w:p w14:paraId="5445F5AE"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4 dni robocze</w:t>
      </w:r>
      <w:r w:rsidRPr="00E53DF8">
        <w:rPr>
          <w:rFonts w:ascii="Calibri" w:eastAsia="Calibri" w:hAnsi="Calibri" w:cs="Times New Roman"/>
        </w:rPr>
        <w:t xml:space="preserve"> – </w:t>
      </w:r>
      <w:r w:rsidRPr="00E53DF8">
        <w:rPr>
          <w:rFonts w:ascii="Calibri" w:eastAsia="Calibri" w:hAnsi="Calibri" w:cs="Times New Roman"/>
          <w:b/>
          <w:bCs/>
        </w:rPr>
        <w:t>2 pkt</w:t>
      </w:r>
      <w:r w:rsidRPr="00E53DF8">
        <w:rPr>
          <w:rFonts w:ascii="Calibri" w:eastAsia="Calibri" w:hAnsi="Calibri" w:cs="Times New Roman"/>
        </w:rPr>
        <w:t>;</w:t>
      </w:r>
    </w:p>
    <w:p w14:paraId="1AEEF000"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3 dni  robocze</w:t>
      </w:r>
      <w:r w:rsidRPr="00E53DF8">
        <w:rPr>
          <w:rFonts w:ascii="Calibri" w:eastAsia="Calibri" w:hAnsi="Calibri" w:cs="Times New Roman"/>
        </w:rPr>
        <w:t xml:space="preserve"> – </w:t>
      </w:r>
      <w:r w:rsidRPr="00E53DF8">
        <w:rPr>
          <w:rFonts w:ascii="Calibri" w:eastAsia="Calibri" w:hAnsi="Calibri" w:cs="Times New Roman"/>
          <w:b/>
          <w:bCs/>
        </w:rPr>
        <w:t>3 pkt</w:t>
      </w:r>
      <w:r w:rsidRPr="00E53DF8">
        <w:rPr>
          <w:rFonts w:ascii="Calibri" w:eastAsia="Calibri" w:hAnsi="Calibri" w:cs="Times New Roman"/>
        </w:rPr>
        <w:t>;</w:t>
      </w:r>
    </w:p>
    <w:p w14:paraId="5B79F708" w14:textId="77777777" w:rsidR="00D96993" w:rsidRPr="00E53DF8" w:rsidRDefault="00D96993" w:rsidP="00D96993">
      <w:pPr>
        <w:numPr>
          <w:ilvl w:val="1"/>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2 dni robocze</w:t>
      </w:r>
      <w:r w:rsidRPr="00E53DF8">
        <w:rPr>
          <w:rFonts w:ascii="Calibri" w:eastAsia="Calibri" w:hAnsi="Calibri" w:cs="Times New Roman"/>
        </w:rPr>
        <w:t xml:space="preserve">  (minimalny termin graniczny) – </w:t>
      </w:r>
      <w:r w:rsidRPr="00E53DF8">
        <w:rPr>
          <w:rFonts w:ascii="Calibri" w:eastAsia="Calibri" w:hAnsi="Calibri" w:cs="Times New Roman"/>
          <w:b/>
          <w:bCs/>
        </w:rPr>
        <w:t>5 pkt</w:t>
      </w:r>
      <w:r w:rsidRPr="00E53DF8">
        <w:rPr>
          <w:rFonts w:ascii="Calibri" w:eastAsia="Calibri" w:hAnsi="Calibri" w:cs="Times New Roman"/>
        </w:rPr>
        <w:t>.</w:t>
      </w:r>
    </w:p>
    <w:p w14:paraId="7106CF3C" w14:textId="1A12FC3D" w:rsidR="00D96993" w:rsidRPr="00E53DF8" w:rsidRDefault="00D96993" w:rsidP="00D96993">
      <w:pPr>
        <w:spacing w:after="0" w:line="360" w:lineRule="auto"/>
        <w:ind w:left="360"/>
        <w:contextualSpacing/>
        <w:jc w:val="both"/>
        <w:rPr>
          <w:rFonts w:ascii="Calibri" w:eastAsia="Calibri" w:hAnsi="Calibri" w:cs="Times New Roman"/>
        </w:rPr>
      </w:pPr>
      <w:r w:rsidRPr="00E53DF8">
        <w:rPr>
          <w:rFonts w:ascii="Calibri" w:eastAsia="Calibri" w:hAnsi="Calibri" w:cs="Times New Roman"/>
        </w:rPr>
        <w:t xml:space="preserve">Zgodnie z warunkami SIWZ maksymalny termin dostawy zamówionego towaru  wynosi 5 dni  roboczych. Jeżeli Wykonawca w formularzu ofertowym nie wskaże terminu dostawy  zamówionego towaru, Zamawiający uzna, że Wykonawca zrealizuje dostawę przedmiotu zamówienia  w terminie  wymaganym przez  Zamawiającego wynoszącym 5 dni roboczych. </w:t>
      </w:r>
    </w:p>
    <w:p w14:paraId="5FDD2008" w14:textId="0CEFFA8D" w:rsidR="00D96993" w:rsidRPr="00D96993" w:rsidRDefault="00D96993" w:rsidP="00D96993">
      <w:pPr>
        <w:numPr>
          <w:ilvl w:val="0"/>
          <w:numId w:val="39"/>
        </w:numPr>
        <w:spacing w:after="0" w:line="360" w:lineRule="auto"/>
        <w:contextualSpacing/>
        <w:jc w:val="both"/>
        <w:rPr>
          <w:rFonts w:ascii="Calibri" w:eastAsia="Calibri" w:hAnsi="Calibri" w:cs="Times New Roman"/>
        </w:rPr>
      </w:pPr>
      <w:r w:rsidRPr="00E53DF8">
        <w:rPr>
          <w:rFonts w:ascii="Calibri" w:eastAsia="Calibri" w:hAnsi="Calibri" w:cs="Times New Roman"/>
        </w:rPr>
        <w:t>Ocena wg kryterium „termin realizacji zamówienia” dokonana zostanie w oparciu o informację zawartą w formularzu ofertowym</w:t>
      </w:r>
      <w:r>
        <w:rPr>
          <w:rFonts w:ascii="Calibri" w:eastAsia="Calibri" w:hAnsi="Calibri" w:cs="Times New Roman"/>
        </w:rPr>
        <w:t>.</w:t>
      </w:r>
    </w:p>
    <w:p w14:paraId="5C10F670"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poszczególnych kryteriach będzie liczona  z dokładnością do dwóch miejsc po przecinku. </w:t>
      </w:r>
    </w:p>
    <w:p w14:paraId="11CB1450" w14:textId="0A7105E5"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2C1F55">
        <w:rPr>
          <w:rFonts w:ascii="Calibri" w:eastAsia="Calibri" w:hAnsi="Calibri" w:cs="Times New Roman"/>
        </w:rPr>
        <w:t xml:space="preserve">, 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 oraz w kryterium 3 (termin dostawy odczynników)</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6DF1D501"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lastRenderedPageBreak/>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 xml:space="preserve">Jeżeli  zostanie  wybrana  oferta  Wykonawców  wspólnie  ubiegających  się  o  zamówienie,  to  Zamawiający  może zażądać przed podpisaniem Umowy przedłożenia kopii umowy regulującej ich </w:t>
      </w:r>
      <w:r w:rsidRPr="00417F3A">
        <w:lastRenderedPageBreak/>
        <w:t>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2ED043C6"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A3F81">
        <w:rPr>
          <w:b/>
        </w:rPr>
        <w:t xml:space="preserve">6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0EC380B2" w:rsidR="006649A2" w:rsidRDefault="006649A2"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lastRenderedPageBreak/>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15E42A6B" w14:textId="77777777"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6D3C1413" w14:textId="77777777" w:rsidR="00F17321" w:rsidRDefault="00F17321"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77777777" w:rsidR="00166002" w:rsidRDefault="00166002" w:rsidP="00436E80">
      <w:pPr>
        <w:spacing w:after="0" w:line="360" w:lineRule="auto"/>
        <w:jc w:val="both"/>
      </w:pPr>
      <w:r w:rsidRPr="00166002">
        <w:t>Zamawiający nie ustala takiego</w:t>
      </w:r>
      <w:r w:rsidR="00F17321">
        <w:t xml:space="preserve"> obowiązku</w:t>
      </w: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lastRenderedPageBreak/>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 xml:space="preserve">(w przypadku skorzystania przez osobę, której dane są przetwarzane przez zamawiającego z uprawnienia, o którym mowa w art. 15 ust. 1-3 RODO, zamawiający może zażądać od osoby </w:t>
      </w:r>
      <w:r w:rsidRPr="00D96993">
        <w:rPr>
          <w:rFonts w:eastAsia="Times New Roman" w:cstheme="minorHAnsi"/>
          <w:i/>
          <w:lang w:eastAsia="pl-PL"/>
        </w:rPr>
        <w:lastRenderedPageBreak/>
        <w:t>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02B55237" w14:textId="3155F503" w:rsidR="00E575F2" w:rsidRDefault="00E575F2" w:rsidP="00436E80">
      <w:pPr>
        <w:pStyle w:val="Akapitzlist"/>
        <w:spacing w:after="0" w:line="360" w:lineRule="auto"/>
        <w:ind w:left="113"/>
        <w:jc w:val="both"/>
      </w:pPr>
      <w:r>
        <w:t>Załącznik nr 2 – Formularz cenowy</w:t>
      </w:r>
    </w:p>
    <w:p w14:paraId="49A532CE" w14:textId="21669561" w:rsidR="003855A4" w:rsidRDefault="003855A4" w:rsidP="00436E80">
      <w:pPr>
        <w:pStyle w:val="Akapitzlist"/>
        <w:spacing w:after="0" w:line="360" w:lineRule="auto"/>
        <w:ind w:left="113"/>
        <w:jc w:val="both"/>
      </w:pPr>
      <w:r>
        <w:t>Załącznik nr 3 – Zestawienie parametrów technicznych i użytkowych</w:t>
      </w:r>
    </w:p>
    <w:p w14:paraId="011FC61A" w14:textId="20305F44" w:rsidR="00E575F2" w:rsidRDefault="00E575F2" w:rsidP="00436E80">
      <w:pPr>
        <w:pStyle w:val="Akapitzlist"/>
        <w:spacing w:after="0" w:line="360" w:lineRule="auto"/>
        <w:ind w:left="113"/>
        <w:jc w:val="both"/>
      </w:pPr>
      <w:r>
        <w:t xml:space="preserve">Załącznik nr </w:t>
      </w:r>
      <w:r w:rsidR="003855A4">
        <w:t>4</w:t>
      </w:r>
      <w:r>
        <w:t xml:space="preserve"> – Oświadczenie Wykonawcy art. 125 ust. 1 Pzp</w:t>
      </w:r>
    </w:p>
    <w:p w14:paraId="757DF035" w14:textId="642AAC17" w:rsidR="00E575F2" w:rsidRDefault="00E575F2" w:rsidP="00436E80">
      <w:pPr>
        <w:pStyle w:val="Akapitzlist"/>
        <w:spacing w:after="0" w:line="360" w:lineRule="auto"/>
        <w:ind w:left="113"/>
        <w:jc w:val="both"/>
      </w:pPr>
      <w:r>
        <w:t xml:space="preserve">Załącznik nr </w:t>
      </w:r>
      <w:r w:rsidR="003855A4">
        <w:t>5</w:t>
      </w:r>
      <w:r>
        <w:t xml:space="preserve"> – Oświadczenie Wykonawcy o braku przynależności do grupy kapitałowej</w:t>
      </w:r>
    </w:p>
    <w:p w14:paraId="423196A3" w14:textId="66FC0A14" w:rsidR="00E575F2" w:rsidRPr="00F17321" w:rsidRDefault="00E575F2" w:rsidP="00436E80">
      <w:pPr>
        <w:pStyle w:val="Akapitzlist"/>
        <w:spacing w:after="0" w:line="360" w:lineRule="auto"/>
        <w:ind w:left="113"/>
        <w:jc w:val="both"/>
      </w:pPr>
      <w:r>
        <w:t>Załącznik nr 6 –</w:t>
      </w:r>
      <w:r w:rsidR="003855A4">
        <w:t xml:space="preserve">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BEFD" w14:textId="77777777" w:rsidR="00DA7F99" w:rsidRDefault="00DA7F99" w:rsidP="00B11AE7">
      <w:pPr>
        <w:spacing w:after="0" w:line="240" w:lineRule="auto"/>
      </w:pPr>
      <w:r>
        <w:separator/>
      </w:r>
    </w:p>
  </w:endnote>
  <w:endnote w:type="continuationSeparator" w:id="0">
    <w:p w14:paraId="1C180D41" w14:textId="77777777" w:rsidR="00DA7F99" w:rsidRDefault="00DA7F99"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013E229B" w14:textId="69330B7A" w:rsidR="00E8009E" w:rsidRDefault="00E8009E">
        <w:pPr>
          <w:pStyle w:val="Stopka"/>
          <w:jc w:val="center"/>
        </w:pPr>
        <w:r>
          <w:fldChar w:fldCharType="begin"/>
        </w:r>
        <w:r>
          <w:instrText>PAGE   \* MERGEFORMAT</w:instrText>
        </w:r>
        <w:r>
          <w:fldChar w:fldCharType="separate"/>
        </w:r>
        <w:r w:rsidR="00BC08F6">
          <w:rPr>
            <w:noProof/>
          </w:rPr>
          <w:t>10</w:t>
        </w:r>
        <w:r>
          <w:fldChar w:fldCharType="end"/>
        </w:r>
      </w:p>
    </w:sdtContent>
  </w:sdt>
  <w:p w14:paraId="47C25618" w14:textId="77777777" w:rsidR="00E8009E" w:rsidRDefault="00E80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1D74" w14:textId="77777777" w:rsidR="00DA7F99" w:rsidRDefault="00DA7F99" w:rsidP="00B11AE7">
      <w:pPr>
        <w:spacing w:after="0" w:line="240" w:lineRule="auto"/>
      </w:pPr>
      <w:r>
        <w:separator/>
      </w:r>
    </w:p>
  </w:footnote>
  <w:footnote w:type="continuationSeparator" w:id="0">
    <w:p w14:paraId="5DE7B4A1" w14:textId="77777777" w:rsidR="00DA7F99" w:rsidRDefault="00DA7F99"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2D6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85490">
    <w:abstractNumId w:val="29"/>
  </w:num>
  <w:num w:numId="2" w16cid:durableId="670525407">
    <w:abstractNumId w:val="3"/>
  </w:num>
  <w:num w:numId="3" w16cid:durableId="1045786858">
    <w:abstractNumId w:val="34"/>
  </w:num>
  <w:num w:numId="4" w16cid:durableId="1427119835">
    <w:abstractNumId w:val="43"/>
  </w:num>
  <w:num w:numId="5" w16cid:durableId="258028620">
    <w:abstractNumId w:val="31"/>
  </w:num>
  <w:num w:numId="6" w16cid:durableId="1322003900">
    <w:abstractNumId w:val="22"/>
  </w:num>
  <w:num w:numId="7" w16cid:durableId="2064450271">
    <w:abstractNumId w:val="24"/>
  </w:num>
  <w:num w:numId="8" w16cid:durableId="1867213286">
    <w:abstractNumId w:val="20"/>
  </w:num>
  <w:num w:numId="9" w16cid:durableId="893276639">
    <w:abstractNumId w:val="30"/>
  </w:num>
  <w:num w:numId="10" w16cid:durableId="265846292">
    <w:abstractNumId w:val="1"/>
  </w:num>
  <w:num w:numId="11" w16cid:durableId="110168771">
    <w:abstractNumId w:val="7"/>
  </w:num>
  <w:num w:numId="12" w16cid:durableId="245891342">
    <w:abstractNumId w:val="2"/>
  </w:num>
  <w:num w:numId="13" w16cid:durableId="1682656710">
    <w:abstractNumId w:val="14"/>
  </w:num>
  <w:num w:numId="14" w16cid:durableId="255988447">
    <w:abstractNumId w:val="37"/>
  </w:num>
  <w:num w:numId="15" w16cid:durableId="1006788725">
    <w:abstractNumId w:val="35"/>
  </w:num>
  <w:num w:numId="16" w16cid:durableId="1315985210">
    <w:abstractNumId w:val="23"/>
  </w:num>
  <w:num w:numId="17" w16cid:durableId="1517384310">
    <w:abstractNumId w:val="16"/>
  </w:num>
  <w:num w:numId="18" w16cid:durableId="1538085707">
    <w:abstractNumId w:val="4"/>
  </w:num>
  <w:num w:numId="19" w16cid:durableId="480124174">
    <w:abstractNumId w:val="18"/>
  </w:num>
  <w:num w:numId="20" w16cid:durableId="1693258611">
    <w:abstractNumId w:val="25"/>
  </w:num>
  <w:num w:numId="21" w16cid:durableId="918833285">
    <w:abstractNumId w:val="27"/>
  </w:num>
  <w:num w:numId="22" w16cid:durableId="546381061">
    <w:abstractNumId w:val="41"/>
  </w:num>
  <w:num w:numId="23" w16cid:durableId="349069929">
    <w:abstractNumId w:val="8"/>
  </w:num>
  <w:num w:numId="24" w16cid:durableId="965429974">
    <w:abstractNumId w:val="26"/>
  </w:num>
  <w:num w:numId="25" w16cid:durableId="1083179927">
    <w:abstractNumId w:val="21"/>
  </w:num>
  <w:num w:numId="26" w16cid:durableId="460849244">
    <w:abstractNumId w:val="33"/>
  </w:num>
  <w:num w:numId="27" w16cid:durableId="549532900">
    <w:abstractNumId w:val="17"/>
  </w:num>
  <w:num w:numId="28" w16cid:durableId="516696942">
    <w:abstractNumId w:val="39"/>
  </w:num>
  <w:num w:numId="29" w16cid:durableId="1273633176">
    <w:abstractNumId w:val="5"/>
  </w:num>
  <w:num w:numId="30" w16cid:durableId="412968235">
    <w:abstractNumId w:val="28"/>
  </w:num>
  <w:num w:numId="31" w16cid:durableId="1096252211">
    <w:abstractNumId w:val="40"/>
  </w:num>
  <w:num w:numId="32" w16cid:durableId="870461793">
    <w:abstractNumId w:val="38"/>
  </w:num>
  <w:num w:numId="33" w16cid:durableId="479351293">
    <w:abstractNumId w:val="10"/>
  </w:num>
  <w:num w:numId="34" w16cid:durableId="248079218">
    <w:abstractNumId w:val="11"/>
  </w:num>
  <w:num w:numId="35" w16cid:durableId="1358699301">
    <w:abstractNumId w:val="19"/>
  </w:num>
  <w:num w:numId="36" w16cid:durableId="455028529">
    <w:abstractNumId w:val="0"/>
  </w:num>
  <w:num w:numId="37" w16cid:durableId="1496337442">
    <w:abstractNumId w:val="13"/>
  </w:num>
  <w:num w:numId="38" w16cid:durableId="1251962234">
    <w:abstractNumId w:val="9"/>
  </w:num>
  <w:num w:numId="39" w16cid:durableId="146480902">
    <w:abstractNumId w:val="32"/>
  </w:num>
  <w:num w:numId="40" w16cid:durableId="1756441418">
    <w:abstractNumId w:val="15"/>
  </w:num>
  <w:num w:numId="41" w16cid:durableId="1150172502">
    <w:abstractNumId w:val="42"/>
  </w:num>
  <w:num w:numId="42" w16cid:durableId="242225034">
    <w:abstractNumId w:val="12"/>
  </w:num>
  <w:num w:numId="43" w16cid:durableId="1417362304">
    <w:abstractNumId w:val="36"/>
  </w:num>
  <w:num w:numId="44" w16cid:durableId="1071732302">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64FF"/>
    <w:rsid w:val="0001540F"/>
    <w:rsid w:val="00016C9E"/>
    <w:rsid w:val="00017661"/>
    <w:rsid w:val="00022064"/>
    <w:rsid w:val="00022423"/>
    <w:rsid w:val="00032753"/>
    <w:rsid w:val="00047B02"/>
    <w:rsid w:val="0008033A"/>
    <w:rsid w:val="000B113D"/>
    <w:rsid w:val="000C5489"/>
    <w:rsid w:val="000E34F3"/>
    <w:rsid w:val="000F3D12"/>
    <w:rsid w:val="0012321E"/>
    <w:rsid w:val="00124C80"/>
    <w:rsid w:val="00141023"/>
    <w:rsid w:val="00153B75"/>
    <w:rsid w:val="001613C0"/>
    <w:rsid w:val="00163A16"/>
    <w:rsid w:val="00166002"/>
    <w:rsid w:val="001A250C"/>
    <w:rsid w:val="001A4B77"/>
    <w:rsid w:val="001B5439"/>
    <w:rsid w:val="001D171A"/>
    <w:rsid w:val="001D56DF"/>
    <w:rsid w:val="001D7525"/>
    <w:rsid w:val="00207653"/>
    <w:rsid w:val="00213377"/>
    <w:rsid w:val="00231AF0"/>
    <w:rsid w:val="0025662E"/>
    <w:rsid w:val="0026117C"/>
    <w:rsid w:val="00264229"/>
    <w:rsid w:val="002812EE"/>
    <w:rsid w:val="002923F9"/>
    <w:rsid w:val="00294743"/>
    <w:rsid w:val="0029771C"/>
    <w:rsid w:val="00297F04"/>
    <w:rsid w:val="002C1F55"/>
    <w:rsid w:val="002E15D5"/>
    <w:rsid w:val="002E3902"/>
    <w:rsid w:val="00303287"/>
    <w:rsid w:val="00310EA8"/>
    <w:rsid w:val="0035202D"/>
    <w:rsid w:val="00363333"/>
    <w:rsid w:val="003855A4"/>
    <w:rsid w:val="003A28AE"/>
    <w:rsid w:val="003B1924"/>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3755"/>
    <w:rsid w:val="004C6FA3"/>
    <w:rsid w:val="004F10D7"/>
    <w:rsid w:val="005063D1"/>
    <w:rsid w:val="005066C6"/>
    <w:rsid w:val="00507BFF"/>
    <w:rsid w:val="005167F3"/>
    <w:rsid w:val="00532D08"/>
    <w:rsid w:val="00540739"/>
    <w:rsid w:val="005759B2"/>
    <w:rsid w:val="005873F0"/>
    <w:rsid w:val="00590EC1"/>
    <w:rsid w:val="00592281"/>
    <w:rsid w:val="005A03F5"/>
    <w:rsid w:val="005B067A"/>
    <w:rsid w:val="005D36F2"/>
    <w:rsid w:val="005F3BE6"/>
    <w:rsid w:val="00657A9E"/>
    <w:rsid w:val="006649A2"/>
    <w:rsid w:val="006704DE"/>
    <w:rsid w:val="00676E98"/>
    <w:rsid w:val="00694E91"/>
    <w:rsid w:val="00695B46"/>
    <w:rsid w:val="006A2804"/>
    <w:rsid w:val="006A375C"/>
    <w:rsid w:val="006E673A"/>
    <w:rsid w:val="00743A64"/>
    <w:rsid w:val="0074424C"/>
    <w:rsid w:val="007455B0"/>
    <w:rsid w:val="00757AA9"/>
    <w:rsid w:val="007847B6"/>
    <w:rsid w:val="007B030F"/>
    <w:rsid w:val="007B28FB"/>
    <w:rsid w:val="007B3EE9"/>
    <w:rsid w:val="007D3BCE"/>
    <w:rsid w:val="007D5946"/>
    <w:rsid w:val="007E0366"/>
    <w:rsid w:val="007F781F"/>
    <w:rsid w:val="008048AC"/>
    <w:rsid w:val="0082009C"/>
    <w:rsid w:val="00827298"/>
    <w:rsid w:val="008338BB"/>
    <w:rsid w:val="008745F2"/>
    <w:rsid w:val="00883879"/>
    <w:rsid w:val="00887E5C"/>
    <w:rsid w:val="008A1694"/>
    <w:rsid w:val="008C37D2"/>
    <w:rsid w:val="008C6FAA"/>
    <w:rsid w:val="008E06E5"/>
    <w:rsid w:val="008E405A"/>
    <w:rsid w:val="0092168A"/>
    <w:rsid w:val="00934EA0"/>
    <w:rsid w:val="00944E31"/>
    <w:rsid w:val="009529FF"/>
    <w:rsid w:val="0095602A"/>
    <w:rsid w:val="00964975"/>
    <w:rsid w:val="00970B17"/>
    <w:rsid w:val="009E02D0"/>
    <w:rsid w:val="00A06B4E"/>
    <w:rsid w:val="00A41A37"/>
    <w:rsid w:val="00A4673B"/>
    <w:rsid w:val="00A651D2"/>
    <w:rsid w:val="00A719D3"/>
    <w:rsid w:val="00A7343F"/>
    <w:rsid w:val="00A8258E"/>
    <w:rsid w:val="00A966A2"/>
    <w:rsid w:val="00AC31BF"/>
    <w:rsid w:val="00AC63E7"/>
    <w:rsid w:val="00B017DA"/>
    <w:rsid w:val="00B020DC"/>
    <w:rsid w:val="00B03AA0"/>
    <w:rsid w:val="00B11AE7"/>
    <w:rsid w:val="00B33814"/>
    <w:rsid w:val="00B365A6"/>
    <w:rsid w:val="00B37C92"/>
    <w:rsid w:val="00B456DD"/>
    <w:rsid w:val="00BA1ED0"/>
    <w:rsid w:val="00BC08F6"/>
    <w:rsid w:val="00BC3748"/>
    <w:rsid w:val="00BC69F9"/>
    <w:rsid w:val="00BE1B57"/>
    <w:rsid w:val="00BF7320"/>
    <w:rsid w:val="00C0023D"/>
    <w:rsid w:val="00C31D3D"/>
    <w:rsid w:val="00C4607D"/>
    <w:rsid w:val="00C84272"/>
    <w:rsid w:val="00CE09F0"/>
    <w:rsid w:val="00CE1E52"/>
    <w:rsid w:val="00CE6B28"/>
    <w:rsid w:val="00D0017B"/>
    <w:rsid w:val="00D05C1F"/>
    <w:rsid w:val="00D06129"/>
    <w:rsid w:val="00D10A9F"/>
    <w:rsid w:val="00D157EC"/>
    <w:rsid w:val="00D16BED"/>
    <w:rsid w:val="00D22FBE"/>
    <w:rsid w:val="00D46DC3"/>
    <w:rsid w:val="00D7335D"/>
    <w:rsid w:val="00D7428A"/>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27856"/>
    <w:rsid w:val="00E359D1"/>
    <w:rsid w:val="00E40C26"/>
    <w:rsid w:val="00E53D84"/>
    <w:rsid w:val="00E575F2"/>
    <w:rsid w:val="00E8009E"/>
    <w:rsid w:val="00E8281E"/>
    <w:rsid w:val="00EA3F81"/>
    <w:rsid w:val="00EA73EB"/>
    <w:rsid w:val="00EB398D"/>
    <w:rsid w:val="00EF6BB1"/>
    <w:rsid w:val="00F148DB"/>
    <w:rsid w:val="00F17321"/>
    <w:rsid w:val="00F241A8"/>
    <w:rsid w:val="00F3409B"/>
    <w:rsid w:val="00F529F4"/>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988A-44D8-4164-94C9-D5253B813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24</Pages>
  <Words>7888</Words>
  <Characters>47330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25</cp:revision>
  <cp:lastPrinted>2022-09-15T09:04:00Z</cp:lastPrinted>
  <dcterms:created xsi:type="dcterms:W3CDTF">2022-09-13T12:16:00Z</dcterms:created>
  <dcterms:modified xsi:type="dcterms:W3CDTF">2023-05-11T09:04:00Z</dcterms:modified>
</cp:coreProperties>
</file>