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horzAnchor="margin" w:tblpY="-1410"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8"/>
        <w:gridCol w:w="3877"/>
        <w:gridCol w:w="605"/>
        <w:gridCol w:w="604"/>
        <w:gridCol w:w="1556"/>
        <w:gridCol w:w="1059"/>
        <w:gridCol w:w="75"/>
        <w:gridCol w:w="1201"/>
        <w:gridCol w:w="80"/>
        <w:gridCol w:w="1054"/>
        <w:gridCol w:w="85"/>
        <w:gridCol w:w="907"/>
        <w:gridCol w:w="90"/>
        <w:gridCol w:w="1044"/>
        <w:gridCol w:w="95"/>
        <w:gridCol w:w="85"/>
        <w:gridCol w:w="95"/>
      </w:tblGrid>
      <w:tr w:rsidR="00266B66" w14:paraId="6C8F05BB" w14:textId="77777777" w:rsidTr="00D330BE">
        <w:trPr>
          <w:trHeight w:val="26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17298D" w14:textId="77777777" w:rsidR="00266B66" w:rsidRDefault="004B644E" w:rsidP="00D330B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 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A1B19C" w14:textId="77777777" w:rsidR="00266B66" w:rsidRDefault="00266B66" w:rsidP="00D330BE"/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767AC" w14:textId="77777777" w:rsidR="00266B66" w:rsidRDefault="00266B66" w:rsidP="00D330BE"/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D539" w14:textId="77777777" w:rsidR="00266B66" w:rsidRDefault="00266B66" w:rsidP="00D330BE"/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EC0DE32" w14:textId="77777777" w:rsidR="00266B66" w:rsidRDefault="00266B66" w:rsidP="00D330BE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81912FC" w14:textId="77777777" w:rsidR="00266B66" w:rsidRDefault="00266B66" w:rsidP="00D330BE"/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FA19D2" w14:textId="77777777" w:rsidR="00266B66" w:rsidRDefault="00266B66" w:rsidP="00D330BE"/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9BD8A0B" w14:textId="77777777" w:rsidR="00266B66" w:rsidRDefault="00266B66" w:rsidP="00D330BE"/>
        </w:tc>
        <w:tc>
          <w:tcPr>
            <w:tcW w:w="2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65B265" w14:textId="77777777" w:rsidR="00266B66" w:rsidRDefault="004B644E" w:rsidP="00D330B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Załącznik Nr 1.6 do SWZ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79A3D6" w14:textId="77777777" w:rsidR="00266B66" w:rsidRDefault="00266B66" w:rsidP="00D330BE"/>
        </w:tc>
      </w:tr>
      <w:tr w:rsidR="00266B66" w:rsidRPr="00364D3F" w14:paraId="639C022B" w14:textId="77777777" w:rsidTr="00D330BE">
        <w:trPr>
          <w:gridAfter w:val="1"/>
          <w:wAfter w:w="95" w:type="dxa"/>
          <w:trHeight w:val="260"/>
        </w:trPr>
        <w:tc>
          <w:tcPr>
            <w:tcW w:w="117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DBD197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  <w:lang w:val="de-DE"/>
              </w:rPr>
              <w:t>FORMULARZ CENOWY PAKIET NR 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D047509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0A9251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4F34489B" w14:textId="77777777" w:rsidTr="00D330BE">
        <w:trPr>
          <w:trHeight w:val="260"/>
        </w:trPr>
        <w:tc>
          <w:tcPr>
            <w:tcW w:w="4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0C162B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54B3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3236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16C43FE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794337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144395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71AA95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A9EEEB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3F9093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E9A4420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52904178" w14:textId="77777777" w:rsidTr="00D330BE">
        <w:trPr>
          <w:gridAfter w:val="1"/>
          <w:wAfter w:w="95" w:type="dxa"/>
          <w:trHeight w:val="260"/>
        </w:trPr>
        <w:tc>
          <w:tcPr>
            <w:tcW w:w="8349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23901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E194E8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1A754E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912EFD4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875E3A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36921E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31D2" w:rsidRPr="00364D3F" w14:paraId="3E478BDB" w14:textId="77777777" w:rsidTr="00D330BE">
        <w:trPr>
          <w:trHeight w:val="820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77C2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AF4D0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EB744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J.M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9852C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697D0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Nazwa handlowa,     nr katalogowy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AF48F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Producent</w:t>
            </w:r>
          </w:p>
        </w:tc>
        <w:tc>
          <w:tcPr>
            <w:tcW w:w="128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DE4E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0D56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Wartość </w:t>
            </w:r>
            <w:r w:rsidRPr="00364D3F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netto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95C28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Stawka podatku VAT   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420D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Wartość </w:t>
            </w:r>
            <w:r w:rsidRPr="00364D3F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brutto</w:t>
            </w:r>
          </w:p>
        </w:tc>
        <w:tc>
          <w:tcPr>
            <w:tcW w:w="18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FA632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0C3F2DBE" w14:textId="77777777" w:rsidTr="00D330BE">
        <w:trPr>
          <w:trHeight w:val="420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D132B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44D2" w14:textId="77777777" w:rsidR="00266B66" w:rsidRPr="00364D3F" w:rsidRDefault="00F26DB6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EADA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7A0BD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E2996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E1870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28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5C53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BB9D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03940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FD1A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6AB8C6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5335B443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A9322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B79A2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Zamknięty system do odsysania z rurki intubacyjnej rozmiary CH12/14/16/18, długość 54 cm. Możliwość stosowania przez </w:t>
            </w: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72 godziny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 (48 godzin dla rozmiaru CH18). System posiadający zintegrowany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podw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jnie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obrotowy łącznik o kącie 90 stopni do podłączenia rurki i respiratora; zamykany, obrotowy port do przepłukiwania cewnika o długości min. 5 cm, zamykany port do podawania lek</w:t>
            </w:r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w wziewnych (MDI), komora pozwalająca na obserwację wydzieliny pacjenta, aktywacja podciśnienia za pomocą przycisku  znakowanego kolorystycznie adekwatnie do rozmiaru wg standardu ISO,  blokada przycisku aktywacji podciśnienia poprzez jego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obr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t o 90 stopni, silikonowa zastawka PEEP automatycznie uszczelniająca cewnik po usunięciu go z rurki. System stanowiący integralną całość, nierozłączalny, wszystkie elementy systemu sterylne. Cewnik zakończony atraumatycznie (zaokrąglona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końc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wka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bez żadnych ostrych krawędzi oraz ścięć), z dwoma otworami po przeciwległych stronach, zakończony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obw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dką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w kolorze czarnym pozwalającym na jego wizualizację podczas przepłukiwania, oznaczenie rozmiaru cewnika bezpośrednio na dystalnym końcu cewnika, cewnik z widocznymi oznaczeniami głębokości </w:t>
            </w:r>
            <w:r w:rsidRPr="00364D3F">
              <w:rPr>
                <w:rFonts w:ascii="Tahoma" w:hAnsi="Tahoma" w:cs="Tahoma"/>
                <w:sz w:val="16"/>
                <w:szCs w:val="16"/>
              </w:rPr>
              <w:lastRenderedPageBreak/>
              <w:t xml:space="preserve">insercji skalowanymi co 1 cm. System gotowy do użycia bezpośrednio po wyjęciu z opakowania, bez potrzeby dodatkowego montażu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akcesori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w. 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62679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lastRenderedPageBreak/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EDC15" w14:textId="5BAD84A1" w:rsidR="00266B66" w:rsidRPr="00364D3F" w:rsidRDefault="00841344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  <w:r w:rsidR="004B644E"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DC93A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D875E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EFE0F" w14:textId="04ED4209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56848" w14:textId="0D438D43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FE5C08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1DA2DB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7FD8073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4BAD80B1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14B2D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D936" w14:textId="52BD6845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Zamknięty system do odsysania z rurki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tracheo</w:t>
            </w:r>
            <w:r w:rsidR="008260DD" w:rsidRPr="00364D3F">
              <w:rPr>
                <w:rFonts w:ascii="Tahoma" w:hAnsi="Tahoma" w:cs="Tahoma"/>
                <w:sz w:val="16"/>
                <w:szCs w:val="16"/>
              </w:rPr>
              <w:t>s</w:t>
            </w:r>
            <w:r w:rsidRPr="00364D3F">
              <w:rPr>
                <w:rFonts w:ascii="Tahoma" w:hAnsi="Tahoma" w:cs="Tahoma"/>
                <w:sz w:val="16"/>
                <w:szCs w:val="16"/>
              </w:rPr>
              <w:t>tomijnej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rozmiary  CH12/14/16, długość </w:t>
            </w:r>
            <w:r w:rsidRPr="00364D3F">
              <w:rPr>
                <w:rFonts w:ascii="Tahoma" w:hAnsi="Tahoma" w:cs="Tahoma"/>
                <w:sz w:val="16"/>
                <w:szCs w:val="16"/>
                <w:lang w:val="de-DE"/>
              </w:rPr>
              <w:t>34 cm.   Mo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żliwość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stosowania przez </w:t>
            </w: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72 godziny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. System posiadający zintegrowany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podw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jnie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obrotowy łącznik o kącie 90 stopni do podłączenia rurki i respiratora; zamykany, obrotowy port do przepłukiwania cewnika o długości min. 5 cm, zamykany port do podawania lek</w:t>
            </w:r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w wziewnych (MDI), komora pozwalająca na obserwację wydzieliny pacjenta, aktywacja podciśnienia za pomocą przycisku  znakowanego kolorystycznie adekwatnie do rozmiaru wg standardu ISO,  blokada przycisku aktywacji podciśnienia poprzez jego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obr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t o 90 stopni, silikonowa zastawka PEEP automatycznie uszczelniająca cewnik po usunięciu go z rurki. System stanowiący integralną całość, nierozłączalny, wszystkie elementy systemu sterylne. Cewnik zakończony atraumatycznie (zaokrąglona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końc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wka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bez żadnych ostrych krawędzi oraz ścięć), z dwoma otworami po przeciwległych stronach, zakończony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obw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dką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w kolorze czarnym pozwalającym na jego wizualizację podczas przepłukiwania, oznaczenie rozmiaru cewnika bezpośrednio na dystalnym końcu cewnika, cewnik z widocznymi oznaczeniami głębokości insercji skalowanymi co 1 cm. System gotowy do użycia bezpośrednio po wyjęciu z opakowania, bez potrzeby dodatkowego montażu </w:t>
            </w:r>
            <w:r w:rsidR="00B33D6F" w:rsidRPr="00364D3F">
              <w:rPr>
                <w:rFonts w:ascii="Tahoma" w:hAnsi="Tahoma" w:cs="Tahoma"/>
                <w:sz w:val="16"/>
                <w:szCs w:val="16"/>
              </w:rPr>
              <w:t>akcesorió</w:t>
            </w:r>
            <w:r w:rsidR="00ED4BDE" w:rsidRPr="00364D3F">
              <w:rPr>
                <w:rFonts w:ascii="Tahoma" w:hAnsi="Tahoma" w:cs="Tahoma"/>
                <w:sz w:val="16"/>
                <w:szCs w:val="16"/>
              </w:rPr>
              <w:t>w.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2BA9E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E1C9D" w14:textId="79B72B0A" w:rsidR="00266B66" w:rsidRPr="00364D3F" w:rsidRDefault="008E6D96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6503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03DA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C7AEB" w14:textId="4D7A4ECA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4501B" w14:textId="33E416B1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C91E145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7BD627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D377F4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330CE9A4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ED0DB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3C99" w14:textId="1F3A32E9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Zamknięty system do odsysania z rurki intubacyjnej CH10/12/14/16, długość 59 cm; CH14/16 długość 65 cm oraz rurki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tracheostomijnej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CH 10/12/14/16, długość 39 cm;</w:t>
            </w:r>
            <w:r w:rsidR="00881277" w:rsidRPr="00364D3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Właściwoś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it-IT"/>
              </w:rPr>
              <w:t>ci og</w:t>
            </w:r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  <w:lang w:val="de-DE"/>
              </w:rPr>
              <w:t>lne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de-DE"/>
              </w:rPr>
              <w:t xml:space="preserve">: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  <w:lang w:val="de-DE"/>
              </w:rPr>
              <w:t>mo</w:t>
            </w:r>
            <w:r w:rsidRPr="00364D3F">
              <w:rPr>
                <w:rFonts w:ascii="Tahoma" w:hAnsi="Tahoma" w:cs="Tahoma"/>
                <w:sz w:val="16"/>
                <w:szCs w:val="16"/>
              </w:rPr>
              <w:t>żliwość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stosowania przez min. </w:t>
            </w: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168 godz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. (potwierdzona dokumentem od producenta). Zintegrowany/wbudowany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podw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jnie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obrotowy łącznik o kącie 90 stopni, zintegrowany/zbudowany port do bronchoskopii o kącie 45/135 stopni; zamykany, obrotowy port do przepłukiwania cewnika o długości min. 5 cm, zamykany port do podawania lek</w:t>
            </w:r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w wziewnych (MDI) zintegrowany bezpośrednio w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częś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it-IT"/>
              </w:rPr>
              <w:t xml:space="preserve">ci 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łącznika podłączanej do rurki </w:t>
            </w:r>
            <w:r w:rsidRPr="00364D3F">
              <w:rPr>
                <w:rFonts w:ascii="Tahoma" w:hAnsi="Tahoma" w:cs="Tahoma"/>
                <w:sz w:val="16"/>
                <w:szCs w:val="16"/>
              </w:rPr>
              <w:lastRenderedPageBreak/>
              <w:t xml:space="preserve">pacjenta, komora pozwalająca do obserwację wydzieliny pacjenta, zabezpieczenie łącznika podciśnienia w postaci kapturka, zamocowane do zestawu w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spos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>b zapobiegający zagubieniu, aktywacja podciśnienia za pomocą przycisku ściskanego wnętrzem dłoni,</w:t>
            </w:r>
            <w:r w:rsidR="005B0C11" w:rsidRPr="00364D3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blokada przycisku aktywacji podciśnienia poprzez jego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obr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t o 90 stopni, uniemożliwiająca przypadkową aktywację odsysania, okrągła, wstępna zastawka poniżej otworu do przepłukiwania; przekręcana zastawka na wysokości portu do przepłukiwania oddzielająca cewnik od pacjenta po usunięciu go z rurki, zapewniająca szczelność zestawu; system stanowiący integralną całość, nierozłączalny, wszystkie elementy systemu sterylne, wolne od DEHP. Cewnik: stosowany do 168h, bez konieczności wymiany po każdorazowej procedurze odsysania, zakończony atraumatycznie (zaokrąglona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końc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wka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bez żadnych ostrych krawędzi oraz ścięć), z dwoma otworami po przeciwległych stronach, zakończony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obw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dką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w kolorze czarnym pozwalającym na jego wizualizację podczas przepłukiwania, oznaczenie rozmiaru cewnika bezpośrednio na dystalnym końcu cewnika, cewnik z widocznymi oznaczeniami głębokości insercji skalowanymi co 1 cm. System gotowy do użycia bezpośrednio po wyjęciu z opakowania, bez potrzeby dodatkowego montażu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akcesori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  <w:lang w:val="en-US"/>
              </w:rPr>
              <w:t>w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87A8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lastRenderedPageBreak/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1C35" w14:textId="081D1C43" w:rsidR="00266B66" w:rsidRPr="00364D3F" w:rsidRDefault="00453D5E" w:rsidP="00D330BE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B34B4" w:rsidRPr="00364D3F">
              <w:rPr>
                <w:rFonts w:ascii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17D6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4CE1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08EF" w14:textId="6C160564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CB7AD" w14:textId="31597617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D7F558A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018C56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B71AD29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0F213178" w14:textId="77777777" w:rsidTr="00D330BE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F6D7E" w14:textId="20F3EE5F" w:rsidR="00266B66" w:rsidRPr="00364D3F" w:rsidRDefault="00991B06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85570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Sterylny adapter typu „Y” do bronchoskopii kompatybilny z zamkniętymi systemami do odsysania.  Port do bronchofiberoskopu z dwudzielną zastawką, od zewnątrz zabezpieczony nasadką uszczelniającą na zawieszce. Obrotowy łącznik do podłączenia rurki. Możliwość stosowania do 72 godzin (potwierdzone oświadczeniem producenta)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27B4A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71F1" w14:textId="293DE2E7" w:rsidR="00266B66" w:rsidRPr="00364D3F" w:rsidRDefault="005F2931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FFCE6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5CEEE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07652" w14:textId="2C736213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81D48" w14:textId="788E42F1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C47FF70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1F52F1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BDBDA5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6FBA6530" w14:textId="77777777" w:rsidTr="00D330BE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389DC" w14:textId="7BEDC9DD" w:rsidR="00266B66" w:rsidRPr="00364D3F" w:rsidRDefault="00991B06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7869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Ś</w:t>
            </w:r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linocia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̨g, cewnik do odsysania z jamy ustnej z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możliwos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>́</w:t>
            </w:r>
            <w:r w:rsidRPr="00364D3F">
              <w:rPr>
                <w:rFonts w:ascii="Tahoma" w:hAnsi="Tahoma" w:cs="Tahoma"/>
                <w:sz w:val="16"/>
                <w:szCs w:val="16"/>
                <w:lang w:val="it-IT"/>
              </w:rPr>
              <w:t>cia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̨ nadania kształtu, czerwony łącznik do ssaka. </w:t>
            </w:r>
            <w:r w:rsidRPr="00364D3F">
              <w:rPr>
                <w:rFonts w:ascii="Tahoma" w:eastAsia="Arial Unicode MS" w:hAnsi="Tahoma" w:cs="Tahoma"/>
                <w:sz w:val="16"/>
                <w:szCs w:val="16"/>
              </w:rPr>
              <w:br/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Opakowanie </w:t>
            </w: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zbiorcze 10 szt</w:t>
            </w:r>
            <w:r w:rsidRPr="00364D3F">
              <w:rPr>
                <w:rFonts w:ascii="Tahoma" w:hAnsi="Tahoma" w:cs="Tahoma"/>
                <w:sz w:val="16"/>
                <w:szCs w:val="16"/>
              </w:rPr>
              <w:t>., mikrobiologicznie czysty, pakowany folia-folia.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45CE4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op.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C5D56" w14:textId="0DFE2CEC" w:rsidR="00266B66" w:rsidRPr="00364D3F" w:rsidRDefault="00BD540C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8329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58A58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32A1" w14:textId="3E52F0F9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80A40" w14:textId="32004158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9CE2932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50F3BF4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7BE2D9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2943BD97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8D1C8" w14:textId="23E275F4" w:rsidR="00266B66" w:rsidRPr="00364D3F" w:rsidRDefault="00991B06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BC80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Łyżka do laryngoskopu, światłowodowa, jednorazowa, typ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McIntosh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. Rozmiary 00, 0, 1, 2, 3, </w:t>
            </w:r>
            <w:r w:rsidRPr="00364D3F">
              <w:rPr>
                <w:rFonts w:ascii="Tahoma" w:hAnsi="Tahoma" w:cs="Tahoma"/>
                <w:sz w:val="16"/>
                <w:szCs w:val="16"/>
              </w:rPr>
              <w:lastRenderedPageBreak/>
              <w:t xml:space="preserve">4, 5.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Nieodkształcają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it-IT"/>
              </w:rPr>
              <w:t>ca si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ę łyżka wykonana z niemagnetycznego, lekkiego stopu metalu, kompatybilna rękojeściami w standardzie ISO 7376 (tzw. zielona specyfikacja). Profil łyżek identyczny z profilem łyżek wielorazowego użytku. Mocowanie światłowodu zatopione w tworzywie sztucznym koloru zielonego, ułatwiającym identyfikację ze standardem ISO 7376. Wytrzymały zatrzask kulkowy zapewniający trwałe mocowanie w rękojeści.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Światłow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d wykonany z polerowanego tworzywa sztucznego, dający mocne, skupione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światł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it-IT"/>
              </w:rPr>
              <w:t>o.</w:t>
            </w:r>
            <w:r w:rsidRPr="00364D3F">
              <w:rPr>
                <w:rFonts w:ascii="Tahoma" w:eastAsia="Arial Unicode MS" w:hAnsi="Tahoma" w:cs="Tahoma"/>
                <w:sz w:val="16"/>
                <w:szCs w:val="16"/>
              </w:rPr>
              <w:br/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Światłow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d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nieosł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it-IT"/>
              </w:rPr>
              <w:t>oni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ęty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, doświetlający wnętrze jamy ustnej i gardło. Wyraźne oznakowanie rozmiaru łyżki, symbol CE, numeru seryjnego i symbol „nie do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powt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rnego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użycia” (przekreślona cyfra 2) naniesione po stronie wyprowadzenia światłowodu, pakowanie folia-folia.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41FB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lastRenderedPageBreak/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01EF7" w14:textId="323DA269" w:rsidR="00266B66" w:rsidRPr="00364D3F" w:rsidRDefault="00B87C37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10</w:t>
            </w:r>
            <w:r w:rsidR="004B644E"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0A8F8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F179F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0D65" w14:textId="32F56363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C558" w14:textId="38FC478C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5F78CB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A9C396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C1220A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55ED1FC3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D092C" w14:textId="74A55CE9" w:rsidR="00266B66" w:rsidRPr="00364D3F" w:rsidRDefault="00991B06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5A31F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Zestaw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laryngoskopowy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LED dla dorosłych wielorazowego użytku. W skład zestawu wchodzi rękojeść i trzy łyżki typu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McIntosh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>. Rękojeść wykonana z nierdzewnej stali, kompatybilna z łyżkami w standardzie ISO 7376 (tzw. zielona specyfikacja). Rękojeść z poprzecznymi frezami zapewniającymi pewny chwyt, zakończona nakrętką, umożliwiająca dostęp do baterii. W rękojeści można dokonać samodzielnego demontażu żar</w:t>
            </w:r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wki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>. Rękojeść jest przeznaczona do sterylizacji (bez żar</w:t>
            </w:r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wki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i baterii). Wyraźnie jest oznaczona nazwa Producenta i określenie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światł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da-DK"/>
              </w:rPr>
              <w:t>a LED. R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ękojeść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zasilana za pomocą baterii R20 - 2 szt. Średnica rękojeści - 30 mm. Łyżka do laryngoskopu, światłowodowa, wielorazowa, typ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McIntosh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. Rozmiary 2, 3, 4.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Światłow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d zakryty, zatopiony w całości w metalu, z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kt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rego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wykonana jest łyżka stanowiący jednolitą całość bez wystających element</w:t>
            </w:r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>w światłowodu, wyraźne oznakowanie rozmiaru łyżki oraz nazwy producenta na korpusie łyżki. Całość znajduje się w poręcznej walizce.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9056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1164D" w14:textId="2AD5E7C6" w:rsidR="00266B66" w:rsidRPr="00364D3F" w:rsidRDefault="000D43B5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4065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033EA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46DF3" w14:textId="656C3821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AEA3A" w14:textId="71D3D474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98A2F1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7AFB24B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57D0AC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05BE525B" w14:textId="77777777" w:rsidTr="00D330BE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86E69" w14:textId="67C4CC8F" w:rsidR="00266B66" w:rsidRPr="00364D3F" w:rsidRDefault="00991B06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05B34" w14:textId="341152BF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Maski anestetyczne jednorazowego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użytku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60F89" w:rsidRPr="00364D3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z nadmuchiwanym mankietem i zaworem do regulacji. Rozmiary 0, 1, 2, 3, 4, 5, 6. Rozmiary kodowane kolorystycznie. Przezroczysta konstrukcja maski. Maski pozbawione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latexu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i DEHP.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7C869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03AE9" w14:textId="02E9B1E9" w:rsidR="00266B66" w:rsidRPr="00364D3F" w:rsidRDefault="00E135C6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  <w:r w:rsidR="004B644E"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0E386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4E4A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5914" w14:textId="76459762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B3931" w14:textId="0E50E695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FE0057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55FE6E3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299822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1C81DBEE" w14:textId="77777777" w:rsidTr="00D330BE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263A" w14:textId="4C76FDF0" w:rsidR="00266B66" w:rsidRPr="00364D3F" w:rsidRDefault="00991B06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lastRenderedPageBreak/>
              <w:t>9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6F9E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Maski anestetyczne wielorazowego użytku, z kołnierzem ukształtowanym anatomicznie, silikonowe.  Rozmiar 3,4,5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AD47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3756E" w14:textId="150B6189" w:rsidR="00266B66" w:rsidRPr="00364D3F" w:rsidRDefault="00AD18A1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  <w:r w:rsidR="004B644E"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CC185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8ECE0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1409" w14:textId="58E2E46B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5BC2" w14:textId="2FC545C3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6A0E0C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2A9CF62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85A118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7805E5D1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F481" w14:textId="616F9FEB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</w:t>
            </w:r>
            <w:r w:rsidR="00991B06" w:rsidRPr="00364D3F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D7CC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Rurki ustno-gardłowe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Guedela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>, sterylne, rozmiary kodowane kolorystycznie. Rozmiary 1,2,3,4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8C45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00C5" w14:textId="75B04A7F" w:rsidR="00266B66" w:rsidRPr="00364D3F" w:rsidRDefault="004377C1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  <w:r w:rsidR="00351A87"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  <w:r w:rsidR="004B644E"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46E8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5F4BD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FB49" w14:textId="2F02A81A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6E67A" w14:textId="401C5DC2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44B0AF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3B05AA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55074D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011BD125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E82C2" w14:textId="2AB2CF49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</w:t>
            </w:r>
            <w:r w:rsidR="00991B06" w:rsidRPr="00364D3F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AFB74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Rurka intubacyjna zbrojona z mankietem niskociśnieniowym w rozmiarach od 3,5 do 9,0 sterylna, wykonana z przezroczystego, nietoksycznego, termoplastycznego PCV, pakowana pojedynczo, znacznik RTG na całej długości rurki, posiadająca znacznik głębokości osadzenia rurki. Zbrojenie - wtopiona spirala ze stali nierdzewnej w ś</w:t>
            </w:r>
            <w:r w:rsidRPr="00364D3F">
              <w:rPr>
                <w:rFonts w:ascii="Tahoma" w:hAnsi="Tahoma" w:cs="Tahoma"/>
                <w:sz w:val="16"/>
                <w:szCs w:val="16"/>
                <w:lang w:val="it-IT"/>
              </w:rPr>
              <w:t>cian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ę rurki na całej długości, wysokoobjętościowy balonik kontrolny z zaworem zwrotnym wskazujący stan wypełnienia mankietu,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otw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r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Murphiego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, elastyczna, wyprofilowana w kształcie łuku. Atraumatyczne zakończenie krawędzi rurki, otworu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Murphiego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oraz gładkie połączenie mankietu z rurką. Oznaczenie rozmiaru na korpusie rurki, podziałka centymetrowa. Standardowe złącze, w komplecie z prowadnicą, bez lateksu.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D8D12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9D62B" w14:textId="4F750DD7" w:rsidR="00266B66" w:rsidRPr="00364D3F" w:rsidRDefault="006D06C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CEF2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4CA8B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B0BEB" w14:textId="6324366E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4EC8C" w14:textId="4B9A0886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5A376D9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134150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BD9C24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6B66" w:rsidRPr="00364D3F" w14:paraId="58A0BC4F" w14:textId="77777777" w:rsidTr="00D330BE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AC506" w14:textId="57DEF83D" w:rsidR="00266B66" w:rsidRPr="00364D3F" w:rsidRDefault="00207FBF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55750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Resuscytator jednorazowego użytku z workiem 1700ml dla dorosłych z zastawką nadciśnieniową. W zestawie maski nr 4 i 5 oraz rezerwuar tlenu 2.500ml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373A1" w14:textId="77777777" w:rsidR="00266B66" w:rsidRPr="00364D3F" w:rsidRDefault="004B644E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7999E" w14:textId="456608C5" w:rsidR="00266B66" w:rsidRPr="00364D3F" w:rsidRDefault="001D592E" w:rsidP="00D330B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  <w:r w:rsidR="003D74C1"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D09BA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B21C7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B96DA" w14:textId="753169C1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6EE94" w14:textId="4DC02505" w:rsidR="00266B66" w:rsidRPr="00364D3F" w:rsidRDefault="00266B6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3B853E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73A7CB" w14:textId="77777777" w:rsidR="00266B66" w:rsidRPr="00364D3F" w:rsidRDefault="004B644E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F8CB6B" w14:textId="77777777" w:rsidR="00266B66" w:rsidRPr="00364D3F" w:rsidRDefault="00266B6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A3D43" w:rsidRPr="00364D3F" w14:paraId="7A93ABAD" w14:textId="77777777" w:rsidTr="00D330BE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50708" w14:textId="5B901105" w:rsidR="004A3D43" w:rsidRPr="00364D3F" w:rsidRDefault="00207FBF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79B3" w14:textId="77777777" w:rsidR="00B31DAA" w:rsidRPr="00364D3F" w:rsidRDefault="00B31DAA" w:rsidP="00D330B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Resuscytator wielorazowego użytku dla dorosłych maska 4 i 5</w:t>
            </w:r>
          </w:p>
          <w:p w14:paraId="50089FEB" w14:textId="77777777" w:rsidR="004A3D43" w:rsidRPr="00364D3F" w:rsidRDefault="004A3D43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BD6AE" w14:textId="77777777" w:rsidR="004A3D43" w:rsidRPr="00364D3F" w:rsidRDefault="00B31DAA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C905" w14:textId="19416FB6" w:rsidR="004A3D43" w:rsidRPr="00364D3F" w:rsidRDefault="001D592E" w:rsidP="00D330B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AFBE" w14:textId="77777777" w:rsidR="004A3D43" w:rsidRPr="00364D3F" w:rsidRDefault="004A3D43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C74B" w14:textId="77777777" w:rsidR="004A3D43" w:rsidRPr="00364D3F" w:rsidRDefault="004A3D43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355B9" w14:textId="62DF73F0" w:rsidR="004A3D43" w:rsidRPr="00364D3F" w:rsidRDefault="004A3D43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C6D00" w14:textId="645795E5" w:rsidR="004A3D43" w:rsidRPr="00364D3F" w:rsidRDefault="004A3D43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EE8E2F" w14:textId="77777777" w:rsidR="004A3D43" w:rsidRPr="00364D3F" w:rsidRDefault="004A3D43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D1A494" w14:textId="77777777" w:rsidR="004A3D43" w:rsidRPr="00364D3F" w:rsidRDefault="004A3D43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AA36CD9" w14:textId="77777777" w:rsidR="004A3D43" w:rsidRPr="00364D3F" w:rsidRDefault="004A3D43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12716" w:rsidRPr="00364D3F" w14:paraId="6D2BBE68" w14:textId="77777777" w:rsidTr="00D330BE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E0CCD" w14:textId="6681E9A7" w:rsidR="00812716" w:rsidRPr="00364D3F" w:rsidRDefault="00207FBF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DDF2E" w14:textId="77777777" w:rsidR="00812716" w:rsidRPr="00364D3F" w:rsidRDefault="0081271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Rękawice kopolimerowe, sterylne. Pakowane pojedynczo. 100 sztuk w jednym opakowaniu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79EDD" w14:textId="77777777" w:rsidR="00812716" w:rsidRPr="00364D3F" w:rsidRDefault="00812716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62BC6" w14:textId="09D2C06D" w:rsidR="00812716" w:rsidRPr="00364D3F" w:rsidRDefault="001D592E" w:rsidP="00D330B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A1A34" w14:textId="77777777" w:rsidR="00812716" w:rsidRPr="00364D3F" w:rsidRDefault="0081271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C1D7A" w14:textId="77777777" w:rsidR="00812716" w:rsidRPr="00364D3F" w:rsidRDefault="0081271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389F8" w14:textId="2EFD73FC" w:rsidR="00812716" w:rsidRPr="00364D3F" w:rsidRDefault="0081271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0AEDC" w14:textId="5F107F38" w:rsidR="00812716" w:rsidRPr="00364D3F" w:rsidRDefault="0081271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60F781" w14:textId="77777777" w:rsidR="00812716" w:rsidRPr="00364D3F" w:rsidRDefault="0081271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03D193" w14:textId="77777777" w:rsidR="00812716" w:rsidRPr="00364D3F" w:rsidRDefault="00812716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8BD9B6" w14:textId="77777777" w:rsidR="00812716" w:rsidRPr="00364D3F" w:rsidRDefault="00812716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17CBF" w:rsidRPr="00364D3F" w14:paraId="0CFD422D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48AD4" w14:textId="583243D4" w:rsidR="00417CBF" w:rsidRPr="00364D3F" w:rsidRDefault="00207FBF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AD5F" w14:textId="77777777" w:rsidR="00417CBF" w:rsidRPr="00364D3F" w:rsidRDefault="00417CBF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Uniwersalny zestaw do podaży leków i płynów oraz żywienia pozajelitowego</w:t>
            </w:r>
          </w:p>
          <w:p w14:paraId="520E04DB" w14:textId="77777777" w:rsidR="00417CBF" w:rsidRPr="00364D3F" w:rsidRDefault="00417CBF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 Komora kroplowa 20 kropel/ml, filtr 15µm. </w:t>
            </w:r>
          </w:p>
          <w:p w14:paraId="7EDD1C66" w14:textId="77777777" w:rsidR="00417CBF" w:rsidRPr="00364D3F" w:rsidRDefault="00417CBF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Zawór blokujący przepływ po wyjęciu zestawu z pompy. </w:t>
            </w:r>
          </w:p>
          <w:p w14:paraId="039762E7" w14:textId="77777777" w:rsidR="00417CBF" w:rsidRPr="00364D3F" w:rsidRDefault="00417CBF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Dodatkowy zawór rolkowy. </w:t>
            </w:r>
          </w:p>
          <w:p w14:paraId="61B9F67B" w14:textId="77777777" w:rsidR="00417CBF" w:rsidRPr="00364D3F" w:rsidRDefault="00417CBF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Długość 285 cm.                                                                                Objętość wypełnienia 22 ml                                                                      okres przydatności 3 lata Materiał PVC                                                                                             Nie zawiera DEHP, nie zawiera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Latexu</w:t>
            </w:r>
            <w:proofErr w:type="spellEnd"/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1C039" w14:textId="7D67C654" w:rsidR="00417CBF" w:rsidRPr="00364D3F" w:rsidRDefault="00CA3950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s</w:t>
            </w:r>
            <w:r w:rsidR="00815CF9" w:rsidRPr="00364D3F">
              <w:rPr>
                <w:rFonts w:ascii="Tahoma" w:hAnsi="Tahoma" w:cs="Tahoma"/>
                <w:sz w:val="16"/>
                <w:szCs w:val="16"/>
              </w:rPr>
              <w:t>zt</w:t>
            </w:r>
            <w:r w:rsidRPr="00364D3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827FF" w14:textId="1B7D95E3" w:rsidR="00417CBF" w:rsidRPr="00364D3F" w:rsidRDefault="00EB70FF" w:rsidP="00D330B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20</w:t>
            </w:r>
            <w:r w:rsidR="00417CBF"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31A96" w14:textId="77777777" w:rsidR="00417CBF" w:rsidRPr="00364D3F" w:rsidRDefault="00417CBF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A1C5" w14:textId="77777777" w:rsidR="00417CBF" w:rsidRPr="00364D3F" w:rsidRDefault="00417CBF" w:rsidP="00D330B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DBBA9" w14:textId="2DFB5556" w:rsidR="00417CBF" w:rsidRPr="00364D3F" w:rsidRDefault="00417CBF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52BF8" w14:textId="7C13C232" w:rsidR="00417CBF" w:rsidRPr="00364D3F" w:rsidRDefault="00417CBF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264A050" w14:textId="77777777" w:rsidR="00417CBF" w:rsidRPr="00364D3F" w:rsidRDefault="00417CBF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966E105" w14:textId="77777777" w:rsidR="00417CBF" w:rsidRPr="00364D3F" w:rsidRDefault="00417CBF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D3735B" w14:textId="77777777" w:rsidR="00417CBF" w:rsidRPr="00364D3F" w:rsidRDefault="00417CBF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63030" w:rsidRPr="00364D3F" w14:paraId="52494534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E685A" w14:textId="761D122E" w:rsidR="00C63030" w:rsidRPr="00364D3F" w:rsidRDefault="00C63030" w:rsidP="00D330BE">
            <w:pPr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lastRenderedPageBreak/>
              <w:t>16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1460" w14:textId="77777777" w:rsidR="0094307B" w:rsidRPr="00364D3F" w:rsidRDefault="0094307B" w:rsidP="00D330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2C363A"/>
                <w:sz w:val="16"/>
                <w:szCs w:val="16"/>
                <w:bdr w:val="none" w:sz="0" w:space="0" w:color="auto"/>
              </w:rPr>
            </w:pPr>
            <w:r w:rsidRPr="00364D3F">
              <w:rPr>
                <w:rFonts w:ascii="Tahoma" w:eastAsia="Times New Roman" w:hAnsi="Tahoma" w:cs="Tahoma"/>
                <w:color w:val="2C363A"/>
                <w:sz w:val="16"/>
                <w:szCs w:val="16"/>
                <w:bdr w:val="none" w:sz="0" w:space="0" w:color="auto"/>
              </w:rPr>
              <w:t>System do kontrolowanej zbiórki stolca składający się z elastycznego, silikonowego cewnika powlekanego obustronnie polimerem z niskociśnieniowym, pierścieniem uszczelniającym, z portem do wypełnienia pierścienia w kolorze białym, portem irygacyjnym w kolorze niebieskim oraz portem do pobierania próbek z zastawką i zatyczką. Cewnik o długości min. 170 cm, posiadający niebieski znacznik lokalizacji  pierścienia uszczelniającego w RTG, znacznik pozycyjny cewnika w postaci grubej, czarnej kreski. Podstawa montażowa worka z plastikowym paskiem do powieszenia przy łóżku pacjenta oraz centralnie umieszczoną rurką obrotową. Worek zbiorczy o pojemności 1500 ml z super chłonną wkładką żelującą, filtrem z wentylem dezodoryzującym oraz wewnętrzną zastawką zabezpieczającą przed wylaniem zawartości. Wkładka żelująca w worku zbiorczym będąca połączeniem papieru celulozowego i super-chłonnego granulatu poliakrylanu sodu. W opakowaniu zbiorczym: strzykawka z gumowym tłokiem o pojemności 45 ml, zacisk irygacyjny, 3 worki o pojemności 1500 ml z super chłonną wkładką żelującą, filtrem z wentylem dezodoryzującym oraz wewnętrzną zastawką zabezpieczającą przed wylaniem zawartości, zestaw 5 samoprzylepnych etykiet do opisu produktu wg potrzeb użytkownika.</w:t>
            </w:r>
          </w:p>
          <w:p w14:paraId="65E784AF" w14:textId="77777777" w:rsidR="0094307B" w:rsidRPr="00364D3F" w:rsidRDefault="0094307B" w:rsidP="00D330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2C363A"/>
                <w:sz w:val="16"/>
                <w:szCs w:val="16"/>
                <w:bdr w:val="none" w:sz="0" w:space="0" w:color="auto"/>
              </w:rPr>
            </w:pPr>
            <w:r w:rsidRPr="00364D3F">
              <w:rPr>
                <w:rFonts w:ascii="Tahoma" w:eastAsia="Times New Roman" w:hAnsi="Tahoma" w:cs="Tahoma"/>
                <w:color w:val="2C363A"/>
                <w:sz w:val="16"/>
                <w:szCs w:val="16"/>
                <w:bdr w:val="none" w:sz="0" w:space="0" w:color="auto"/>
              </w:rPr>
              <w:t>Produkt jednorazowego użytku z możliwością stosowania przez 29 dni, bez zawartości lateksu, instrukcja obsługi w języku polskim.</w:t>
            </w:r>
          </w:p>
          <w:p w14:paraId="32BCA3C4" w14:textId="2B3086B5" w:rsidR="0094307B" w:rsidRPr="00364D3F" w:rsidRDefault="0094307B" w:rsidP="00D330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2C363A"/>
                <w:sz w:val="16"/>
                <w:szCs w:val="16"/>
                <w:bdr w:val="none" w:sz="0" w:space="0" w:color="auto"/>
              </w:rPr>
            </w:pPr>
          </w:p>
          <w:p w14:paraId="2D36147F" w14:textId="78AA2A69" w:rsidR="00C63030" w:rsidRPr="00364D3F" w:rsidRDefault="00C63030" w:rsidP="00D330BE">
            <w:pPr>
              <w:pStyle w:val="Domylne"/>
              <w:suppressAutoHyphens/>
              <w:spacing w:line="100" w:lineRule="atLeast"/>
              <w:rPr>
                <w:rFonts w:ascii="Tahoma" w:hAnsi="Tahoma" w:cs="Tahoma"/>
                <w:sz w:val="16"/>
                <w:szCs w:val="16"/>
                <w:u w:color="000000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D10C6" w14:textId="50AC5794" w:rsidR="00C63030" w:rsidRPr="00364D3F" w:rsidRDefault="00C63030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93E18" w14:textId="6152087E" w:rsidR="00C63030" w:rsidRPr="00364D3F" w:rsidRDefault="00C63030" w:rsidP="00D330B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E11B" w14:textId="77777777" w:rsidR="00C63030" w:rsidRPr="00364D3F" w:rsidRDefault="00C63030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BA01A" w14:textId="77777777" w:rsidR="00C63030" w:rsidRPr="00364D3F" w:rsidRDefault="00C63030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D060" w14:textId="140A4029" w:rsidR="00C63030" w:rsidRPr="00364D3F" w:rsidRDefault="00C63030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BBEEE" w14:textId="0C6DC01D" w:rsidR="00C63030" w:rsidRPr="00364D3F" w:rsidRDefault="00C63030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1871F3" w14:textId="77777777" w:rsidR="00C63030" w:rsidRPr="00364D3F" w:rsidRDefault="00C63030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D847AC" w14:textId="77777777" w:rsidR="00C63030" w:rsidRPr="00364D3F" w:rsidRDefault="00C63030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428DDD" w14:textId="77777777" w:rsidR="00C63030" w:rsidRPr="00364D3F" w:rsidRDefault="00C63030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4B4D" w:rsidRPr="00364D3F" w14:paraId="58F3E961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45034" w14:textId="47267EC8" w:rsidR="00A14B4D" w:rsidRPr="00364D3F" w:rsidRDefault="00C95969" w:rsidP="00D330BE">
            <w:pPr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5B374" w14:textId="4F8F11E2" w:rsidR="00A14B4D" w:rsidRPr="00364D3F" w:rsidRDefault="00A14B4D" w:rsidP="00D330BE">
            <w:pPr>
              <w:pStyle w:val="Domylne"/>
              <w:suppressAutoHyphens/>
              <w:spacing w:line="100" w:lineRule="atLeast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Worki zbiorcze o pojemności 1500ml do systemu kontrolowanej zbiórki stolca. Worki posiadające super chłonną wkładkę żelującą zawartość, filtr z wentylem dezodoryzującym oraz wewnętrzną zastawką zabezpieczającą przed wylaniem zawartości.  Worki jednostronnie przezroczyste z zabezpieczeniem przed wylaniem zawartości. W </w:t>
            </w: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opakowaniu 10 szt</w:t>
            </w:r>
            <w:r w:rsidRPr="00364D3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25DCE" w14:textId="6A0CE2F6" w:rsidR="00A14B4D" w:rsidRPr="00364D3F" w:rsidRDefault="000C6C0D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57AA2" w14:textId="4BA30EF2" w:rsidR="00A14B4D" w:rsidRPr="00364D3F" w:rsidRDefault="000C6C0D" w:rsidP="00D330BE">
            <w:pPr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</w:t>
            </w:r>
            <w:r w:rsidR="001E1640" w:rsidRPr="00364D3F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E67AD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34FC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978EB" w14:textId="2A839719" w:rsidR="00A14B4D" w:rsidRPr="00364D3F" w:rsidRDefault="00A14B4D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0B341" w14:textId="47DEA7BC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4B97CF6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FBB39E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26B4D4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4B4D" w:rsidRPr="00364D3F" w14:paraId="2C131B82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08333" w14:textId="1D0B097A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</w:t>
            </w:r>
            <w:r w:rsidR="00C95969" w:rsidRPr="00364D3F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626FA" w14:textId="77777777" w:rsidR="00A14B4D" w:rsidRPr="00364D3F" w:rsidRDefault="00A14B4D" w:rsidP="00D330BE">
            <w:pPr>
              <w:pStyle w:val="Domylne"/>
              <w:suppressAutoHyphens/>
              <w:spacing w:line="100" w:lineRule="atLeast"/>
              <w:rPr>
                <w:rFonts w:ascii="Tahoma" w:eastAsia="Arial Narrow" w:hAnsi="Tahoma" w:cs="Tahoma"/>
                <w:sz w:val="16"/>
                <w:szCs w:val="16"/>
                <w:u w:color="000000"/>
              </w:rPr>
            </w:pPr>
            <w:r w:rsidRPr="00364D3F">
              <w:rPr>
                <w:rFonts w:ascii="Tahoma" w:hAnsi="Tahoma" w:cs="Tahoma"/>
                <w:sz w:val="16"/>
                <w:szCs w:val="16"/>
                <w:u w:color="000000"/>
              </w:rPr>
              <w:t xml:space="preserve">Maska krtaniowa, wykonana z silikonu (lub medycznego PCV), elementy maski trwale ze sobą połączone bez możliwości rozłączenia, </w:t>
            </w:r>
            <w:r w:rsidRPr="00364D3F">
              <w:rPr>
                <w:rFonts w:ascii="Tahoma" w:hAnsi="Tahoma" w:cs="Tahoma"/>
                <w:sz w:val="16"/>
                <w:szCs w:val="16"/>
                <w:u w:color="000000"/>
              </w:rPr>
              <w:lastRenderedPageBreak/>
              <w:t>jednorazowego użytku z nadmuchiwanym mankietem. Maski w pełni bezpieczne w środowisku MR (pozbawione wszelkich metalowych elementów.</w:t>
            </w:r>
          </w:p>
          <w:p w14:paraId="66E20A94" w14:textId="77777777" w:rsidR="00A14B4D" w:rsidRPr="00364D3F" w:rsidRDefault="00A14B4D" w:rsidP="00D330BE">
            <w:pPr>
              <w:pStyle w:val="Domylne"/>
              <w:suppressAutoHyphens/>
              <w:spacing w:line="100" w:lineRule="atLeast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  <w:u w:color="000000"/>
              </w:rPr>
              <w:t>Rozmiary 1, 1.5, 2, 2.5, 3, 4, 5. Wymagane oznaczenie kolorystyczne dla rozmiaru: 3-zielony, 4-żółty, 5-różowy. Opak. folia/papier, sterylna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ADBB" w14:textId="77777777" w:rsidR="00A14B4D" w:rsidRPr="00364D3F" w:rsidRDefault="00A14B4D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lastRenderedPageBreak/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89DE" w14:textId="31FB0FEB" w:rsidR="00A14B4D" w:rsidRPr="00364D3F" w:rsidRDefault="00A14B4D" w:rsidP="00D330B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2E68F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3DEC8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6688A" w14:textId="54B17871" w:rsidR="00A14B4D" w:rsidRPr="00364D3F" w:rsidRDefault="00A14B4D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52D5B" w14:textId="5F867713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309D0E0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9F12E5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A495CA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4B4D" w:rsidRPr="00364D3F" w14:paraId="4094C81F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6155D" w14:textId="3CB518FA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1</w:t>
            </w:r>
            <w:r w:rsidR="00C95969" w:rsidRPr="00364D3F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FFD6B" w14:textId="77777777" w:rsidR="00A14B4D" w:rsidRPr="00364D3F" w:rsidRDefault="00A14B4D" w:rsidP="00D330B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 w:rsidRPr="00364D3F">
              <w:rPr>
                <w:rFonts w:ascii="Tahoma" w:hAnsi="Tahoma" w:cs="Tahoma"/>
                <w:sz w:val="16"/>
                <w:szCs w:val="16"/>
                <w:lang w:val="de-DE"/>
              </w:rPr>
              <w:t>Wk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>ład jednorazowy.</w:t>
            </w:r>
          </w:p>
          <w:p w14:paraId="620E6DB2" w14:textId="0F39D77A" w:rsidR="00A14B4D" w:rsidRPr="00364D3F" w:rsidRDefault="00A14B4D" w:rsidP="00D330BE">
            <w:pPr>
              <w:pStyle w:val="Domylne"/>
              <w:suppressAutoHyphens/>
              <w:spacing w:line="100" w:lineRule="atLeast"/>
              <w:rPr>
                <w:rFonts w:ascii="Tahoma" w:hAnsi="Tahoma" w:cs="Tahoma"/>
                <w:sz w:val="16"/>
                <w:szCs w:val="16"/>
                <w:u w:color="000000"/>
              </w:rPr>
            </w:pPr>
            <w:proofErr w:type="spellStart"/>
            <w:r w:rsidRPr="00364D3F">
              <w:rPr>
                <w:rFonts w:ascii="Tahoma" w:hAnsi="Tahoma" w:cs="Tahoma"/>
                <w:sz w:val="16"/>
                <w:szCs w:val="16"/>
                <w:lang w:val="de-DE"/>
              </w:rPr>
              <w:t>Wk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ład jednorazowy na wydzielinę o poj. 2,5 litra kompatybilny ze zbiornikami firmy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Medela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>, ze zintegrowaną pokrywą z dwoma portami, dwa uchwyty przy wkładzie umożliwiające obsługę przez osoby prawo i leworęczne; zabezpieczenie zwrotne przed cofaniem się wydzieliny do pacjenta; łącznik kątowy zabezpieczający przed zamknięciem światła drenu pacjenta; wymiana wkład</w:t>
            </w:r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w bez konieczności odłączenia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źr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dła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ssania.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3287E" w14:textId="13913F99" w:rsidR="00A14B4D" w:rsidRPr="00364D3F" w:rsidRDefault="00A14B4D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55A04" w14:textId="0FA9FCBA" w:rsidR="00A14B4D" w:rsidRPr="00364D3F" w:rsidRDefault="00A14B4D" w:rsidP="00D330B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B2909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23974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2E24B" w14:textId="715191F3" w:rsidR="00A14B4D" w:rsidRPr="00364D3F" w:rsidRDefault="00A14B4D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03835" w14:textId="7D3BE814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D88FE87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B996081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617F812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4B4D" w:rsidRPr="00364D3F" w14:paraId="6E319675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6078B" w14:textId="712CB389" w:rsidR="00A14B4D" w:rsidRPr="00364D3F" w:rsidRDefault="007770A5" w:rsidP="00D330BE">
            <w:pPr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2687" w14:textId="5900C3E4" w:rsidR="00A14B4D" w:rsidRPr="00364D3F" w:rsidRDefault="00A14B4D" w:rsidP="00D330BE">
            <w:pPr>
              <w:pStyle w:val="Domylne"/>
              <w:suppressAutoHyphens/>
              <w:spacing w:line="100" w:lineRule="atLeast"/>
              <w:rPr>
                <w:rFonts w:ascii="Tahoma" w:hAnsi="Tahoma" w:cs="Tahoma"/>
                <w:sz w:val="16"/>
                <w:szCs w:val="16"/>
                <w:u w:color="000000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Filtr jednorazowy do ssaka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Medela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 - MA-077-0573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EA61" w14:textId="1C169B44" w:rsidR="00A14B4D" w:rsidRPr="00364D3F" w:rsidRDefault="00A14B4D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3CD7" w14:textId="4F76FD24" w:rsidR="00A14B4D" w:rsidRPr="00364D3F" w:rsidRDefault="00A14B4D" w:rsidP="00D330B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4E763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8E4B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8981B" w14:textId="3504E1A7" w:rsidR="00A14B4D" w:rsidRPr="00364D3F" w:rsidRDefault="00A14B4D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1ADF" w14:textId="1AA7E6C4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8E3DFC3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0C1454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74C835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4B4D" w:rsidRPr="00364D3F" w14:paraId="77AA8F74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D8E76" w14:textId="57C9ADBA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2</w:t>
            </w:r>
            <w:r w:rsidR="007770A5" w:rsidRPr="00364D3F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D6D32" w14:textId="77777777" w:rsidR="00A14B4D" w:rsidRPr="00364D3F" w:rsidRDefault="00A14B4D" w:rsidP="00D330B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 w:rsidRPr="00364D3F">
              <w:rPr>
                <w:rFonts w:ascii="Tahoma" w:hAnsi="Tahoma" w:cs="Tahoma"/>
                <w:sz w:val="16"/>
                <w:szCs w:val="16"/>
                <w:lang w:val="de-DE"/>
              </w:rPr>
              <w:t>Wk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>ład jednorazowy z żelem.</w:t>
            </w:r>
          </w:p>
          <w:p w14:paraId="19EF12A5" w14:textId="52C30B3A" w:rsidR="00A14B4D" w:rsidRPr="00364D3F" w:rsidRDefault="00A14B4D" w:rsidP="00D330BE">
            <w:pPr>
              <w:pStyle w:val="Domylne"/>
              <w:suppressAutoHyphens/>
              <w:spacing w:line="100" w:lineRule="atLeast"/>
              <w:rPr>
                <w:rFonts w:ascii="Tahoma" w:hAnsi="Tahoma" w:cs="Tahoma"/>
                <w:sz w:val="16"/>
                <w:szCs w:val="16"/>
                <w:u w:color="000000"/>
              </w:rPr>
            </w:pPr>
            <w:proofErr w:type="spellStart"/>
            <w:r w:rsidRPr="00364D3F">
              <w:rPr>
                <w:rFonts w:ascii="Tahoma" w:hAnsi="Tahoma" w:cs="Tahoma"/>
                <w:sz w:val="16"/>
                <w:szCs w:val="16"/>
                <w:lang w:val="de-DE"/>
              </w:rPr>
              <w:t>Wk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ład jednorazowy na wydzielinę o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poj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, 2,5 litra z substancją żelującą kompatybilny ze zbiornikami firmy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Medela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>, ze zintegrowaną pokrywą z dwoma portami, dwa uchwyty przy wkładzie umożliwiające obsługę przez osoby prawo i leworęczne; zabezpieczenie zwrotne przed cofaniem się wydzieliny do pacjenta; łącznik kątowy zabezpieczający przed zamknięciem światła drenu pacjenta; wymiana wkład</w:t>
            </w:r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 xml:space="preserve">w bez konieczności odłączenia 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źr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dła</w:t>
            </w:r>
            <w:proofErr w:type="spellEnd"/>
            <w:r w:rsidRPr="00364D3F">
              <w:rPr>
                <w:rFonts w:ascii="Tahoma" w:hAnsi="Tahoma" w:cs="Tahoma"/>
                <w:sz w:val="16"/>
                <w:szCs w:val="16"/>
              </w:rPr>
              <w:t xml:space="preserve"> ssania.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0C40" w14:textId="3FFAA6FD" w:rsidR="00A14B4D" w:rsidRPr="00364D3F" w:rsidRDefault="00A14B4D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1B197" w14:textId="23E8779E" w:rsidR="00A14B4D" w:rsidRPr="00364D3F" w:rsidRDefault="00A14B4D" w:rsidP="00D330B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6CC7D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FC10E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E3AA2" w14:textId="7D56F0C1" w:rsidR="00A14B4D" w:rsidRPr="00364D3F" w:rsidRDefault="00A14B4D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3F21" w14:textId="5E8D06C0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AEAC81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1CB0B3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B382B7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4B4D" w:rsidRPr="00364D3F" w14:paraId="4CD08E39" w14:textId="77777777" w:rsidTr="00D330B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0BFE" w14:textId="57FF8DEE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2</w:t>
            </w:r>
            <w:r w:rsidR="007770A5" w:rsidRPr="00364D3F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5DE66" w14:textId="4A8FA94A" w:rsidR="00A14B4D" w:rsidRPr="00364D3F" w:rsidRDefault="00A14B4D" w:rsidP="00D330BE">
            <w:pPr>
              <w:pStyle w:val="Domylne"/>
              <w:suppressAutoHyphens/>
              <w:spacing w:line="100" w:lineRule="atLeast"/>
              <w:rPr>
                <w:rFonts w:ascii="Tahoma" w:hAnsi="Tahoma" w:cs="Tahoma"/>
                <w:sz w:val="16"/>
                <w:szCs w:val="16"/>
                <w:u w:color="000000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Zbiornik do wkład</w:t>
            </w:r>
            <w:r w:rsidRPr="00364D3F">
              <w:rPr>
                <w:rFonts w:ascii="Tahoma" w:hAnsi="Tahoma" w:cs="Tahoma"/>
                <w:sz w:val="16"/>
                <w:szCs w:val="16"/>
                <w:lang w:val="es-ES_tradnl"/>
              </w:rPr>
              <w:t>ó</w:t>
            </w:r>
            <w:r w:rsidRPr="00364D3F">
              <w:rPr>
                <w:rFonts w:ascii="Tahoma" w:hAnsi="Tahoma" w:cs="Tahoma"/>
                <w:sz w:val="16"/>
                <w:szCs w:val="16"/>
              </w:rPr>
              <w:t>w jednorazowych, wielorazowego użytku o pojemności 2,5 litra posiadający zaczep do zawieszenia do ssaka o drenu pacjenta. Posiada blokadę zabezpieczającą przed wysuwaniem się z uchwytu w czasie wymiany wkładu.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1C1B4" w14:textId="2313ADFD" w:rsidR="00A14B4D" w:rsidRPr="00364D3F" w:rsidRDefault="00A14B4D" w:rsidP="00D330B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64D3F">
              <w:rPr>
                <w:rFonts w:ascii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D748" w14:textId="4506855F" w:rsidR="00A14B4D" w:rsidRPr="00364D3F" w:rsidRDefault="00A14B4D" w:rsidP="00D330B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FA42D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FC9B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B13C" w14:textId="228A56BF" w:rsidR="00A14B4D" w:rsidRPr="00364D3F" w:rsidRDefault="00A14B4D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80611" w14:textId="7BEA0D5B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2D87A8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B9E476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7E780E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4B4D" w:rsidRPr="00364D3F" w14:paraId="55142254" w14:textId="77777777" w:rsidTr="00D330BE">
        <w:tc>
          <w:tcPr>
            <w:tcW w:w="970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31BBF" w14:textId="77777777" w:rsidR="00A14B4D" w:rsidRPr="00364D3F" w:rsidRDefault="00A14B4D" w:rsidP="00D330BE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  <w:lang w:val="de-DE"/>
              </w:rPr>
              <w:t>RAZEM: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C6035" w14:textId="77777777" w:rsidR="00A14B4D" w:rsidRPr="00364D3F" w:rsidRDefault="00A14B4D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8170" w14:textId="77777777" w:rsidR="00A14B4D" w:rsidRPr="00364D3F" w:rsidRDefault="00A14B4D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A9514C" w14:textId="77777777" w:rsidR="00A14B4D" w:rsidRPr="00364D3F" w:rsidRDefault="00A14B4D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A09F82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4B4D" w:rsidRPr="00364D3F" w14:paraId="43B30FEA" w14:textId="77777777" w:rsidTr="00D330BE">
        <w:tc>
          <w:tcPr>
            <w:tcW w:w="64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75E422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7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DAA3E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8E7B7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E1898" w14:textId="77777777" w:rsidR="00A14B4D" w:rsidRPr="00364D3F" w:rsidRDefault="00A14B4D" w:rsidP="00D330B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A25323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5C5057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D82DF49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0BCF0E0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7196DD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B5A627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B40867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4B4D" w:rsidRPr="00364D3F" w14:paraId="6C99DEE8" w14:textId="77777777" w:rsidTr="00D330BE">
        <w:trPr>
          <w:gridAfter w:val="1"/>
          <w:wAfter w:w="95" w:type="dxa"/>
        </w:trPr>
        <w:tc>
          <w:tcPr>
            <w:tcW w:w="83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7765C33" w14:textId="77777777" w:rsidR="00A14B4D" w:rsidRPr="00364D3F" w:rsidRDefault="00A14B4D" w:rsidP="00D330BE">
            <w:pPr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BBE25A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E757A9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1AB460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86B9BE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907309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4B4D" w:rsidRPr="00364D3F" w14:paraId="19678CF7" w14:textId="77777777" w:rsidTr="00D330BE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60964C9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6C72A0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6246B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FCA81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0E88217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D39448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9EC6599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D027772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AD3A97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AAD752B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74C2F3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4B4D" w:rsidRPr="00364D3F" w14:paraId="07D162B2" w14:textId="77777777" w:rsidTr="00D330BE">
        <w:trPr>
          <w:trHeight w:val="32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97AB69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97A027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7DD2D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B521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5D8C27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D693DA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7F2EA4F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13C9EB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B360188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E58AFC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E11B172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4B4D" w:rsidRPr="00364D3F" w14:paraId="792410A5" w14:textId="77777777" w:rsidTr="00D330BE">
        <w:trPr>
          <w:trHeight w:val="26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C3F8F2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320AD2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5E8E4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43B0F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6A8C2F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90C9D5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9BB34B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739FF98" w14:textId="77777777" w:rsidR="00A14B4D" w:rsidRPr="00364D3F" w:rsidRDefault="00A14B4D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 …………………………………………… 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0F184C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4B4D" w:rsidRPr="00364D3F" w14:paraId="0D671635" w14:textId="77777777" w:rsidTr="00D330BE">
        <w:trPr>
          <w:trHeight w:val="26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79F7F80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CEB518E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7866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A34C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A43D9B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0DC101E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633134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637DB9" w14:textId="77777777" w:rsidR="00A14B4D" w:rsidRPr="00364D3F" w:rsidRDefault="00A14B4D" w:rsidP="00D330B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64D3F">
              <w:rPr>
                <w:rFonts w:ascii="Tahoma" w:hAnsi="Tahoma" w:cs="Tahoma"/>
                <w:sz w:val="16"/>
                <w:szCs w:val="16"/>
              </w:rPr>
              <w:t xml:space="preserve">           (data i podpis wykonawcy) 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DACFEA" w14:textId="77777777" w:rsidR="00A14B4D" w:rsidRPr="00364D3F" w:rsidRDefault="00A14B4D" w:rsidP="00D330B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6CBACB2" w14:textId="77777777" w:rsidR="00266B66" w:rsidRPr="00364D3F" w:rsidRDefault="00266B66">
      <w:pPr>
        <w:pStyle w:val="Tr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1" w:hanging="1"/>
        <w:rPr>
          <w:rFonts w:ascii="Tahoma" w:hAnsi="Tahoma" w:cs="Tahoma"/>
          <w:sz w:val="16"/>
          <w:szCs w:val="16"/>
        </w:rPr>
      </w:pPr>
    </w:p>
    <w:sectPr w:rsidR="00266B66" w:rsidRPr="00364D3F" w:rsidSect="00C37C85">
      <w:pgSz w:w="16840" w:h="11900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4F953" w14:textId="77777777" w:rsidR="003A7104" w:rsidRDefault="003A7104">
      <w:pPr>
        <w:spacing w:after="0" w:line="240" w:lineRule="auto"/>
      </w:pPr>
      <w:r>
        <w:separator/>
      </w:r>
    </w:p>
  </w:endnote>
  <w:endnote w:type="continuationSeparator" w:id="0">
    <w:p w14:paraId="79616A96" w14:textId="77777777" w:rsidR="003A7104" w:rsidRDefault="003A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40305" w14:textId="77777777" w:rsidR="003A7104" w:rsidRDefault="003A7104">
      <w:pPr>
        <w:spacing w:after="0" w:line="240" w:lineRule="auto"/>
      </w:pPr>
      <w:r>
        <w:separator/>
      </w:r>
    </w:p>
  </w:footnote>
  <w:footnote w:type="continuationSeparator" w:id="0">
    <w:p w14:paraId="47F85CC9" w14:textId="77777777" w:rsidR="003A7104" w:rsidRDefault="003A71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B66"/>
    <w:rsid w:val="00000EC3"/>
    <w:rsid w:val="00000F85"/>
    <w:rsid w:val="000207C4"/>
    <w:rsid w:val="00033B27"/>
    <w:rsid w:val="00060158"/>
    <w:rsid w:val="00076BF5"/>
    <w:rsid w:val="00091314"/>
    <w:rsid w:val="000C6C0D"/>
    <w:rsid w:val="000D2AC7"/>
    <w:rsid w:val="000D43B5"/>
    <w:rsid w:val="000D698F"/>
    <w:rsid w:val="00120A46"/>
    <w:rsid w:val="00123651"/>
    <w:rsid w:val="001332E6"/>
    <w:rsid w:val="00137608"/>
    <w:rsid w:val="001458C9"/>
    <w:rsid w:val="001476AF"/>
    <w:rsid w:val="00176AB9"/>
    <w:rsid w:val="001D592E"/>
    <w:rsid w:val="001E1640"/>
    <w:rsid w:val="001F73C3"/>
    <w:rsid w:val="00204111"/>
    <w:rsid w:val="00205E3C"/>
    <w:rsid w:val="00207FBF"/>
    <w:rsid w:val="00213E32"/>
    <w:rsid w:val="00220003"/>
    <w:rsid w:val="00266B66"/>
    <w:rsid w:val="00275528"/>
    <w:rsid w:val="002777A6"/>
    <w:rsid w:val="002E4695"/>
    <w:rsid w:val="003159B9"/>
    <w:rsid w:val="00351A87"/>
    <w:rsid w:val="00354A9C"/>
    <w:rsid w:val="00364D3F"/>
    <w:rsid w:val="00375841"/>
    <w:rsid w:val="00387E13"/>
    <w:rsid w:val="003A7104"/>
    <w:rsid w:val="003D74C1"/>
    <w:rsid w:val="003E0E7E"/>
    <w:rsid w:val="00417CBF"/>
    <w:rsid w:val="00430F3F"/>
    <w:rsid w:val="004377C1"/>
    <w:rsid w:val="00453D5E"/>
    <w:rsid w:val="004577D6"/>
    <w:rsid w:val="004612CE"/>
    <w:rsid w:val="00462EB9"/>
    <w:rsid w:val="004A3D43"/>
    <w:rsid w:val="004A5C25"/>
    <w:rsid w:val="004B644E"/>
    <w:rsid w:val="004C139E"/>
    <w:rsid w:val="004D45A4"/>
    <w:rsid w:val="004D495B"/>
    <w:rsid w:val="004F2449"/>
    <w:rsid w:val="005070D1"/>
    <w:rsid w:val="00546C99"/>
    <w:rsid w:val="005632F8"/>
    <w:rsid w:val="00571A22"/>
    <w:rsid w:val="005A1AC8"/>
    <w:rsid w:val="005B0C11"/>
    <w:rsid w:val="005E6DF8"/>
    <w:rsid w:val="005F2931"/>
    <w:rsid w:val="00603C1C"/>
    <w:rsid w:val="00614688"/>
    <w:rsid w:val="00620A93"/>
    <w:rsid w:val="0062405C"/>
    <w:rsid w:val="00666595"/>
    <w:rsid w:val="00687F1E"/>
    <w:rsid w:val="006D06CE"/>
    <w:rsid w:val="00723E3E"/>
    <w:rsid w:val="007770A5"/>
    <w:rsid w:val="0078316C"/>
    <w:rsid w:val="007B0644"/>
    <w:rsid w:val="00812716"/>
    <w:rsid w:val="00815CF9"/>
    <w:rsid w:val="008224AA"/>
    <w:rsid w:val="008260DD"/>
    <w:rsid w:val="00841344"/>
    <w:rsid w:val="00854E0E"/>
    <w:rsid w:val="00881277"/>
    <w:rsid w:val="0089344C"/>
    <w:rsid w:val="008A472B"/>
    <w:rsid w:val="008C5C59"/>
    <w:rsid w:val="008D3BD2"/>
    <w:rsid w:val="008E6D96"/>
    <w:rsid w:val="00912B6F"/>
    <w:rsid w:val="0094307B"/>
    <w:rsid w:val="0094755C"/>
    <w:rsid w:val="009542FC"/>
    <w:rsid w:val="00976496"/>
    <w:rsid w:val="00991B06"/>
    <w:rsid w:val="00992B08"/>
    <w:rsid w:val="009C5745"/>
    <w:rsid w:val="009D5248"/>
    <w:rsid w:val="009F7160"/>
    <w:rsid w:val="00A14B4D"/>
    <w:rsid w:val="00A306CB"/>
    <w:rsid w:val="00A54061"/>
    <w:rsid w:val="00A576E7"/>
    <w:rsid w:val="00A60F89"/>
    <w:rsid w:val="00A831D2"/>
    <w:rsid w:val="00AB1AC2"/>
    <w:rsid w:val="00AD18A1"/>
    <w:rsid w:val="00B31DAA"/>
    <w:rsid w:val="00B33D6F"/>
    <w:rsid w:val="00B407F7"/>
    <w:rsid w:val="00B87C37"/>
    <w:rsid w:val="00B907E1"/>
    <w:rsid w:val="00B94138"/>
    <w:rsid w:val="00BB34B4"/>
    <w:rsid w:val="00BD540C"/>
    <w:rsid w:val="00BE4676"/>
    <w:rsid w:val="00BF4E84"/>
    <w:rsid w:val="00C178B6"/>
    <w:rsid w:val="00C36959"/>
    <w:rsid w:val="00C37C85"/>
    <w:rsid w:val="00C63030"/>
    <w:rsid w:val="00C95969"/>
    <w:rsid w:val="00CA3950"/>
    <w:rsid w:val="00D057F5"/>
    <w:rsid w:val="00D22660"/>
    <w:rsid w:val="00D249B1"/>
    <w:rsid w:val="00D330BE"/>
    <w:rsid w:val="00D76B51"/>
    <w:rsid w:val="00DD377F"/>
    <w:rsid w:val="00DF388F"/>
    <w:rsid w:val="00E1232C"/>
    <w:rsid w:val="00E135C6"/>
    <w:rsid w:val="00E3538F"/>
    <w:rsid w:val="00E353D2"/>
    <w:rsid w:val="00E370AD"/>
    <w:rsid w:val="00E70FE5"/>
    <w:rsid w:val="00EB70FF"/>
    <w:rsid w:val="00EC31D3"/>
    <w:rsid w:val="00ED4BDE"/>
    <w:rsid w:val="00EE4253"/>
    <w:rsid w:val="00F01074"/>
    <w:rsid w:val="00F10D54"/>
    <w:rsid w:val="00F12CE4"/>
    <w:rsid w:val="00F179C4"/>
    <w:rsid w:val="00F26DB6"/>
    <w:rsid w:val="00F36502"/>
    <w:rsid w:val="00F73222"/>
    <w:rsid w:val="00FB2031"/>
    <w:rsid w:val="00FC11E2"/>
    <w:rsid w:val="00FE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2A5BB"/>
  <w15:docId w15:val="{204FBEC7-4DB2-4950-B81A-E67C5C52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C85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37C85"/>
    <w:rPr>
      <w:u w:val="single"/>
    </w:rPr>
  </w:style>
  <w:style w:type="table" w:customStyle="1" w:styleId="TableNormal">
    <w:name w:val="Table Normal"/>
    <w:rsid w:val="00C37C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C37C8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re">
    <w:name w:val="Treść"/>
    <w:rsid w:val="00C37C85"/>
    <w:rPr>
      <w:rFonts w:ascii="Helvetica Neue" w:hAnsi="Helvetica Neue" w:cs="Arial Unicode MS"/>
      <w:color w:val="000000"/>
      <w:sz w:val="22"/>
      <w:szCs w:val="22"/>
    </w:rPr>
  </w:style>
  <w:style w:type="paragraph" w:customStyle="1" w:styleId="Domylne">
    <w:name w:val="Domyślne"/>
    <w:rsid w:val="00C37C85"/>
    <w:rPr>
      <w:rFonts w:ascii="Helvetica Neue" w:hAnsi="Helvetica Neue" w:cs="Arial Unicode MS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D33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6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1839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Woldańska</dc:creator>
  <cp:lastModifiedBy>Justyna Woldańska</cp:lastModifiedBy>
  <cp:revision>3</cp:revision>
  <dcterms:created xsi:type="dcterms:W3CDTF">2023-09-06T06:18:00Z</dcterms:created>
  <dcterms:modified xsi:type="dcterms:W3CDTF">2023-09-06T10:59:00Z</dcterms:modified>
</cp:coreProperties>
</file>