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A66AA" w14:textId="77777777" w:rsidR="00C67805" w:rsidRPr="005040FD" w:rsidRDefault="00C67805" w:rsidP="00C67805">
      <w:pPr>
        <w:suppressAutoHyphens/>
        <w:spacing w:line="240" w:lineRule="auto"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bookmarkStart w:id="0" w:name="_Hlk166752712"/>
      <w:r w:rsidRPr="005040FD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25A14D12" w14:textId="77777777" w:rsidR="00C67805" w:rsidRPr="005040FD" w:rsidRDefault="00C67805" w:rsidP="00C67805">
      <w:pPr>
        <w:suppressAutoHyphens/>
        <w:spacing w:line="240" w:lineRule="auto"/>
        <w:textAlignment w:val="baseline"/>
        <w:rPr>
          <w:rFonts w:eastAsia="Arial" w:cs="Arial"/>
          <w:b/>
          <w:i/>
          <w:kern w:val="2"/>
          <w:sz w:val="18"/>
          <w:szCs w:val="18"/>
          <w:lang w:eastAsia="zh-CN" w:bidi="hi-IN"/>
        </w:rPr>
      </w:pPr>
      <w:r w:rsidRPr="005040FD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</w:t>
      </w:r>
      <w:r w:rsidRPr="005040FD">
        <w:rPr>
          <w:rFonts w:eastAsia="Arial" w:cs="Arial"/>
          <w:b/>
          <w:i/>
          <w:kern w:val="2"/>
          <w:sz w:val="18"/>
          <w:szCs w:val="18"/>
          <w:lang w:eastAsia="zh-CN" w:bidi="hi-IN"/>
        </w:rPr>
        <w:t>.</w:t>
      </w:r>
    </w:p>
    <w:p w14:paraId="38165FB1" w14:textId="77777777" w:rsidR="00C67805" w:rsidRPr="005040FD" w:rsidRDefault="00C67805" w:rsidP="00C67805">
      <w:pPr>
        <w:jc w:val="both"/>
        <w:rPr>
          <w:rFonts w:cs="Arial"/>
          <w:b/>
          <w:spacing w:val="20"/>
          <w:sz w:val="18"/>
          <w:szCs w:val="18"/>
        </w:rPr>
      </w:pPr>
    </w:p>
    <w:p w14:paraId="4D61CCF6" w14:textId="77777777" w:rsidR="00C67805" w:rsidRPr="005040FD" w:rsidRDefault="00C67805" w:rsidP="00C67805">
      <w:pPr>
        <w:jc w:val="right"/>
        <w:rPr>
          <w:rFonts w:cs="Arial"/>
          <w:b/>
          <w:spacing w:val="20"/>
          <w:sz w:val="18"/>
          <w:szCs w:val="18"/>
        </w:rPr>
      </w:pPr>
    </w:p>
    <w:p w14:paraId="3C00D408" w14:textId="77777777" w:rsidR="00C67805" w:rsidRPr="005040FD" w:rsidRDefault="00C67805" w:rsidP="00C67805">
      <w:pPr>
        <w:jc w:val="right"/>
        <w:rPr>
          <w:rFonts w:cs="Arial"/>
          <w:b/>
          <w:spacing w:val="20"/>
          <w:sz w:val="24"/>
          <w:szCs w:val="24"/>
        </w:rPr>
      </w:pPr>
      <w:r w:rsidRPr="005040FD">
        <w:rPr>
          <w:rFonts w:cs="Arial"/>
          <w:b/>
          <w:spacing w:val="20"/>
          <w:sz w:val="24"/>
          <w:szCs w:val="24"/>
        </w:rPr>
        <w:t>ZAŁĄCZNIK NR 1 DO SWZ</w:t>
      </w:r>
    </w:p>
    <w:p w14:paraId="06D30882" w14:textId="77777777" w:rsidR="00C67805" w:rsidRPr="005040FD" w:rsidRDefault="00C67805" w:rsidP="00C67805">
      <w:pPr>
        <w:rPr>
          <w:rFonts w:cs="Arial"/>
          <w:sz w:val="24"/>
          <w:szCs w:val="24"/>
        </w:rPr>
      </w:pPr>
    </w:p>
    <w:p w14:paraId="68FA0F48" w14:textId="77777777" w:rsidR="00C67805" w:rsidRPr="005040FD" w:rsidRDefault="00C67805" w:rsidP="00C67805">
      <w:pPr>
        <w:jc w:val="center"/>
        <w:rPr>
          <w:rFonts w:cs="Arial"/>
          <w:b/>
          <w:spacing w:val="20"/>
          <w:sz w:val="24"/>
          <w:szCs w:val="24"/>
        </w:rPr>
      </w:pPr>
      <w:r w:rsidRPr="005040FD">
        <w:rPr>
          <w:rFonts w:cs="Arial"/>
          <w:b/>
          <w:spacing w:val="20"/>
          <w:sz w:val="24"/>
          <w:szCs w:val="24"/>
        </w:rPr>
        <w:t>FORMULARZ CENOWY</w:t>
      </w:r>
    </w:p>
    <w:p w14:paraId="5C2935DD" w14:textId="77777777" w:rsidR="00C67805" w:rsidRPr="005040FD" w:rsidRDefault="00C67805" w:rsidP="00C67805">
      <w:pPr>
        <w:jc w:val="center"/>
        <w:rPr>
          <w:rFonts w:cs="Arial"/>
          <w:b/>
          <w:spacing w:val="20"/>
          <w:sz w:val="18"/>
          <w:szCs w:val="18"/>
        </w:rPr>
      </w:pPr>
    </w:p>
    <w:p w14:paraId="34045107" w14:textId="77777777" w:rsidR="00C67805" w:rsidRPr="005040FD" w:rsidRDefault="00C67805" w:rsidP="00C67805">
      <w:pPr>
        <w:spacing w:after="240" w:line="240" w:lineRule="auto"/>
        <w:jc w:val="both"/>
        <w:rPr>
          <w:rFonts w:eastAsia="Times New Roman" w:cs="Arial"/>
          <w:b/>
          <w:bCs/>
          <w:sz w:val="18"/>
          <w:szCs w:val="18"/>
          <w:lang w:val="x-none" w:eastAsia="pl-PL"/>
        </w:rPr>
      </w:pPr>
      <w:bookmarkStart w:id="1" w:name="_Hlk166752817"/>
      <w:r w:rsidRPr="005040FD">
        <w:rPr>
          <w:rFonts w:eastAsia="Times New Roman" w:cs="Arial"/>
          <w:b/>
          <w:bCs/>
          <w:sz w:val="18"/>
          <w:szCs w:val="18"/>
          <w:lang w:val="x-none" w:eastAsia="pl-PL"/>
        </w:rPr>
        <w:t>WARUNKI OGÓLNE:</w:t>
      </w:r>
    </w:p>
    <w:p w14:paraId="24A5490B" w14:textId="416FC0E1" w:rsidR="00C67805" w:rsidRPr="005040FD" w:rsidRDefault="00C67805" w:rsidP="00C67805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  <w:lang w:eastAsia="pl-PL"/>
        </w:rPr>
        <w:t xml:space="preserve">Zamawiający wymaga, aby skuteczność (stężenie, spektrum i czas) działania proponowanych preparatów do dezynfekcji narzędzi i powierzchni, oprócz ulotek </w:t>
      </w:r>
    </w:p>
    <w:p w14:paraId="73EFFA1E" w14:textId="77777777" w:rsidR="00C67805" w:rsidRPr="005040FD" w:rsidRDefault="00C67805" w:rsidP="00C67805">
      <w:pPr>
        <w:spacing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  <w:lang w:eastAsia="pl-PL"/>
        </w:rPr>
        <w:t xml:space="preserve">   informacyjnych, prospektów i instrukcji użycia były potwierdzone dokumentami z wykonanych badań potwierdzających skuteczność produktów dezynfekcyjnych </w:t>
      </w:r>
    </w:p>
    <w:p w14:paraId="585B49E8" w14:textId="77777777" w:rsidR="00C67805" w:rsidRPr="005040FD" w:rsidRDefault="00C67805" w:rsidP="00C67805">
      <w:pPr>
        <w:spacing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  <w:lang w:eastAsia="pl-PL"/>
        </w:rPr>
        <w:t xml:space="preserve">   wykonanych zgodnie z Normami Europejskimi dla obszaru medycznego lub innymi metodami zaakceptowanymi przez Prezesa Urzędu Rejestracji Produktów </w:t>
      </w:r>
    </w:p>
    <w:p w14:paraId="412F309C" w14:textId="77777777" w:rsidR="00C67805" w:rsidRPr="005040FD" w:rsidRDefault="00C67805" w:rsidP="00C67805">
      <w:pPr>
        <w:spacing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  <w:lang w:eastAsia="pl-PL"/>
        </w:rPr>
        <w:t xml:space="preserve">   Leczniczych Wyrobów Medycznych i Produktów Biobójczych lub opinią PZH – zamawiający wymaga dostarczenia wraz z pierwsza dostawą  dokumentów z wykonanych badań dotyczących skuteczności mikrobiologicznej, potwierdzonych za zgodność z oryginałem przez wytwórcę lub zaakceptowanego przez wytwórcę dystrybutora </w:t>
      </w:r>
    </w:p>
    <w:p w14:paraId="4A6896A8" w14:textId="77777777" w:rsidR="00C67805" w:rsidRPr="005040FD" w:rsidRDefault="00C67805" w:rsidP="00C67805">
      <w:pPr>
        <w:spacing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  <w:lang w:eastAsia="pl-PL"/>
        </w:rPr>
        <w:t xml:space="preserve">   oferowanego produktu.</w:t>
      </w:r>
    </w:p>
    <w:p w14:paraId="29687789" w14:textId="77777777" w:rsidR="00C67805" w:rsidRPr="005040FD" w:rsidRDefault="00C67805" w:rsidP="00C67805">
      <w:pPr>
        <w:spacing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  <w:lang w:eastAsia="pl-PL"/>
        </w:rPr>
        <w:t xml:space="preserve"> </w:t>
      </w:r>
    </w:p>
    <w:p w14:paraId="27BE87B5" w14:textId="77777777" w:rsidR="00C67805" w:rsidRPr="005040FD" w:rsidRDefault="00C67805" w:rsidP="00C67805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  <w:lang w:eastAsia="pl-PL"/>
        </w:rPr>
        <w:t xml:space="preserve">Zamawiający wymaga dostarczenia przy pierwszej dostawie  kart charakterystyki oferowanych produktów w języku polskim wydanych  przez producenta oferowanego przedmiotu zamówienia. </w:t>
      </w:r>
    </w:p>
    <w:p w14:paraId="5368E26D" w14:textId="77777777" w:rsidR="00C67805" w:rsidRPr="005040FD" w:rsidRDefault="00C67805" w:rsidP="00C67805">
      <w:pPr>
        <w:spacing w:line="240" w:lineRule="auto"/>
        <w:ind w:left="360"/>
        <w:jc w:val="both"/>
        <w:rPr>
          <w:rFonts w:eastAsia="Times New Roman" w:cs="Arial"/>
          <w:sz w:val="18"/>
          <w:szCs w:val="18"/>
          <w:lang w:eastAsia="pl-PL"/>
        </w:rPr>
      </w:pPr>
    </w:p>
    <w:p w14:paraId="79C347DC" w14:textId="77777777" w:rsidR="00C67805" w:rsidRPr="005040FD" w:rsidRDefault="00C67805" w:rsidP="00C67805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b/>
          <w:sz w:val="18"/>
          <w:szCs w:val="18"/>
        </w:rPr>
        <w:t>Warunki do pakietu  nr 2 i 3</w:t>
      </w:r>
      <w:r w:rsidRPr="005040FD">
        <w:rPr>
          <w:rFonts w:eastAsia="Times New Roman" w:cs="Arial"/>
          <w:sz w:val="18"/>
          <w:szCs w:val="18"/>
        </w:rPr>
        <w:t>.</w:t>
      </w:r>
    </w:p>
    <w:p w14:paraId="53A8C213" w14:textId="77777777" w:rsidR="00C67805" w:rsidRPr="005040FD" w:rsidRDefault="00C67805" w:rsidP="00C67805">
      <w:pPr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</w:rPr>
        <w:t xml:space="preserve">Zamawiający wymaga, by wykonawca raz do roku wykonał i przedstawił w postaci raportu analizę procesów dekontaminacji maszynowej, zawierającą rozkład temperatury (2 punkty) oraz rozkład przewodności w trakcie trwania programu w myjni- dezynfektorze. Wykonawca zobowiązany jest do wykonania testu pozostałości białkowej na narzędziach (dopuszcza się metodę biuretową i </w:t>
      </w:r>
      <w:proofErr w:type="spellStart"/>
      <w:r w:rsidRPr="005040FD">
        <w:rPr>
          <w:rFonts w:eastAsia="Times New Roman" w:cs="Arial"/>
          <w:sz w:val="18"/>
          <w:szCs w:val="18"/>
        </w:rPr>
        <w:t>ninhydrynową</w:t>
      </w:r>
      <w:proofErr w:type="spellEnd"/>
      <w:r w:rsidRPr="005040FD">
        <w:rPr>
          <w:rFonts w:eastAsia="Times New Roman" w:cs="Arial"/>
          <w:sz w:val="18"/>
          <w:szCs w:val="18"/>
        </w:rPr>
        <w:t xml:space="preserve">). </w:t>
      </w:r>
    </w:p>
    <w:p w14:paraId="0C2A3630" w14:textId="77777777" w:rsidR="00C67805" w:rsidRPr="005040FD" w:rsidRDefault="00C67805" w:rsidP="00C6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</w:rPr>
        <w:t>Zamawiający wymaga dostarczenia oraz zamontowania na koszt dostawcy  Centralnego Systemu Dozowania.</w:t>
      </w:r>
    </w:p>
    <w:p w14:paraId="4A6D7666" w14:textId="77777777" w:rsidR="00C67805" w:rsidRPr="005040FD" w:rsidRDefault="00C67805" w:rsidP="00C678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040FD">
        <w:rPr>
          <w:rFonts w:eastAsia="Times New Roman" w:cs="Arial"/>
          <w:sz w:val="18"/>
          <w:szCs w:val="18"/>
          <w:lang w:eastAsia="pl-PL"/>
        </w:rPr>
        <w:t>Koszty podłączenia środków i kalibracji stężeń w  urządzeniach  jest po stronie dostawcy środków.</w:t>
      </w:r>
    </w:p>
    <w:bookmarkEnd w:id="0"/>
    <w:bookmarkEnd w:id="1"/>
    <w:p w14:paraId="7A2F0E37" w14:textId="77777777" w:rsidR="00BA7FD1" w:rsidRDefault="00BA7FD1"/>
    <w:p w14:paraId="362B8F7E" w14:textId="77777777" w:rsidR="00C67805" w:rsidRDefault="00C67805"/>
    <w:p w14:paraId="0922FD87" w14:textId="77777777" w:rsidR="00C67805" w:rsidRDefault="00C67805"/>
    <w:p w14:paraId="1CF4E344" w14:textId="77777777" w:rsidR="00C67805" w:rsidRDefault="00C67805"/>
    <w:p w14:paraId="42104C39" w14:textId="77777777" w:rsidR="00C67805" w:rsidRDefault="00C67805"/>
    <w:p w14:paraId="36D26D1F" w14:textId="77777777" w:rsidR="00C67805" w:rsidRDefault="00C67805"/>
    <w:p w14:paraId="424CAB3D" w14:textId="77777777" w:rsidR="00C67805" w:rsidRDefault="00C67805"/>
    <w:p w14:paraId="71D66A30" w14:textId="77777777" w:rsidR="00C67805" w:rsidRDefault="00C67805"/>
    <w:p w14:paraId="33AA3458" w14:textId="77777777" w:rsidR="00C67805" w:rsidRDefault="00C67805"/>
    <w:p w14:paraId="5503DB1F" w14:textId="77777777" w:rsidR="00C67805" w:rsidRDefault="00C67805"/>
    <w:p w14:paraId="57975DA0" w14:textId="77777777" w:rsidR="00C67805" w:rsidRPr="00BA3771" w:rsidRDefault="00C67805" w:rsidP="00C67805">
      <w:pPr>
        <w:pStyle w:val="Nagwek3"/>
        <w:rPr>
          <w:rFonts w:ascii="Arial" w:hAnsi="Arial" w:cs="Arial"/>
          <w:sz w:val="18"/>
          <w:szCs w:val="18"/>
        </w:rPr>
      </w:pPr>
      <w:r w:rsidRPr="00BA3771">
        <w:rPr>
          <w:rFonts w:ascii="Arial" w:hAnsi="Arial" w:cs="Arial"/>
          <w:sz w:val="18"/>
          <w:szCs w:val="18"/>
        </w:rPr>
        <w:lastRenderedPageBreak/>
        <w:t>PAKIET NR 1 - Dezynfekcja powierzchni,  inkubatorów, wyrobów medycznych</w:t>
      </w:r>
    </w:p>
    <w:p w14:paraId="64EFA98D" w14:textId="77777777" w:rsidR="00C67805" w:rsidRPr="006C7A63" w:rsidRDefault="00C67805" w:rsidP="00C67805">
      <w:pPr>
        <w:rPr>
          <w:rFonts w:asciiTheme="majorHAnsi" w:hAnsiTheme="majorHAnsi" w:cs="Arial"/>
          <w:sz w:val="18"/>
          <w:szCs w:val="18"/>
          <w:lang w:val="x-none" w:eastAsia="pl-PL"/>
        </w:rPr>
      </w:pPr>
    </w:p>
    <w:tbl>
      <w:tblPr>
        <w:tblpPr w:leftFromText="141" w:rightFromText="141" w:vertAnchor="text" w:horzAnchor="margin" w:tblpXSpec="center" w:tblpY="4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721"/>
        <w:gridCol w:w="992"/>
        <w:gridCol w:w="1418"/>
        <w:gridCol w:w="1842"/>
        <w:gridCol w:w="1134"/>
        <w:gridCol w:w="1418"/>
        <w:gridCol w:w="709"/>
        <w:gridCol w:w="1275"/>
        <w:gridCol w:w="1418"/>
      </w:tblGrid>
      <w:tr w:rsidR="00C67805" w:rsidRPr="006C7A63" w14:paraId="050AF9DF" w14:textId="77777777" w:rsidTr="00000873">
        <w:trPr>
          <w:cantSplit/>
          <w:trHeight w:val="1051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59486BAD" w14:textId="77777777" w:rsidR="00C67805" w:rsidRPr="006C7A63" w:rsidRDefault="00C67805" w:rsidP="00000873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6C7A63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A57A370" w14:textId="77777777" w:rsidR="00C67805" w:rsidRPr="005040FD" w:rsidRDefault="00C67805" w:rsidP="00000873">
            <w:pPr>
              <w:pStyle w:val="Nagwek2"/>
              <w:spacing w:line="276" w:lineRule="auto"/>
              <w:jc w:val="center"/>
              <w:rPr>
                <w:rFonts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040FD">
              <w:rPr>
                <w:rFonts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25E67E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Jednostka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0C082B58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 xml:space="preserve">Przewidywana ilość </w:t>
            </w:r>
          </w:p>
          <w:p w14:paraId="307391F5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5CB32650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handlowa preparatu, producent, wielkość opakowania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5FD1C1BF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sz w:val="18"/>
                <w:szCs w:val="18"/>
                <w:lang w:eastAsia="en-US"/>
              </w:rPr>
              <w:t>Cena netto za jednostkę miary w złotych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0D02B1CE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Wartość netto ogółem w złotych</w:t>
            </w:r>
          </w:p>
          <w:p w14:paraId="3B6BD127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38A2E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Stawka VAT</w:t>
            </w:r>
          </w:p>
          <w:p w14:paraId="6418C559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557E1D7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Cena brutto za jednostkę miary w złotych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377FCE45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Wartość brutto ogółem  w złotych</w:t>
            </w:r>
          </w:p>
          <w:p w14:paraId="3D190CC0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(kol.4 x kol.9)</w:t>
            </w:r>
          </w:p>
        </w:tc>
      </w:tr>
      <w:tr w:rsidR="00C67805" w:rsidRPr="006C7A63" w14:paraId="694E146B" w14:textId="77777777" w:rsidTr="00000873">
        <w:trPr>
          <w:cantSplit/>
          <w:trHeight w:val="273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1208481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040FD">
              <w:rPr>
                <w:rFonts w:cs="Arial"/>
                <w:b/>
                <w:bCs/>
                <w:sz w:val="18"/>
                <w:szCs w:val="18"/>
                <w:lang w:val="en-US"/>
              </w:rPr>
              <w:t>kol</w:t>
            </w:r>
            <w:proofErr w:type="spellEnd"/>
            <w:r w:rsidRPr="005040FD">
              <w:rPr>
                <w:rFonts w:cs="Arial"/>
                <w:b/>
                <w:bCs/>
                <w:sz w:val="18"/>
                <w:szCs w:val="18"/>
                <w:lang w:val="en-US"/>
              </w:rPr>
              <w:t>. 1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7880DF3" w14:textId="77777777" w:rsidR="00C67805" w:rsidRPr="005040FD" w:rsidRDefault="00C67805" w:rsidP="00000873">
            <w:pPr>
              <w:pStyle w:val="Nagwek2"/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val="pl-PL" w:eastAsia="en-US"/>
              </w:rPr>
            </w:pPr>
            <w:r w:rsidRPr="005040FD">
              <w:rPr>
                <w:rFonts w:cs="Arial"/>
                <w:bCs/>
                <w:sz w:val="18"/>
                <w:szCs w:val="18"/>
                <w:lang w:val="pl-PL" w:eastAsia="en-US"/>
              </w:rPr>
              <w:t>kol.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8BE8E3" w14:textId="77777777" w:rsidR="00C67805" w:rsidRPr="005040FD" w:rsidRDefault="00C67805" w:rsidP="0000087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7721C7C" w14:textId="77777777" w:rsidR="00C67805" w:rsidRPr="005040FD" w:rsidRDefault="00C67805" w:rsidP="0000087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040FD">
              <w:rPr>
                <w:rFonts w:cs="Arial"/>
                <w:b/>
                <w:sz w:val="18"/>
                <w:szCs w:val="18"/>
              </w:rPr>
              <w:t>kol.3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BBC0F2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E60684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6394C081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CAA0ACD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kol. 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6D3092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1ECF934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B210127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6C362E06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909BEE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7BAEE20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10</w:t>
            </w:r>
          </w:p>
        </w:tc>
      </w:tr>
      <w:tr w:rsidR="00C67805" w:rsidRPr="006C7A63" w14:paraId="62F988EC" w14:textId="77777777" w:rsidTr="00000873">
        <w:trPr>
          <w:trHeight w:val="1404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2420E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  <w:p w14:paraId="015D1697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3849F0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Preparat w postaci tabletek dezynfekcyjnych na bazie aktywnego  chloru, zawierający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dichloroizocyjanuran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sodu oraz kwas adypinowy ( do 20%). Spektrum działania: B,F,V ( polio,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adeno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),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pratki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– w stężeniu 1000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ppm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Clostridioides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difficile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– 10000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ppm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. Preparat przebadany wg normy 14885 – obszar medyczny. Możliwość użycia w pionie żywieniowym. </w:t>
            </w:r>
          </w:p>
          <w:p w14:paraId="69796709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Opakowanie 300 tabletek x 3,3 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2AA65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 xml:space="preserve"> opak</w:t>
            </w:r>
          </w:p>
          <w:p w14:paraId="56FFD4A2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D3314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500</w:t>
            </w:r>
          </w:p>
          <w:p w14:paraId="56ED5324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B73DA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B861FE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4010D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F916E8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08B2F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88029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67805" w:rsidRPr="006C7A63" w14:paraId="464EEB03" w14:textId="77777777" w:rsidTr="00000873">
        <w:trPr>
          <w:trHeight w:val="406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6B262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F61B9E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Gotowy do użycia alkoholowy preparat, przeznaczony  do dezynfekcji powierzchni. Zawierający w składzie min. 2 alkohole alifatyczne ( etanol 25g, 35g 1propanol), z dodatkiem amfoterycznych związków powierzchniowo czynnych, bez dodatkowych substancji czynnych np. aldehydów, związków amoniowych itp. Możliwość stosowania do poliwęglanów.</w:t>
            </w:r>
          </w:p>
          <w:p w14:paraId="358E30D9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Spektrum działania: bakteriobójczy (w tym MRSA), F ( Candida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albicans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Aspergillus Niger),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V ( Rota, Noro,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Adeno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) w czasie do 2 min. Produkt spełniający normę 16615. Możliwość użycia w oddziale noworodkowym.  Opakowanie  1L ze spryskiwaczem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4D45E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3E455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2500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DB3D9D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D7745E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982D29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097722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C02EE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794B6A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67805" w:rsidRPr="006C7A63" w14:paraId="12F1D3EE" w14:textId="77777777" w:rsidTr="00000873">
        <w:trPr>
          <w:trHeight w:val="558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AB332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96E97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Gotowy do użycia alkoholowy preparat, przeznaczony  do dezynfekcji powierzchni. Zawierający w składzie min. 2 alkohole alifatyczne ( etanol 25g, 35g 1propanol), z dodatkiem amfoterycznych związków powierzchniowo czynnych, bez dodatkowych substancji czynnych np. aldehydów, związków amoniowych itp. Możliwość stosowania do poliwęglanów.</w:t>
            </w:r>
          </w:p>
          <w:p w14:paraId="71746022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Spektrum działania: bakteriobójczy (w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tRSA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), F ( Candida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albicans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Aspergillus Niger),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V ( Rota, Noro,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Adeno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) w czasie do 2 min. Produkt spełniający </w:t>
            </w: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normę 16615. Możliwość użycia w oddziale noworodkowym.  Opakowanie  10L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8EAEB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lastRenderedPageBreak/>
              <w:t>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908DF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562222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686B5C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EB8FAD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39F04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2814A6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AD06FD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67805" w:rsidRPr="006C7A63" w14:paraId="6332873F" w14:textId="77777777" w:rsidTr="00000873">
        <w:trPr>
          <w:trHeight w:val="978"/>
        </w:trPr>
        <w:tc>
          <w:tcPr>
            <w:tcW w:w="736" w:type="dxa"/>
            <w:shd w:val="clear" w:color="auto" w:fill="FFFFFF" w:themeFill="background1"/>
            <w:vAlign w:val="center"/>
          </w:tcPr>
          <w:p w14:paraId="625C17E4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721" w:type="dxa"/>
            <w:shd w:val="clear" w:color="auto" w:fill="FFFFFF" w:themeFill="background1"/>
          </w:tcPr>
          <w:p w14:paraId="020D7C25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Preparat w postaci szybkodziałającej gotowej pianki / sprayu, przebadany zgodnie z normą EN 16615,na bazie nadtlenku wodoru i QAV, bez zawartości alkoholu, chloru,  do dezynfekcji i mycia powierzchni medycznych wrażliwych nadziałanie alkoholu (w tym urządzeń elektronicznych np. sondy USG, monitory, telefony komórkowe); spektrum działania: B ( EN 13727),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(( EN 14348)  F ( EN 13624), V ( Polio,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Adeno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, Noro) oraz S ( EN17126) w czasie 1 minuty; Opakowanie  1L ze spryskiwaczem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6043A6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101797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2500</w:t>
            </w:r>
          </w:p>
        </w:tc>
        <w:tc>
          <w:tcPr>
            <w:tcW w:w="1842" w:type="dxa"/>
            <w:shd w:val="clear" w:color="auto" w:fill="FFFFFF" w:themeFill="background1"/>
          </w:tcPr>
          <w:p w14:paraId="1665D5FF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CF5ED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75673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04B8E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C35C07F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268E6B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1D848D03" w14:textId="77777777" w:rsidTr="00000873">
        <w:trPr>
          <w:trHeight w:val="978"/>
        </w:trPr>
        <w:tc>
          <w:tcPr>
            <w:tcW w:w="736" w:type="dxa"/>
            <w:shd w:val="clear" w:color="auto" w:fill="FFFFFF" w:themeFill="background1"/>
            <w:vAlign w:val="center"/>
          </w:tcPr>
          <w:p w14:paraId="247B56C7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721" w:type="dxa"/>
            <w:shd w:val="clear" w:color="auto" w:fill="FFFFFF" w:themeFill="background1"/>
          </w:tcPr>
          <w:p w14:paraId="2ABCD06F" w14:textId="77777777" w:rsidR="00C67805" w:rsidRPr="005040FD" w:rsidRDefault="00C67805" w:rsidP="0000087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Preparat w postaci szybkodziałającej gotowej pianki / sprayu, przebadany zgodnie z normą EN 16615,na bazie nadtlenku wodoru i QAV, bez zawartości alkoholu, chloru,  do dezynfekcji i mycia powierzchni medycznych wrażliwych nadziałanie alkoholu (w tym urządzeń elektronicznych np. sondy USG, monitory, telefony komórkowe); spektrum działania: B ( EN 13727),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(( EN 14348)  F ( EN 13624), V ( Polio,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Adeno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, Noro) oraz S ( EN17126) w czasie 1 minuty; Opakowanie  5L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94F862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099B12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2" w:type="dxa"/>
            <w:shd w:val="clear" w:color="auto" w:fill="FFFFFF" w:themeFill="background1"/>
          </w:tcPr>
          <w:p w14:paraId="698EE8B7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8292F7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4CE97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A47A7B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BFB7FD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A64866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6519D614" w14:textId="77777777" w:rsidTr="00000873">
        <w:trPr>
          <w:trHeight w:val="978"/>
        </w:trPr>
        <w:tc>
          <w:tcPr>
            <w:tcW w:w="736" w:type="dxa"/>
            <w:shd w:val="clear" w:color="auto" w:fill="FFFFFF" w:themeFill="background1"/>
            <w:vAlign w:val="center"/>
          </w:tcPr>
          <w:p w14:paraId="01226809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4721" w:type="dxa"/>
            <w:shd w:val="clear" w:color="auto" w:fill="FFFFFF" w:themeFill="background1"/>
          </w:tcPr>
          <w:p w14:paraId="1FFDE0BC" w14:textId="77777777" w:rsidR="00C67805" w:rsidRPr="005040FD" w:rsidRDefault="00C67805" w:rsidP="0000087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Preparat do dezynfekcji wyrobów medycznych, w tym zewnętrznych elementów centralnych i obwodowych cewników dożylnych, takich jak wejścia do kanału wkłucia, części kanałów, korki, kraniki itp. Na bazie alkoholu izopropylowego (max. 70%) i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chlorheksydyny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(max.2%). Bezpieczny dla skóry. Spektrum działania: B,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F (C.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albicans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), V (HIV, HBV, HCV, Rota) do 1min. Wyrób medyczny. Op. 250ml ze spryskiwaczem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A3605E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B4D3D9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842" w:type="dxa"/>
            <w:shd w:val="clear" w:color="auto" w:fill="FFFFFF" w:themeFill="background1"/>
          </w:tcPr>
          <w:p w14:paraId="232FF7F6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4860D4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B74AE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C262D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B574699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3C29BB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19A0DAE2" w14:textId="77777777" w:rsidTr="00000873">
        <w:trPr>
          <w:trHeight w:val="557"/>
        </w:trPr>
        <w:tc>
          <w:tcPr>
            <w:tcW w:w="736" w:type="dxa"/>
            <w:shd w:val="clear" w:color="auto" w:fill="FFFFFF" w:themeFill="background1"/>
            <w:vAlign w:val="center"/>
          </w:tcPr>
          <w:p w14:paraId="2B36B3E1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7.</w:t>
            </w:r>
          </w:p>
          <w:p w14:paraId="6C9F86D1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721" w:type="dxa"/>
            <w:shd w:val="clear" w:color="auto" w:fill="FFFFFF" w:themeFill="background1"/>
          </w:tcPr>
          <w:p w14:paraId="3F03F617" w14:textId="77777777" w:rsidR="00C67805" w:rsidRPr="005040FD" w:rsidRDefault="00C67805" w:rsidP="0000087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Jednorazowe gaziki do dezynfekcji zewnętrznych elementów centralnych i obwodowych cewników dożylnych takich jak wejścia do kanałów wkłucia, części kanałów, korki, kraniki itp. Skład: 2%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diglukonian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chlorheksy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dyny i 70% alkohol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izopropylo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wy. Materiał gazika 25 g / m2 100 % PP (hydrofilny nie zawierający jonów). E.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hirae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S.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aureus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E. coli, P.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aeruginosa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EN 13727 - 15 sekund czyste i brudne warunki C.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albicans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EN 13624 15 sekund czyste i brudne warunki – 15 sekund. Op. a 100szt.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049511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lastRenderedPageBreak/>
              <w:t>opak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D7764E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842" w:type="dxa"/>
            <w:shd w:val="clear" w:color="auto" w:fill="FFFFFF" w:themeFill="background1"/>
          </w:tcPr>
          <w:p w14:paraId="0CE272F8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61456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CB02176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0089AD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BAE9B9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93153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4FD365B1" w14:textId="77777777" w:rsidTr="00000873">
        <w:trPr>
          <w:trHeight w:val="558"/>
        </w:trPr>
        <w:tc>
          <w:tcPr>
            <w:tcW w:w="736" w:type="dxa"/>
            <w:shd w:val="clear" w:color="auto" w:fill="FFFFFF" w:themeFill="background1"/>
            <w:vAlign w:val="center"/>
          </w:tcPr>
          <w:p w14:paraId="4AF9E106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4721" w:type="dxa"/>
            <w:shd w:val="clear" w:color="auto" w:fill="FFFFFF" w:themeFill="background1"/>
          </w:tcPr>
          <w:p w14:paraId="6F3A839C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Koncentrat  do mycia i dezynfekcji powierzchni i przedmiotów oraz wyrobów medycznych i wyposażenia, na bazie czwartorzędowych związków amonowych oraz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fenoksyetanolu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. Spektrum działania: B,F – 0,25%,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, V ( HIV,HBV,HCV,, Rota) w czasie 15 min. Produkt biobójczy , wyrób medyczny. Opakowanie  1L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D7EF1C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FCCD54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FFFFFF" w:themeFill="background1"/>
          </w:tcPr>
          <w:p w14:paraId="1D5DE649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583F09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76FEC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1A0A10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00F0F0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27FAF6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7C6FFBD2" w14:textId="77777777" w:rsidTr="00000873">
        <w:trPr>
          <w:trHeight w:val="978"/>
        </w:trPr>
        <w:tc>
          <w:tcPr>
            <w:tcW w:w="736" w:type="dxa"/>
            <w:shd w:val="clear" w:color="auto" w:fill="FFFFFF" w:themeFill="background1"/>
            <w:vAlign w:val="center"/>
          </w:tcPr>
          <w:p w14:paraId="7BF10539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4721" w:type="dxa"/>
            <w:shd w:val="clear" w:color="auto" w:fill="FFFFFF" w:themeFill="background1"/>
          </w:tcPr>
          <w:p w14:paraId="68625850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Koncentrat  do mycia i dezynfekcji powierzchni i przedmiotów oraz wyrobów medycznych i wyposażenia, na bazie czwartorzędowych związków amonowych oraz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fenoksyetanolu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. Spektrum działania: B,F – 0,25%,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, V ( HIV,HBV,HCV,, Rota) w czasie 15 min. Produkt biobójczy , wyrób medyczny.</w:t>
            </w:r>
          </w:p>
          <w:p w14:paraId="1FE2D19A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Opakowanie  5L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8FC0EF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E96F4F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842" w:type="dxa"/>
            <w:shd w:val="clear" w:color="auto" w:fill="FFFFFF" w:themeFill="background1"/>
          </w:tcPr>
          <w:p w14:paraId="7A600569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BC739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AA8D9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05D23C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45F2A7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ED6CB4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2CEF64FB" w14:textId="77777777" w:rsidTr="00000873">
        <w:trPr>
          <w:trHeight w:val="411"/>
        </w:trPr>
        <w:tc>
          <w:tcPr>
            <w:tcW w:w="736" w:type="dxa"/>
            <w:shd w:val="clear" w:color="auto" w:fill="FFFFFF" w:themeFill="background1"/>
            <w:vAlign w:val="center"/>
          </w:tcPr>
          <w:p w14:paraId="6F1C9D99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4721" w:type="dxa"/>
            <w:shd w:val="clear" w:color="auto" w:fill="FFFFFF" w:themeFill="background1"/>
          </w:tcPr>
          <w:p w14:paraId="37D6EF98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pompki do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poz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25B2E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60E00F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</w:tcPr>
          <w:p w14:paraId="63806BF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BA349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7FC97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5FA5F4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F6E5A6F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90112B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59E4CD95" w14:textId="77777777" w:rsidTr="00000873">
        <w:trPr>
          <w:trHeight w:val="1934"/>
        </w:trPr>
        <w:tc>
          <w:tcPr>
            <w:tcW w:w="736" w:type="dxa"/>
            <w:shd w:val="clear" w:color="auto" w:fill="FFFFFF" w:themeFill="background1"/>
            <w:vAlign w:val="center"/>
          </w:tcPr>
          <w:p w14:paraId="7701BA29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4721" w:type="dxa"/>
            <w:shd w:val="clear" w:color="auto" w:fill="FFFFFF" w:themeFill="background1"/>
          </w:tcPr>
          <w:p w14:paraId="184FB3F4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Mycie i dezynfekcja  - wanny z hydromasażem- rehabilitacja Koncentrat do mycia i dezynfekcji systemów ssących, obiegu zamkniętego w wannach z hydromasażem. Zapobiegający powstawaniu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biofilmu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. Nie pieniący. Możliwość pozostawienia roztworu preparatu w obiegu na noc. Skład: amina, czwartorzędowy związek amonowy. Spektrum i czas działania: B (w tym MRSA), F (C.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albicans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), V (HBV, HIV, HCV,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Ebola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grypa, wirus opryszczki) 2% w 15 min.,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(M.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tuberculosis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) 4% w 60 min. Wyrób medyczny. Opakowanie 5 L</w:t>
            </w: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ab/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B75143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544F7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1842" w:type="dxa"/>
            <w:shd w:val="clear" w:color="auto" w:fill="FFFFFF" w:themeFill="background1"/>
          </w:tcPr>
          <w:p w14:paraId="10239877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9CD3D0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B76B07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5BF61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FD4AD8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2CFCA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73C203A5" w14:textId="77777777" w:rsidTr="00000873">
        <w:trPr>
          <w:trHeight w:val="808"/>
        </w:trPr>
        <w:tc>
          <w:tcPr>
            <w:tcW w:w="736" w:type="dxa"/>
            <w:shd w:val="clear" w:color="auto" w:fill="FFFFFF" w:themeFill="background1"/>
            <w:vAlign w:val="center"/>
          </w:tcPr>
          <w:p w14:paraId="39AFBB59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4721" w:type="dxa"/>
            <w:shd w:val="clear" w:color="auto" w:fill="FFFFFF" w:themeFill="background1"/>
          </w:tcPr>
          <w:p w14:paraId="25B32697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Gotowe do użycia chusteczki do dezynfekcji  powierzchni wyrobów medycznych – do dezynfekcji głowic sond USG, ekranów dotykowych, wyświetlaczy, klawiatur, sztucznej skóry. Spektrum działania: zgodnie z EN 16615: B, F, Rota, Noro - 1 min,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– 5 min. Chusteczka o wymiarze min. 20 x 20 cm i gramaturze min. 50 g/m²; Produkt biobójczy, wyrób medyczny.</w:t>
            </w:r>
          </w:p>
          <w:p w14:paraId="64DC3FDA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Opakowanie zawierające 100 chusteczek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8A7598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CE3B89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842" w:type="dxa"/>
            <w:shd w:val="clear" w:color="auto" w:fill="FFFFFF" w:themeFill="background1"/>
          </w:tcPr>
          <w:p w14:paraId="24CEBF3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8AE059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CCD8CB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9C7F9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2D8347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61032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4957C4BE" w14:textId="77777777" w:rsidTr="00000873">
        <w:trPr>
          <w:trHeight w:val="808"/>
        </w:trPr>
        <w:tc>
          <w:tcPr>
            <w:tcW w:w="736" w:type="dxa"/>
            <w:shd w:val="clear" w:color="auto" w:fill="FFFFFF" w:themeFill="background1"/>
            <w:vAlign w:val="center"/>
          </w:tcPr>
          <w:p w14:paraId="7512B80A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4721" w:type="dxa"/>
            <w:shd w:val="clear" w:color="auto" w:fill="FFFFFF" w:themeFill="background1"/>
          </w:tcPr>
          <w:p w14:paraId="6A2B556F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Gotowe do użycia chusteczki przeznaczone do dezynfekcji małych powierzchni i sprzętu medycznego odpornych na działanie alkoholu. Zawierające w składzie min. 2 alkohole alifatyczne ( etanol 25g, 35g 1propanol), z dodatkiem amfoterycznych związków powierzchniowo czynnych, bez dodatkowych substancji czynnych np. </w:t>
            </w: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 xml:space="preserve">aldehydów, związków amoniowych itp. Chusteczka o wymiarach 20x20 cm. Możliwość stosowania do powierzchni z poliwęglanu. Spektrum działania: bakteriobójczy (w tym MRSA), F ( Candida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albicans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Aspergillus Niger),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, V ( Rota, Noro,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Adeno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) w czasie do 2 min. Produkt spełniający normę 16615. Możliwość użycia w oddziale noworodkowym.  </w:t>
            </w:r>
          </w:p>
          <w:p w14:paraId="1B7982A1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Wyrób medyczny klasy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IIa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. </w:t>
            </w:r>
          </w:p>
          <w:p w14:paraId="1F952545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Opakowanie zawierające min. 200 chusteczek.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C3862F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lastRenderedPageBreak/>
              <w:t>opak.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FF82CD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7F49E87B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68BA1B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B88EB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484524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791728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E3C05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70667D2F" w14:textId="77777777" w:rsidTr="00000873">
        <w:trPr>
          <w:trHeight w:val="808"/>
        </w:trPr>
        <w:tc>
          <w:tcPr>
            <w:tcW w:w="736" w:type="dxa"/>
            <w:shd w:val="clear" w:color="auto" w:fill="FFFFFF" w:themeFill="background1"/>
            <w:vAlign w:val="center"/>
          </w:tcPr>
          <w:p w14:paraId="47238AC2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4721" w:type="dxa"/>
            <w:shd w:val="clear" w:color="auto" w:fill="FFFFFF" w:themeFill="background1"/>
          </w:tcPr>
          <w:p w14:paraId="398F173C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Środek dezynfekujący oparty na kwasie nadoctowym do dezynfekcji powierzchni metoda zamgławiania.</w:t>
            </w:r>
          </w:p>
          <w:p w14:paraId="417B1BB5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Gotowy do użycia produkt biobójczy </w:t>
            </w:r>
          </w:p>
          <w:p w14:paraId="2AE2D076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Spektrum działania B, F,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Tbc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, V, S</w:t>
            </w:r>
          </w:p>
          <w:p w14:paraId="5A64134F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Przebadany zgodnie z NFT 72-281 (2014)</w:t>
            </w:r>
          </w:p>
          <w:p w14:paraId="4C45B2BD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Preparat kompatybilny z urządzeniem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Aerosept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 xml:space="preserve"> 500</w:t>
            </w:r>
          </w:p>
          <w:p w14:paraId="28E6CBDC" w14:textId="77777777" w:rsidR="00C67805" w:rsidRPr="005040FD" w:rsidRDefault="00C67805" w:rsidP="00000873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40FD">
              <w:rPr>
                <w:rFonts w:eastAsia="Times New Roman" w:cs="Arial"/>
                <w:sz w:val="18"/>
                <w:szCs w:val="18"/>
                <w:lang w:eastAsia="pl-PL"/>
              </w:rPr>
              <w:t>Opakowania: kanister  o pojemności 5L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279089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E0BAE6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42" w:type="dxa"/>
            <w:shd w:val="clear" w:color="auto" w:fill="FFFFFF" w:themeFill="background1"/>
          </w:tcPr>
          <w:p w14:paraId="716EEF4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DF76CD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DD6CDD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A644A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CA5C4B6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7883D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523F0830" w14:textId="77777777" w:rsidTr="00000873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0843" w:type="dxa"/>
            <w:gridSpan w:val="6"/>
          </w:tcPr>
          <w:p w14:paraId="26DD6930" w14:textId="77777777" w:rsidR="00C67805" w:rsidRPr="006C7A63" w:rsidRDefault="00C67805" w:rsidP="00C67805">
            <w:pPr>
              <w:suppressAutoHyphens/>
              <w:spacing w:line="240" w:lineRule="auto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  <w:p w14:paraId="17192CAF" w14:textId="759071EE" w:rsidR="00C67805" w:rsidRPr="006C7A63" w:rsidRDefault="00C67805" w:rsidP="00000873">
            <w:pPr>
              <w:suppressAutoHyphens/>
              <w:spacing w:line="240" w:lineRule="auto"/>
              <w:ind w:left="567"/>
              <w:textAlignment w:val="baseline"/>
              <w:rPr>
                <w:rFonts w:asciiTheme="majorHAnsi" w:eastAsia="Arial" w:hAnsiTheme="majorHAnsi" w:cs="Arial"/>
                <w:b/>
                <w:color w:val="FF0000"/>
                <w:kern w:val="2"/>
                <w:sz w:val="18"/>
                <w:szCs w:val="18"/>
                <w:lang w:eastAsia="zh-CN" w:bidi="hi-IN"/>
              </w:rPr>
            </w:pPr>
            <w:r w:rsidRPr="006C7A63">
              <w:rPr>
                <w:rFonts w:asciiTheme="majorHAnsi" w:eastAsia="Arial" w:hAnsiTheme="majorHAnsi" w:cs="Arial"/>
                <w:b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Theme="majorHAnsi" w:eastAsia="Arial" w:hAnsiTheme="majorHAnsi" w:cs="Arial"/>
                <w:b/>
                <w:kern w:val="2"/>
                <w:sz w:val="18"/>
                <w:szCs w:val="18"/>
                <w:lang w:eastAsia="zh-CN" w:bidi="hi-IN"/>
              </w:rPr>
              <w:t xml:space="preserve">                                      </w:t>
            </w:r>
            <w:r w:rsidRPr="005040FD">
              <w:rPr>
                <w:rFonts w:eastAsia="Arial" w:cs="Arial"/>
                <w:b/>
                <w:kern w:val="2"/>
                <w:sz w:val="18"/>
                <w:szCs w:val="18"/>
                <w:lang w:eastAsia="zh-CN" w:bidi="hi-IN"/>
              </w:rPr>
              <w:t>Wartość ogółem w złotych:</w:t>
            </w:r>
            <w:r w:rsidRPr="006C7A63">
              <w:rPr>
                <w:rFonts w:asciiTheme="majorHAnsi" w:eastAsia="Arial" w:hAnsiTheme="majorHAnsi" w:cs="Arial"/>
                <w:b/>
                <w:kern w:val="2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1418" w:type="dxa"/>
          </w:tcPr>
          <w:p w14:paraId="3BD3EBAC" w14:textId="77777777" w:rsidR="00C67805" w:rsidRPr="006C7A63" w:rsidRDefault="00C67805" w:rsidP="00000873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  <w:p w14:paraId="4C0504DE" w14:textId="77777777" w:rsidR="00C67805" w:rsidRPr="006C7A63" w:rsidRDefault="00C67805" w:rsidP="00000873">
            <w:pPr>
              <w:suppressAutoHyphens/>
              <w:spacing w:line="240" w:lineRule="auto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7989B40" w14:textId="77777777" w:rsidR="00C67805" w:rsidRPr="006C7A63" w:rsidRDefault="00C67805" w:rsidP="00000873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  <w:p w14:paraId="3488E7F4" w14:textId="77777777" w:rsidR="00C67805" w:rsidRPr="006C7A63" w:rsidRDefault="00C67805" w:rsidP="00000873">
            <w:pPr>
              <w:suppressAutoHyphens/>
              <w:spacing w:line="240" w:lineRule="auto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03373F4E" w14:textId="77777777" w:rsidR="00C67805" w:rsidRPr="006C7A63" w:rsidRDefault="00C67805" w:rsidP="00000873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  <w:p w14:paraId="798447A2" w14:textId="77777777" w:rsidR="00C67805" w:rsidRPr="006C7A63" w:rsidRDefault="00C67805" w:rsidP="00000873">
            <w:pPr>
              <w:suppressAutoHyphens/>
              <w:spacing w:line="240" w:lineRule="auto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</w:tcPr>
          <w:p w14:paraId="62BD09D0" w14:textId="77777777" w:rsidR="00C67805" w:rsidRPr="006C7A63" w:rsidRDefault="00C67805" w:rsidP="00000873">
            <w:pPr>
              <w:spacing w:after="200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  <w:p w14:paraId="092E59FE" w14:textId="77777777" w:rsidR="00C67805" w:rsidRPr="006C7A63" w:rsidRDefault="00C67805" w:rsidP="00000873">
            <w:pPr>
              <w:suppressAutoHyphens/>
              <w:spacing w:line="240" w:lineRule="auto"/>
              <w:textAlignment w:val="baseline"/>
              <w:rPr>
                <w:rFonts w:asciiTheme="majorHAnsi" w:eastAsia="Arial" w:hAnsiTheme="majorHAnsi" w:cs="Arial"/>
                <w:b/>
                <w:i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572A0C00" w14:textId="77777777" w:rsidR="00C67805" w:rsidRPr="006C7A63" w:rsidRDefault="00C67805" w:rsidP="00C67805">
      <w:pPr>
        <w:suppressAutoHyphens/>
        <w:spacing w:line="240" w:lineRule="auto"/>
        <w:textAlignment w:val="baseline"/>
        <w:rPr>
          <w:rFonts w:asciiTheme="majorHAnsi" w:eastAsia="Arial" w:hAnsiTheme="majorHAnsi" w:cs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31B51CB" w14:textId="77777777" w:rsidR="00C67805" w:rsidRPr="005040FD" w:rsidRDefault="00C67805" w:rsidP="00C67805">
      <w:pPr>
        <w:suppressAutoHyphens/>
        <w:spacing w:line="240" w:lineRule="auto"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r w:rsidRPr="005040FD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4A1D7A8A" w14:textId="77777777" w:rsidR="00C67805" w:rsidRPr="005040FD" w:rsidRDefault="00C67805" w:rsidP="00C67805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18"/>
          <w:szCs w:val="18"/>
          <w:lang w:eastAsia="zh-CN" w:bidi="hi-IN"/>
        </w:rPr>
      </w:pPr>
      <w:r w:rsidRPr="005040FD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08E75702" w14:textId="77777777" w:rsidR="00C67805" w:rsidRDefault="00C67805"/>
    <w:p w14:paraId="44D4E2C5" w14:textId="77777777" w:rsidR="00C67805" w:rsidRDefault="00C67805"/>
    <w:p w14:paraId="1A1E3F7D" w14:textId="77777777" w:rsidR="00C67805" w:rsidRDefault="00C67805"/>
    <w:p w14:paraId="76C3080C" w14:textId="77777777" w:rsidR="00C67805" w:rsidRDefault="00C67805"/>
    <w:p w14:paraId="563B4567" w14:textId="77777777" w:rsidR="00C67805" w:rsidRDefault="00C67805"/>
    <w:p w14:paraId="1A6AF39B" w14:textId="77777777" w:rsidR="00C67805" w:rsidRDefault="00C67805"/>
    <w:p w14:paraId="4EB71E51" w14:textId="77777777" w:rsidR="00C67805" w:rsidRDefault="00C67805"/>
    <w:p w14:paraId="0BF87E9C" w14:textId="77777777" w:rsidR="00C67805" w:rsidRDefault="00C67805"/>
    <w:p w14:paraId="2DD9A5E7" w14:textId="77777777" w:rsidR="00C67805" w:rsidRDefault="00C67805"/>
    <w:p w14:paraId="4EA66497" w14:textId="77777777" w:rsidR="00C67805" w:rsidRDefault="00C67805"/>
    <w:p w14:paraId="714BA110" w14:textId="77777777" w:rsidR="00C67805" w:rsidRDefault="00C67805"/>
    <w:p w14:paraId="21EE0371" w14:textId="77777777" w:rsidR="00C67805" w:rsidRDefault="00C67805"/>
    <w:p w14:paraId="75DFAC81" w14:textId="77777777" w:rsidR="00C67805" w:rsidRDefault="00C67805"/>
    <w:p w14:paraId="4168B491" w14:textId="77777777" w:rsidR="00C67805" w:rsidRDefault="00C67805"/>
    <w:p w14:paraId="0B602189" w14:textId="77777777" w:rsidR="00C67805" w:rsidRDefault="00C67805"/>
    <w:p w14:paraId="77DD3C81" w14:textId="77777777" w:rsidR="00C67805" w:rsidRDefault="00C67805"/>
    <w:p w14:paraId="07C9047B" w14:textId="77777777" w:rsidR="00C67805" w:rsidRPr="005040FD" w:rsidRDefault="00C67805" w:rsidP="00C67805">
      <w:pPr>
        <w:keepNext/>
        <w:spacing w:line="240" w:lineRule="auto"/>
        <w:outlineLvl w:val="2"/>
        <w:rPr>
          <w:rFonts w:eastAsia="Times New Roman" w:cs="Arial"/>
          <w:b/>
          <w:sz w:val="18"/>
          <w:szCs w:val="18"/>
          <w:lang w:eastAsia="pl-PL"/>
        </w:rPr>
      </w:pPr>
      <w:r w:rsidRPr="005040FD">
        <w:rPr>
          <w:rFonts w:cs="Arial"/>
          <w:b/>
          <w:bCs/>
          <w:sz w:val="18"/>
          <w:szCs w:val="18"/>
        </w:rPr>
        <w:lastRenderedPageBreak/>
        <w:t>PAKIET NR 2 -</w:t>
      </w:r>
      <w:r w:rsidRPr="005040FD">
        <w:rPr>
          <w:rFonts w:cs="Arial"/>
          <w:sz w:val="18"/>
          <w:szCs w:val="18"/>
        </w:rPr>
        <w:t xml:space="preserve"> </w:t>
      </w:r>
      <w:r w:rsidRPr="005040FD">
        <w:rPr>
          <w:rFonts w:eastAsia="Times New Roman" w:cs="Arial"/>
          <w:b/>
          <w:sz w:val="18"/>
          <w:szCs w:val="18"/>
          <w:lang w:val="x-none" w:eastAsia="pl-PL"/>
        </w:rPr>
        <w:t xml:space="preserve">Maszynowe mycie i dezynfekcja </w:t>
      </w:r>
      <w:r w:rsidRPr="005040FD">
        <w:rPr>
          <w:rFonts w:eastAsia="Times New Roman" w:cs="Arial"/>
          <w:b/>
          <w:sz w:val="18"/>
          <w:szCs w:val="18"/>
          <w:lang w:eastAsia="pl-PL"/>
        </w:rPr>
        <w:t xml:space="preserve"> / centralna </w:t>
      </w:r>
      <w:proofErr w:type="spellStart"/>
      <w:r w:rsidRPr="005040FD">
        <w:rPr>
          <w:rFonts w:eastAsia="Times New Roman" w:cs="Arial"/>
          <w:b/>
          <w:sz w:val="18"/>
          <w:szCs w:val="18"/>
          <w:lang w:eastAsia="pl-PL"/>
        </w:rPr>
        <w:t>sterylizatornia</w:t>
      </w:r>
      <w:proofErr w:type="spellEnd"/>
      <w:r w:rsidRPr="005040FD">
        <w:rPr>
          <w:rFonts w:eastAsia="Times New Roman" w:cs="Arial"/>
          <w:b/>
          <w:sz w:val="18"/>
          <w:szCs w:val="18"/>
          <w:lang w:eastAsia="pl-PL"/>
        </w:rPr>
        <w:t xml:space="preserve"> /  myjnia do butów</w:t>
      </w:r>
    </w:p>
    <w:p w14:paraId="45BD85D3" w14:textId="77777777" w:rsidR="00C67805" w:rsidRPr="006C7A63" w:rsidRDefault="00C67805" w:rsidP="00C67805">
      <w:pPr>
        <w:rPr>
          <w:rFonts w:asciiTheme="majorHAnsi" w:hAnsiTheme="majorHAnsi" w:cs="Arial"/>
          <w:sz w:val="18"/>
          <w:szCs w:val="18"/>
        </w:rPr>
      </w:pPr>
    </w:p>
    <w:tbl>
      <w:tblPr>
        <w:tblW w:w="5613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4943"/>
        <w:gridCol w:w="980"/>
        <w:gridCol w:w="1404"/>
        <w:gridCol w:w="1822"/>
        <w:gridCol w:w="1122"/>
        <w:gridCol w:w="1401"/>
        <w:gridCol w:w="704"/>
        <w:gridCol w:w="1263"/>
        <w:gridCol w:w="1401"/>
      </w:tblGrid>
      <w:tr w:rsidR="00C67805" w:rsidRPr="006C7A63" w14:paraId="7FD06317" w14:textId="77777777" w:rsidTr="00000873">
        <w:trPr>
          <w:cantSplit/>
          <w:trHeight w:val="8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3D0C3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5040FD">
              <w:rPr>
                <w:rFonts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C8BE6" w14:textId="77777777" w:rsidR="00C67805" w:rsidRPr="005040FD" w:rsidRDefault="00C67805" w:rsidP="00000873">
            <w:pPr>
              <w:pStyle w:val="Nagwek2"/>
              <w:spacing w:line="276" w:lineRule="auto"/>
              <w:jc w:val="center"/>
              <w:rPr>
                <w:rFonts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040FD">
              <w:rPr>
                <w:rFonts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E633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Jednostka miary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EFEE1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 xml:space="preserve">Przewidywana ilość </w:t>
            </w:r>
          </w:p>
          <w:p w14:paraId="79F4DB19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6345C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handlowa preparatu, producent, wielkość opakowania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38503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sz w:val="18"/>
                <w:szCs w:val="18"/>
                <w:lang w:eastAsia="en-US"/>
              </w:rPr>
              <w:t>Cena netto za jednostkę miary w złotych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AAE4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Wartość netto ogółem w złotych</w:t>
            </w:r>
          </w:p>
          <w:p w14:paraId="7642CEC2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2D1D3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Stawka VAT</w:t>
            </w:r>
          </w:p>
          <w:p w14:paraId="1338747B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(%)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94AA7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Cena brutto za jednostkę miary w złotych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DCCE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Wartość brutto ogółem  w złotych</w:t>
            </w:r>
          </w:p>
          <w:p w14:paraId="5650B9A7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(kol. 4 x kol.9)</w:t>
            </w:r>
          </w:p>
          <w:p w14:paraId="71EF2E4E" w14:textId="77777777" w:rsidR="00C67805" w:rsidRPr="005040FD" w:rsidRDefault="00C67805" w:rsidP="00000873">
            <w:pPr>
              <w:ind w:right="355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67805" w:rsidRPr="006C7A63" w14:paraId="01B808D9" w14:textId="77777777" w:rsidTr="00000873">
        <w:trPr>
          <w:cantSplit/>
          <w:trHeight w:val="37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7653D3" w14:textId="77777777" w:rsidR="00C67805" w:rsidRPr="005040FD" w:rsidRDefault="00C67805" w:rsidP="00000873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  <w:lang w:val="en-US"/>
              </w:rPr>
              <w:t>kol.1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7ACA33" w14:textId="77777777" w:rsidR="00C67805" w:rsidRPr="005040FD" w:rsidRDefault="00C67805" w:rsidP="00000873">
            <w:pPr>
              <w:pStyle w:val="Nagwek2"/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040FD">
              <w:rPr>
                <w:rFonts w:cs="Arial"/>
                <w:bCs/>
                <w:sz w:val="18"/>
                <w:szCs w:val="18"/>
                <w:lang w:val="en-US" w:eastAsia="en-US"/>
              </w:rPr>
              <w:t>kol</w:t>
            </w:r>
            <w:proofErr w:type="spellEnd"/>
            <w:r w:rsidRPr="005040FD">
              <w:rPr>
                <w:rFonts w:cs="Arial"/>
                <w:bCs/>
                <w:sz w:val="18"/>
                <w:szCs w:val="18"/>
                <w:lang w:val="en-US" w:eastAsia="en-US"/>
              </w:rPr>
              <w:t>. 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ABECCD" w14:textId="77777777" w:rsidR="00C67805" w:rsidRPr="005040FD" w:rsidRDefault="00C67805" w:rsidP="0000087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9A8726E" w14:textId="77777777" w:rsidR="00C67805" w:rsidRPr="005040FD" w:rsidRDefault="00C67805" w:rsidP="0000087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040FD"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AA679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1158DB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38AAEC9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603E12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kol. 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3A0558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61EBBB69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819F0F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26BFDC37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F4B0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0ABB16" w14:textId="77777777" w:rsidR="00C67805" w:rsidRPr="005040FD" w:rsidRDefault="00C67805" w:rsidP="00000873">
            <w:pPr>
              <w:ind w:right="355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10</w:t>
            </w:r>
          </w:p>
        </w:tc>
      </w:tr>
      <w:tr w:rsidR="00C67805" w:rsidRPr="006C7A63" w14:paraId="278FDBA5" w14:textId="77777777" w:rsidTr="00000873">
        <w:trPr>
          <w:trHeight w:val="95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815BF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6FA9B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sz w:val="18"/>
                <w:szCs w:val="18"/>
              </w:rPr>
              <w:t xml:space="preserve">Alkaliczny komponent dozowany łącznie z komponentem enzymatycznym w kroku mycia do myjni dezynfektor. Środek usuwający suchą zdenaturowaną krew cechujący się bardzo dobrą tolerancją materiałową dla wyrobów wykonanych ze stali nierdzewnej, anodowanego aluminium, wyrobów z tworzyw sztucznych. Dozowanie 0,5ml/l kąpieli.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</w:rPr>
              <w:t>pH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</w:rPr>
              <w:t xml:space="preserve"> roztworu 10,8-11,0. Środek przystosowany do stosowania w Centralnym Systemie Dozowania wyposażonym w identyfikator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</w:rPr>
              <w:t>tagów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</w:rPr>
              <w:t xml:space="preserve"> RFID, opakowanie kanister 5L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90250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A84D6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6F469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44ED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FF757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083C6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FB21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DDD4F" w14:textId="77777777" w:rsidR="00C67805" w:rsidRPr="005040FD" w:rsidRDefault="00C67805" w:rsidP="00000873">
            <w:pPr>
              <w:ind w:right="355"/>
              <w:rPr>
                <w:rFonts w:cs="Arial"/>
                <w:sz w:val="18"/>
                <w:szCs w:val="18"/>
              </w:rPr>
            </w:pPr>
          </w:p>
        </w:tc>
      </w:tr>
      <w:tr w:rsidR="00C67805" w:rsidRPr="006C7A63" w14:paraId="703B479C" w14:textId="77777777" w:rsidTr="00000873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A0868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151DA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sz w:val="18"/>
                <w:szCs w:val="18"/>
              </w:rPr>
              <w:t xml:space="preserve">Enzymatyczny komponent myjący dozowany łącznie z komponentem alkalicznym w kroku mycia do myjni dezynfektor. Środek usuwający suchą zdenaturowaną krew cechujący się bardzo dobrą tolerancją materiałową dla wyrobów wykonanych ze stali nierdzewnej, anodowanego aluminium, wyrobów z tworzyw sztucznych. Dozowanie 0,5ml/l kąpieli.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</w:rPr>
              <w:t>pH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</w:rPr>
              <w:t xml:space="preserve"> roztworu 7,7-7,1. Środek przystosowany do stosowania w Centralnym Systemie Dozowania wyposażonym w identyfikator </w:t>
            </w:r>
            <w:proofErr w:type="spellStart"/>
            <w:r w:rsidRPr="005040FD">
              <w:rPr>
                <w:rFonts w:eastAsia="Times New Roman" w:cs="Arial"/>
                <w:sz w:val="18"/>
                <w:szCs w:val="18"/>
              </w:rPr>
              <w:t>tagów</w:t>
            </w:r>
            <w:proofErr w:type="spellEnd"/>
            <w:r w:rsidRPr="005040FD">
              <w:rPr>
                <w:rFonts w:eastAsia="Times New Roman" w:cs="Arial"/>
                <w:sz w:val="18"/>
                <w:szCs w:val="18"/>
              </w:rPr>
              <w:t xml:space="preserve"> RFID, opakowanie kanister 5L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DEA65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5E221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10A19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D092B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59747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964C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BBB9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7C05A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32C8BD9B" w14:textId="77777777" w:rsidTr="00000873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22E2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11A4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Płynny środek płuczący powierzchniowo czynny. Zawierający anionowe związki powierzchniowo czynne, niejonowe związki powierzchniowo czynne, środki konserwujące. Do użycia w myjniach dezynfektorach. Do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bezzaciekowego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płukania, znacznie przyśpieszający suszenie po maszynowym myciu i dezynfekcji. Środek przystosowany do stosowania w Centralnym Systemie 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lastRenderedPageBreak/>
              <w:t xml:space="preserve">Dozowania wyposażonym w identyfikator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tagów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RFID, opakowanie kanister 5L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B9CBD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lastRenderedPageBreak/>
              <w:t>opak.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8E888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9C9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C6DD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EEB6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8E85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728D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710B5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72DE715E" w14:textId="77777777" w:rsidTr="00000873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EB295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5DEB6" w14:textId="77777777" w:rsidR="00C67805" w:rsidRPr="005040FD" w:rsidRDefault="00C67805" w:rsidP="00000873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Płynny w postaci koncentratu środek do wstępnego mycia i wstępnej dezynfekcji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termostabilnych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i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termolabilnych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narzędzi chirurgicznych, włącznie z endoskopami elastycznymi i narzędziami dentystycznymi przed maszynową dekontaminacją a także mokrego transportu narzędzi chirurgicznych. Środek nie może powodować utwardzania białek. Wymagana szeroka kompatybilność materiałowa m.in. stal nierdzewna, anodowane aluminium, silikon, tworzywa sztuczne. Środek zachowujący działanie w wodzie do 20 ͦ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dH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. Nieużywany roztwór zachowuje aktywność 7 dni. Działanie bakteriobójcze,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drożdżakobójcze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, wirusy osłonkowe [HIV, HBV, HCV] 0,5% - 15 min., </w:t>
            </w:r>
            <w:r w:rsidRPr="005040FD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t>opakowanie kanister 5L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DCB20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670C0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065B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A1F87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84AEC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F012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D83D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C7A6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34FF0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01BDC279" w14:textId="77777777" w:rsidTr="00000873">
        <w:trPr>
          <w:trHeight w:val="23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0296B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DAE5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Płynny, słabo pieniący, neutralny środek dezynfekcyjny o działaniu bakteriobójczym, grzybobójczym, wirusobójczym i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prątkobójczym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na bazie aldehydu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glutarowego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ilośći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10,5; szczególnie dobrze dezynfekuje przedmioty z wrażliwych materiałów. Nie zawiera aldehydu mrówkowego oraz czwarto-rzędowych związków amoniowych, opakowanie kanister 5L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741AF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F9CC9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E861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9F2B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2688C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190B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656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38E0F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6401730C" w14:textId="77777777" w:rsidTr="00000873">
        <w:trPr>
          <w:trHeight w:val="167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A5A72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CB3FD" w14:textId="77777777" w:rsidR="00C67805" w:rsidRPr="005040FD" w:rsidRDefault="00C67805" w:rsidP="00000873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Preparat do ręcznej pielęgnacji narzędzi chirurgicznych, zawiera biały olej (olej mineralny/płynna parafina), nie powoduje żadnych osadów, toksykologicznie bezpieczny. Skład &lt;5% niejonowe środki powierzchniowo czynne, 25-&lt;50% alifatyczne węglowodory, nie wpływający na proces sterylizacji parowej (rozpuszczalny w wodzie). Nie zawiera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chlorofluorowęglowodorów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(CFC) Pojemność opakowania 400ml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1C2F5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106E0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178F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B9C4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6A576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661A8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2FF0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4F615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164653AF" w14:textId="77777777" w:rsidTr="00000873">
        <w:trPr>
          <w:trHeight w:val="23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77106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7A89C" w14:textId="77777777" w:rsidR="00C67805" w:rsidRPr="005040FD" w:rsidRDefault="00C67805" w:rsidP="00000873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</w:rPr>
              <w:t>Preparat w postaci płynnej gotowy do użycia przeznaczony do pielęgnacji i nabłyszczania stali. Łatwo i skutecznie usuwający odciski palców, plamy i smugi. Środek mający doskonałe właściwości smarne zawierający czysty olej parafinowy zgodny z wymaganiami przemysłu żywieniowego i farmaceutycznego. Gęstość 0,8 – 0,9 g/cm 3. Opakowanie do 1 L ze spryskiwaczem.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0957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F2FF0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EED9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A1BD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F933F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0AB9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348D8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E7EE1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0A92B352" w14:textId="77777777" w:rsidTr="00000873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5212A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611C4" w14:textId="77777777" w:rsidR="00C67805" w:rsidRPr="005040FD" w:rsidRDefault="00C67805" w:rsidP="00000873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Środek myjący, płynny koncentrat zawierający związki alkaliczne, zawierający enzymy, zawierający środki powierzchniowo czynne. Zapobiega ponownemu odkładaniu się białek. Skutecznie usuwa pozostałości organiczne typu zaschnięta i zdenaturowana krew • Intensywnie usuwa materiał organiczny i zapobiega ponownemu odkładaniu się pozostałości białkowych. Do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stosownania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w myjniach do obuwia operacyjnego, opakowanie kanister 5L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446F3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29B56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E21E4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6CDA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CE88C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20B04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6F38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09E39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5F0C8C2F" w14:textId="77777777" w:rsidTr="00000873">
        <w:trPr>
          <w:trHeight w:val="1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6169F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EB6B0" w14:textId="77777777" w:rsidR="00C67805" w:rsidRPr="005040FD" w:rsidRDefault="00C67805" w:rsidP="00000873">
            <w:pPr>
              <w:rPr>
                <w:rFonts w:eastAsia="Times New Roman" w:cs="Arial"/>
                <w:bCs/>
                <w:sz w:val="18"/>
                <w:szCs w:val="18"/>
                <w:lang w:val="x-none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>Środek neutralizujący, płynny koncentrat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>na bazie kwasów organicznych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t>,</w:t>
            </w:r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>nie zawiera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t>jący</w:t>
            </w:r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 xml:space="preserve"> środków powierzchniowo czynnych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t>,</w:t>
            </w:r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>nie zawiera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t>jący</w:t>
            </w:r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 xml:space="preserve"> fosforanów</w:t>
            </w:r>
          </w:p>
          <w:p w14:paraId="3C43717A" w14:textId="77777777" w:rsidR="00C67805" w:rsidRPr="005040FD" w:rsidRDefault="00C67805" w:rsidP="00000873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>Neutralizuje przeniesione pozostałości alkaliczne w maszynowej obróbce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t>,</w:t>
            </w:r>
            <w:r w:rsidRPr="005040FD">
              <w:rPr>
                <w:rFonts w:eastAsia="Times New Roman" w:cs="Arial"/>
                <w:color w:val="333333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przystosowany do standardowych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myjni-dezynfektorów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>, opakowanie kanister 5L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5329C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3439D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5E00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AFBB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C7A6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2797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9BC18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1A89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E0B83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000D230B" w14:textId="77777777" w:rsidTr="00000873">
        <w:trPr>
          <w:trHeight w:val="21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AE0FB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5EB54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Płynny środek płuczący zawierający środki powierzchniowo czynne,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polikarboksylany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oraz środki konserwujące. Do użycia w myjniach dezynfektorach niezawierający oleju parafinowego oraz alkoholu i związków alkoholowych. Do szybkiego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</w:rPr>
              <w:t>bezzaciekowego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</w:rPr>
              <w:t xml:space="preserve"> płukania, znacznie przyśpieszający suszenie po maszynowym myciu i dezynfekcji. dozowanie 0,3-1,0ml/l.. Kanister 5 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1CFF5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A6B2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ED974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8E200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2EFF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BD78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395E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0AC41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718B44EA" w14:textId="77777777" w:rsidTr="00000873">
        <w:trPr>
          <w:trHeight w:val="1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5FFEA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78036" w14:textId="77777777" w:rsidR="00C67805" w:rsidRPr="005040FD" w:rsidRDefault="00C67805" w:rsidP="00000873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 xml:space="preserve">Dzierżawa Centralnego Systemu Dozowania wyposażonego w pompy perystaltyczne oraz czytnik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>tagów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 xml:space="preserve"> RFID umożliwiający dozowanie chemii procesowej do 2 myjni maszynowych MMM typu </w:t>
            </w:r>
            <w:proofErr w:type="spellStart"/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>UniClean</w:t>
            </w:r>
            <w:proofErr w:type="spellEnd"/>
            <w:r w:rsidRPr="005040FD">
              <w:rPr>
                <w:rFonts w:eastAsia="Times New Roman" w:cs="Arial"/>
                <w:bCs/>
                <w:sz w:val="18"/>
                <w:szCs w:val="18"/>
                <w:lang w:val="x-none"/>
              </w:rPr>
              <w:t xml:space="preserve"> , oraz kalibracja stężeń środków do wymaganych przez producenta wartości</w:t>
            </w:r>
            <w:r w:rsidRPr="005040FD">
              <w:rPr>
                <w:rFonts w:eastAsia="Times New Roman" w:cs="Arial"/>
                <w:bCs/>
                <w:sz w:val="18"/>
                <w:szCs w:val="18"/>
              </w:rPr>
              <w:t>,  z możliwością rozszerzenia do 3 myjni</w:t>
            </w:r>
          </w:p>
          <w:p w14:paraId="343E74B3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ab/>
            </w:r>
            <w:r w:rsidRPr="005040FD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5040FD">
              <w:rPr>
                <w:rFonts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FB990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sztuka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EAE8B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ACD2F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E50E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1822F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C12A0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35DE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5BE89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054B7410" w14:textId="77777777" w:rsidTr="00000873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482" w:type="pct"/>
            <w:gridSpan w:val="6"/>
          </w:tcPr>
          <w:p w14:paraId="06DFB93A" w14:textId="77777777" w:rsidR="00C67805" w:rsidRPr="006C7A63" w:rsidRDefault="00C67805" w:rsidP="00000873">
            <w:pPr>
              <w:ind w:left="567"/>
              <w:rPr>
                <w:rFonts w:asciiTheme="majorHAnsi" w:hAnsiTheme="majorHAnsi" w:cs="Arial"/>
                <w:sz w:val="18"/>
                <w:szCs w:val="18"/>
              </w:rPr>
            </w:pPr>
            <w:r w:rsidRPr="006C7A63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</w:p>
          <w:p w14:paraId="4FD19A98" w14:textId="64998E54" w:rsidR="00C67805" w:rsidRPr="005040FD" w:rsidRDefault="00C67805" w:rsidP="00000873">
            <w:pPr>
              <w:ind w:left="567"/>
              <w:rPr>
                <w:rFonts w:cs="Arial"/>
                <w:b/>
                <w:sz w:val="18"/>
                <w:szCs w:val="18"/>
              </w:rPr>
            </w:pPr>
            <w:r w:rsidRPr="006C7A63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 </w:t>
            </w:r>
            <w:r w:rsidRPr="005040FD">
              <w:rPr>
                <w:rFonts w:cs="Arial"/>
                <w:b/>
                <w:sz w:val="18"/>
                <w:szCs w:val="18"/>
              </w:rPr>
              <w:t>Wartość ogółem w złotych:</w:t>
            </w:r>
          </w:p>
        </w:tc>
        <w:tc>
          <w:tcPr>
            <w:tcW w:w="446" w:type="pct"/>
          </w:tcPr>
          <w:p w14:paraId="37249FB9" w14:textId="77777777" w:rsidR="00C67805" w:rsidRPr="006C7A63" w:rsidRDefault="00C67805" w:rsidP="00000873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310424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000000" w:themeFill="text1"/>
          </w:tcPr>
          <w:p w14:paraId="71CAFE2C" w14:textId="77777777" w:rsidR="00C67805" w:rsidRPr="006C7A63" w:rsidRDefault="00C67805" w:rsidP="00000873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385C52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000000" w:themeFill="text1"/>
          </w:tcPr>
          <w:p w14:paraId="0DE99462" w14:textId="77777777" w:rsidR="00C67805" w:rsidRPr="006C7A63" w:rsidRDefault="00C67805" w:rsidP="00000873">
            <w:pPr>
              <w:spacing w:after="20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4EE28F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6" w:type="pct"/>
          </w:tcPr>
          <w:p w14:paraId="4FA5D8B4" w14:textId="77777777" w:rsidR="00C67805" w:rsidRPr="006C7A63" w:rsidRDefault="00C67805" w:rsidP="00000873">
            <w:pPr>
              <w:spacing w:after="200"/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87756D8" w14:textId="77777777" w:rsidR="00C67805" w:rsidRPr="006C7A63" w:rsidRDefault="00C67805" w:rsidP="00000873">
            <w:pPr>
              <w:ind w:right="355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3AB04A40" w14:textId="77777777" w:rsidR="00C67805" w:rsidRDefault="00C67805" w:rsidP="00C67805">
      <w:pPr>
        <w:suppressAutoHyphens/>
        <w:spacing w:line="240" w:lineRule="auto"/>
        <w:ind w:right="394"/>
        <w:textAlignment w:val="baseline"/>
        <w:rPr>
          <w:rFonts w:asciiTheme="majorHAnsi" w:eastAsia="Arial" w:hAnsiTheme="majorHAnsi" w:cs="Arial"/>
          <w:b/>
          <w:kern w:val="2"/>
          <w:sz w:val="18"/>
          <w:szCs w:val="18"/>
          <w:lang w:eastAsia="zh-CN" w:bidi="hi-IN"/>
        </w:rPr>
      </w:pPr>
    </w:p>
    <w:p w14:paraId="181D5B2F" w14:textId="77777777" w:rsidR="00C67805" w:rsidRPr="005040FD" w:rsidRDefault="00C67805" w:rsidP="00C67805">
      <w:pPr>
        <w:suppressAutoHyphens/>
        <w:spacing w:line="240" w:lineRule="auto"/>
        <w:ind w:right="394"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r w:rsidRPr="005040FD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93FDD10" w14:textId="77777777" w:rsidR="00C67805" w:rsidRPr="005040FD" w:rsidRDefault="00C67805" w:rsidP="00C67805">
      <w:pPr>
        <w:suppressAutoHyphens/>
        <w:spacing w:line="240" w:lineRule="auto"/>
        <w:textAlignment w:val="baseline"/>
        <w:rPr>
          <w:rFonts w:eastAsia="Arial" w:cs="Arial"/>
          <w:b/>
          <w:i/>
          <w:kern w:val="2"/>
          <w:sz w:val="18"/>
          <w:szCs w:val="18"/>
          <w:lang w:eastAsia="zh-CN" w:bidi="hi-IN"/>
        </w:rPr>
      </w:pPr>
      <w:r w:rsidRPr="005040FD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</w:t>
      </w:r>
      <w:r w:rsidRPr="005040FD">
        <w:rPr>
          <w:rFonts w:eastAsia="Arial" w:cs="Arial"/>
          <w:b/>
          <w:i/>
          <w:kern w:val="2"/>
          <w:sz w:val="18"/>
          <w:szCs w:val="18"/>
          <w:lang w:eastAsia="zh-CN" w:bidi="hi-IN"/>
        </w:rPr>
        <w:t>.</w:t>
      </w:r>
    </w:p>
    <w:p w14:paraId="7707EAF5" w14:textId="77777777" w:rsidR="00C67805" w:rsidRDefault="00C67805"/>
    <w:p w14:paraId="01A3EDEE" w14:textId="77777777" w:rsidR="00C67805" w:rsidRDefault="00C67805"/>
    <w:p w14:paraId="1008E104" w14:textId="77777777" w:rsidR="00C67805" w:rsidRDefault="00C67805" w:rsidP="00C67805">
      <w:pPr>
        <w:pStyle w:val="Nagwek3"/>
        <w:rPr>
          <w:rFonts w:ascii="Arial" w:hAnsi="Arial" w:cs="Arial"/>
          <w:sz w:val="18"/>
          <w:szCs w:val="18"/>
        </w:rPr>
      </w:pPr>
    </w:p>
    <w:p w14:paraId="6D17D8FC" w14:textId="77777777" w:rsidR="00C67805" w:rsidRDefault="00C67805" w:rsidP="00C67805">
      <w:pPr>
        <w:pStyle w:val="Nagwek3"/>
        <w:rPr>
          <w:rFonts w:ascii="Arial" w:hAnsi="Arial" w:cs="Arial"/>
          <w:sz w:val="18"/>
          <w:szCs w:val="18"/>
        </w:rPr>
      </w:pPr>
    </w:p>
    <w:p w14:paraId="6B421A05" w14:textId="77777777" w:rsidR="00C67805" w:rsidRDefault="00C67805" w:rsidP="00C67805">
      <w:pPr>
        <w:pStyle w:val="Nagwek3"/>
        <w:rPr>
          <w:rFonts w:ascii="Arial" w:hAnsi="Arial" w:cs="Arial"/>
          <w:sz w:val="18"/>
          <w:szCs w:val="18"/>
        </w:rPr>
      </w:pPr>
    </w:p>
    <w:p w14:paraId="62C76598" w14:textId="77777777" w:rsidR="00C67805" w:rsidRDefault="00C67805" w:rsidP="00C67805">
      <w:pPr>
        <w:pStyle w:val="Nagwek3"/>
        <w:rPr>
          <w:rFonts w:ascii="Arial" w:hAnsi="Arial" w:cs="Arial"/>
          <w:sz w:val="18"/>
          <w:szCs w:val="18"/>
        </w:rPr>
      </w:pPr>
    </w:p>
    <w:p w14:paraId="639AD1DD" w14:textId="77777777" w:rsidR="00C67805" w:rsidRDefault="00C67805" w:rsidP="00C67805">
      <w:pPr>
        <w:pStyle w:val="Nagwek3"/>
        <w:rPr>
          <w:rFonts w:ascii="Arial" w:hAnsi="Arial" w:cs="Arial"/>
          <w:sz w:val="18"/>
          <w:szCs w:val="18"/>
        </w:rPr>
      </w:pPr>
    </w:p>
    <w:p w14:paraId="41947E93" w14:textId="77777777" w:rsidR="00C67805" w:rsidRDefault="00C67805" w:rsidP="00C67805">
      <w:pPr>
        <w:pStyle w:val="Nagwek3"/>
        <w:rPr>
          <w:rFonts w:ascii="Arial" w:hAnsi="Arial" w:cs="Arial"/>
          <w:sz w:val="18"/>
          <w:szCs w:val="18"/>
        </w:rPr>
      </w:pPr>
    </w:p>
    <w:p w14:paraId="08EAECBA" w14:textId="457200C6" w:rsidR="00C67805" w:rsidRPr="005040FD" w:rsidRDefault="00C67805" w:rsidP="00C67805">
      <w:pPr>
        <w:pStyle w:val="Nagwek3"/>
        <w:rPr>
          <w:rFonts w:ascii="Arial" w:hAnsi="Arial" w:cs="Arial"/>
          <w:sz w:val="18"/>
          <w:szCs w:val="18"/>
          <w:lang w:val="pl-PL"/>
        </w:rPr>
      </w:pPr>
      <w:r w:rsidRPr="005040FD">
        <w:rPr>
          <w:rFonts w:ascii="Arial" w:hAnsi="Arial" w:cs="Arial"/>
          <w:sz w:val="18"/>
          <w:szCs w:val="18"/>
        </w:rPr>
        <w:t xml:space="preserve">PAKIET NR </w:t>
      </w:r>
      <w:r w:rsidRPr="005040FD">
        <w:rPr>
          <w:rFonts w:ascii="Arial" w:hAnsi="Arial" w:cs="Arial"/>
          <w:sz w:val="18"/>
          <w:szCs w:val="18"/>
          <w:lang w:val="pl-PL"/>
        </w:rPr>
        <w:t>3</w:t>
      </w:r>
      <w:r w:rsidRPr="005040FD">
        <w:rPr>
          <w:rFonts w:ascii="Arial" w:hAnsi="Arial" w:cs="Arial"/>
          <w:sz w:val="18"/>
          <w:szCs w:val="18"/>
        </w:rPr>
        <w:t xml:space="preserve"> - Maszynowe mycie i dezynfekcja -myjnie do basenów,</w:t>
      </w:r>
    </w:p>
    <w:p w14:paraId="37885AF6" w14:textId="77777777" w:rsidR="00C67805" w:rsidRPr="006C7A63" w:rsidRDefault="00C67805" w:rsidP="00C67805">
      <w:pPr>
        <w:rPr>
          <w:rFonts w:asciiTheme="majorHAnsi" w:hAnsiTheme="majorHAnsi" w:cs="Arial"/>
          <w:sz w:val="18"/>
          <w:szCs w:val="18"/>
          <w:lang w:eastAsia="pl-PL"/>
        </w:rPr>
      </w:pPr>
    </w:p>
    <w:tbl>
      <w:tblPr>
        <w:tblW w:w="5613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049"/>
        <w:gridCol w:w="980"/>
        <w:gridCol w:w="1404"/>
        <w:gridCol w:w="1822"/>
        <w:gridCol w:w="1122"/>
        <w:gridCol w:w="1404"/>
        <w:gridCol w:w="701"/>
        <w:gridCol w:w="1273"/>
        <w:gridCol w:w="1392"/>
      </w:tblGrid>
      <w:tr w:rsidR="00C67805" w:rsidRPr="006C7A63" w14:paraId="101A13AE" w14:textId="77777777" w:rsidTr="00BF69CD">
        <w:trPr>
          <w:trHeight w:val="112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C79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  <w:r w:rsidRPr="005040FD">
              <w:rPr>
                <w:rFonts w:cs="Arial"/>
                <w:bCs/>
                <w:sz w:val="18"/>
                <w:szCs w:val="18"/>
                <w:lang w:val="en-US"/>
              </w:rPr>
              <w:t>L.P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DE9" w14:textId="77777777" w:rsidR="00C67805" w:rsidRPr="005040FD" w:rsidRDefault="00C67805" w:rsidP="00000873">
            <w:pPr>
              <w:pStyle w:val="Nagwek2"/>
              <w:spacing w:line="276" w:lineRule="auto"/>
              <w:jc w:val="center"/>
              <w:rPr>
                <w:rFonts w:cs="Arial"/>
                <w:b w:val="0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040FD">
              <w:rPr>
                <w:rFonts w:cs="Arial"/>
                <w:b w:val="0"/>
                <w:bCs/>
                <w:sz w:val="18"/>
                <w:szCs w:val="18"/>
                <w:lang w:val="en-US" w:eastAsia="en-US"/>
              </w:rPr>
              <w:t>Preparat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713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Jednostka miary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F2A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 xml:space="preserve">Przewidywana ilość </w:t>
            </w:r>
          </w:p>
          <w:p w14:paraId="1E45813E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90C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handlowa preparatu, producent, wielkość opakowania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40A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sz w:val="18"/>
                <w:szCs w:val="18"/>
                <w:lang w:eastAsia="en-US"/>
              </w:rPr>
              <w:t>Cena netto za jednostkę miary w złotych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EB7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Wartość netto ogółem w złotych</w:t>
            </w:r>
          </w:p>
          <w:p w14:paraId="5DF05D54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(kol.4 x kol.6)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A1A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Stawka VAT</w:t>
            </w:r>
          </w:p>
          <w:p w14:paraId="5376E870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(%)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73C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Cena brutto za jednostkę miary w złotych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468" w14:textId="77777777" w:rsidR="00C67805" w:rsidRPr="005040FD" w:rsidRDefault="00C67805" w:rsidP="0000087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040FD">
              <w:rPr>
                <w:rFonts w:cs="Arial"/>
                <w:bCs/>
                <w:sz w:val="18"/>
                <w:szCs w:val="18"/>
              </w:rPr>
              <w:t>Wartość brutto ogółem  w złotych</w:t>
            </w:r>
          </w:p>
          <w:p w14:paraId="314828AF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(kol. 4 x kol.9)</w:t>
            </w:r>
          </w:p>
          <w:p w14:paraId="384D7F51" w14:textId="77777777" w:rsidR="00C67805" w:rsidRPr="005040FD" w:rsidRDefault="00C67805" w:rsidP="00000873">
            <w:pPr>
              <w:ind w:right="355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67805" w:rsidRPr="006C7A63" w14:paraId="13EE4AE0" w14:textId="77777777" w:rsidTr="00000873">
        <w:trPr>
          <w:trHeight w:val="26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1B81A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040FD">
              <w:rPr>
                <w:rFonts w:cs="Arial"/>
                <w:b/>
                <w:bCs/>
                <w:sz w:val="18"/>
                <w:szCs w:val="18"/>
                <w:lang w:val="en-US"/>
              </w:rPr>
              <w:t>kol</w:t>
            </w:r>
            <w:proofErr w:type="spellEnd"/>
            <w:r w:rsidRPr="005040FD">
              <w:rPr>
                <w:rFonts w:cs="Arial"/>
                <w:b/>
                <w:bCs/>
                <w:sz w:val="18"/>
                <w:szCs w:val="18"/>
                <w:lang w:val="en-US"/>
              </w:rPr>
              <w:t>. 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098A2" w14:textId="77777777" w:rsidR="00C67805" w:rsidRPr="005040FD" w:rsidRDefault="00C67805" w:rsidP="00000873">
            <w:pPr>
              <w:pStyle w:val="Nagwek2"/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val="pl-PL" w:eastAsia="en-US"/>
              </w:rPr>
            </w:pPr>
            <w:r w:rsidRPr="005040FD">
              <w:rPr>
                <w:rFonts w:cs="Arial"/>
                <w:bCs/>
                <w:sz w:val="18"/>
                <w:szCs w:val="18"/>
                <w:lang w:val="pl-PL" w:eastAsia="en-US"/>
              </w:rPr>
              <w:t>kol. 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C5ADD" w14:textId="77777777" w:rsidR="00C67805" w:rsidRPr="005040FD" w:rsidRDefault="00C67805" w:rsidP="0000087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996AC38" w14:textId="77777777" w:rsidR="00C67805" w:rsidRPr="005040FD" w:rsidRDefault="00C67805" w:rsidP="0000087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040FD">
              <w:rPr>
                <w:rFonts w:cs="Arial"/>
                <w:b/>
                <w:sz w:val="18"/>
                <w:szCs w:val="18"/>
              </w:rPr>
              <w:t>kol. 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9DBAE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D5517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FC613A4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kol. 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74EF" w14:textId="77777777" w:rsidR="00C67805" w:rsidRPr="005040FD" w:rsidRDefault="00C67805" w:rsidP="0000087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40F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kol. 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EE67E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5BED3861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8BB74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C5C1F4B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94509" w14:textId="77777777" w:rsidR="00C67805" w:rsidRPr="005040FD" w:rsidRDefault="00C67805" w:rsidP="0000087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1401" w14:textId="77777777" w:rsidR="00C67805" w:rsidRPr="005040FD" w:rsidRDefault="00C67805" w:rsidP="00000873">
            <w:pPr>
              <w:ind w:right="44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40FD">
              <w:rPr>
                <w:rFonts w:cs="Arial"/>
                <w:b/>
                <w:bCs/>
                <w:sz w:val="18"/>
                <w:szCs w:val="18"/>
              </w:rPr>
              <w:t>kol. 10</w:t>
            </w:r>
          </w:p>
        </w:tc>
      </w:tr>
      <w:tr w:rsidR="00C67805" w:rsidRPr="006C7A63" w14:paraId="1A766205" w14:textId="77777777" w:rsidTr="00000873">
        <w:trPr>
          <w:trHeight w:val="99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250E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4DF9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  <w:r w:rsidRPr="005040F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Alkaliczny środek do mycia kaczek i basenów, usuwający szczególnie silne zabrudzenia z mydła i </w:t>
            </w:r>
            <w:proofErr w:type="spellStart"/>
            <w:r w:rsidRPr="005040F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cytostatyków</w:t>
            </w:r>
            <w:proofErr w:type="spellEnd"/>
            <w:r w:rsidRPr="005040F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z ludzkich odchodów. Niepieniący, dostosowany do wody o każdej twardości. Stosowany w myjniach naczyń sanitarnych wyposażonych w pompę dozującą środek myjący. Dozowany w ilości 1-3 ml/l w zależności od twardości wody, w etapie mycia. Zawiera w swoim składzie min. &lt;5% </w:t>
            </w:r>
            <w:proofErr w:type="spellStart"/>
            <w:r w:rsidRPr="005040F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fosfoniany</w:t>
            </w:r>
            <w:proofErr w:type="spellEnd"/>
            <w:r w:rsidRPr="005040F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15-30% EDTA, wodorotlenek sodu &lt;1%. Wartość </w:t>
            </w:r>
            <w:proofErr w:type="spellStart"/>
            <w:r w:rsidRPr="005040F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5040F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roztworu roboczego mieści się w granicach 11,2-11,5, gęstość 1,2g/cm³, lepkość &lt; 50mPas. Spełnia wymagania dotyczące wyrobów medycznych zgodnie z Dyrektywą 93/42/EC załącznik I. Opakowanie 5 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2AA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  <w:p w14:paraId="11B5C8FF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5EC8BD3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F12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FD5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D22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862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1C8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FFB" w14:textId="77777777" w:rsidR="00C67805" w:rsidRPr="005040FD" w:rsidRDefault="00C67805" w:rsidP="000008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036" w14:textId="77777777" w:rsidR="00C67805" w:rsidRPr="005040FD" w:rsidRDefault="00C67805" w:rsidP="00000873">
            <w:pPr>
              <w:ind w:right="447"/>
              <w:rPr>
                <w:rFonts w:cs="Arial"/>
                <w:sz w:val="18"/>
                <w:szCs w:val="18"/>
              </w:rPr>
            </w:pPr>
          </w:p>
        </w:tc>
      </w:tr>
      <w:tr w:rsidR="00C67805" w:rsidRPr="006C7A63" w14:paraId="2520D0CC" w14:textId="77777777" w:rsidTr="00000873">
        <w:trPr>
          <w:trHeight w:val="14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0A98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C93" w14:textId="77777777" w:rsidR="00C67805" w:rsidRPr="005040FD" w:rsidRDefault="00C67805" w:rsidP="00000873">
            <w:pPr>
              <w:pStyle w:val="Tekstpodstawowy"/>
              <w:spacing w:line="276" w:lineRule="auto"/>
              <w:rPr>
                <w:rFonts w:cs="Arial"/>
                <w:b w:val="0"/>
                <w:bCs/>
                <w:sz w:val="18"/>
                <w:szCs w:val="18"/>
                <w:lang w:val="pl-PL" w:eastAsia="en-US"/>
              </w:rPr>
            </w:pPr>
            <w:r w:rsidRPr="005040FD">
              <w:rPr>
                <w:rFonts w:cs="Arial"/>
                <w:b w:val="0"/>
                <w:bCs/>
                <w:sz w:val="18"/>
                <w:szCs w:val="18"/>
                <w:lang w:val="pl-PL" w:eastAsia="en-US"/>
              </w:rPr>
              <w:t xml:space="preserve"> </w:t>
            </w:r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 xml:space="preserve">Środek zmiękczający oraz płuczący, płynny koncentrat, na bazie kwasów organicznych. Zabezpiecza przed osadami kamienia wodnego. Bardzo dobre działanie odpieniające. Jego doskonałe właściwości płuczące wpływają na zadowalające efekty </w:t>
            </w:r>
            <w:proofErr w:type="spellStart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>bezzaciekowego</w:t>
            </w:r>
            <w:proofErr w:type="spellEnd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 xml:space="preserve"> suszenia. Odpowiedni do myjni naczyń sanitarnych odpornych na działanie kwasów. Opakowanie 5L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7B2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opak.</w:t>
            </w:r>
          </w:p>
          <w:p w14:paraId="6FACCEC3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CA5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EE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EE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237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812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08D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E5B" w14:textId="77777777" w:rsidR="00C67805" w:rsidRPr="006C7A63" w:rsidRDefault="00C67805" w:rsidP="00000873">
            <w:pPr>
              <w:ind w:right="447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422B1C0A" w14:textId="77777777" w:rsidTr="00000873">
        <w:trPr>
          <w:trHeight w:val="14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F9F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3.</w:t>
            </w:r>
          </w:p>
          <w:p w14:paraId="77EDDBD5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6AFE" w14:textId="77777777" w:rsidR="00C67805" w:rsidRPr="005040FD" w:rsidRDefault="00C67805" w:rsidP="00000873">
            <w:pPr>
              <w:pStyle w:val="Tekstpodstawowy"/>
              <w:spacing w:line="276" w:lineRule="auto"/>
              <w:rPr>
                <w:rFonts w:cs="Arial"/>
                <w:b w:val="0"/>
                <w:bCs/>
                <w:sz w:val="18"/>
                <w:szCs w:val="18"/>
                <w:lang w:val="pl-PL" w:eastAsia="en-US"/>
              </w:rPr>
            </w:pPr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 xml:space="preserve">Lekko alkaiczny środek kompleksujący twardość wody </w:t>
            </w:r>
            <w:proofErr w:type="spellStart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>dlka</w:t>
            </w:r>
            <w:proofErr w:type="spellEnd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 xml:space="preserve"> uniknięcia tworzenia się osadów kamienia wodnego podczas maszynowego </w:t>
            </w:r>
            <w:proofErr w:type="spellStart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>reprocesowania</w:t>
            </w:r>
            <w:proofErr w:type="spellEnd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 xml:space="preserve"> naczyń sanitarnych, odpowiedni do wody o każdym stopniu twardości. Dozowanie </w:t>
            </w:r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lastRenderedPageBreak/>
              <w:t xml:space="preserve">1-3ml/l w zależności od twardości wody, </w:t>
            </w:r>
            <w:proofErr w:type="spellStart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>ph</w:t>
            </w:r>
            <w:proofErr w:type="spellEnd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 xml:space="preserve"> 10,0-10,2, gęstość 1,1g/ cm³,zawiera 15-30% </w:t>
            </w:r>
            <w:proofErr w:type="spellStart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>polikarboksylany</w:t>
            </w:r>
            <w:proofErr w:type="spellEnd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 xml:space="preserve"> oraz środki konserwujące (</w:t>
            </w:r>
            <w:proofErr w:type="spellStart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>sodium</w:t>
            </w:r>
            <w:proofErr w:type="spellEnd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>hydroxymethylglycinate</w:t>
            </w:r>
            <w:proofErr w:type="spellEnd"/>
            <w:r w:rsidRPr="005040FD">
              <w:rPr>
                <w:rFonts w:cs="Arial"/>
                <w:b w:val="0"/>
                <w:bCs/>
                <w:color w:val="000000"/>
                <w:sz w:val="18"/>
                <w:szCs w:val="18"/>
              </w:rPr>
              <w:t>). Opak. 5L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2C6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lastRenderedPageBreak/>
              <w:t>opak.</w:t>
            </w:r>
          </w:p>
          <w:p w14:paraId="15BBA38D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818" w14:textId="77777777" w:rsidR="00C67805" w:rsidRPr="005040FD" w:rsidRDefault="00C67805" w:rsidP="00000873">
            <w:pPr>
              <w:jc w:val="center"/>
              <w:rPr>
                <w:rFonts w:cs="Arial"/>
                <w:sz w:val="18"/>
                <w:szCs w:val="18"/>
              </w:rPr>
            </w:pPr>
            <w:r w:rsidRPr="005040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2B0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7FA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AF1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9C3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B35" w14:textId="77777777" w:rsidR="00C67805" w:rsidRPr="006C7A63" w:rsidRDefault="00C67805" w:rsidP="0000087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107" w14:textId="77777777" w:rsidR="00C67805" w:rsidRPr="006C7A63" w:rsidRDefault="00C67805" w:rsidP="00000873">
            <w:pPr>
              <w:ind w:right="447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67805" w:rsidRPr="006C7A63" w14:paraId="3E651FFB" w14:textId="77777777" w:rsidTr="00000873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482" w:type="pct"/>
            <w:gridSpan w:val="6"/>
          </w:tcPr>
          <w:p w14:paraId="0ADF84F3" w14:textId="77777777" w:rsidR="00C67805" w:rsidRPr="006C7A63" w:rsidRDefault="00C67805" w:rsidP="00000873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kern w:val="2"/>
                <w:sz w:val="18"/>
                <w:szCs w:val="18"/>
                <w:lang w:eastAsia="zh-CN" w:bidi="hi-IN"/>
              </w:rPr>
            </w:pPr>
          </w:p>
          <w:p w14:paraId="3BFC2589" w14:textId="1A60ACD2" w:rsidR="00C67805" w:rsidRPr="005040FD" w:rsidRDefault="00C67805" w:rsidP="00000873">
            <w:pPr>
              <w:suppressAutoHyphens/>
              <w:ind w:left="567"/>
              <w:textAlignment w:val="baseline"/>
              <w:rPr>
                <w:rFonts w:eastAsia="Arial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6C7A63">
              <w:rPr>
                <w:rFonts w:asciiTheme="majorHAnsi" w:eastAsia="Arial" w:hAnsiTheme="majorHAnsi" w:cs="Arial"/>
                <w:b/>
                <w:kern w:val="2"/>
                <w:sz w:val="18"/>
                <w:szCs w:val="18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eastAsia="Arial" w:hAnsiTheme="majorHAnsi" w:cs="Arial"/>
                <w:b/>
                <w:kern w:val="2"/>
                <w:sz w:val="18"/>
                <w:szCs w:val="18"/>
                <w:lang w:eastAsia="zh-CN" w:bidi="hi-IN"/>
              </w:rPr>
              <w:t xml:space="preserve">                                     </w:t>
            </w:r>
            <w:r w:rsidRPr="005040FD">
              <w:rPr>
                <w:rFonts w:eastAsia="Arial" w:cs="Arial"/>
                <w:b/>
                <w:kern w:val="2"/>
                <w:sz w:val="18"/>
                <w:szCs w:val="18"/>
                <w:lang w:eastAsia="zh-CN" w:bidi="hi-IN"/>
              </w:rPr>
              <w:t>Wartość ogółem w złotych:</w:t>
            </w:r>
          </w:p>
        </w:tc>
        <w:tc>
          <w:tcPr>
            <w:tcW w:w="447" w:type="pct"/>
          </w:tcPr>
          <w:p w14:paraId="5338C8A4" w14:textId="77777777" w:rsidR="00C67805" w:rsidRPr="006C7A63" w:rsidRDefault="00C67805" w:rsidP="00000873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3" w:type="pct"/>
            <w:shd w:val="clear" w:color="auto" w:fill="000000" w:themeFill="text1"/>
          </w:tcPr>
          <w:p w14:paraId="44762D8B" w14:textId="77777777" w:rsidR="00C67805" w:rsidRPr="006C7A63" w:rsidRDefault="00C67805" w:rsidP="00000873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05" w:type="pct"/>
            <w:shd w:val="clear" w:color="auto" w:fill="000000" w:themeFill="text1"/>
          </w:tcPr>
          <w:p w14:paraId="04BE11E7" w14:textId="77777777" w:rsidR="00C67805" w:rsidRPr="006C7A63" w:rsidRDefault="00C67805" w:rsidP="00000873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43" w:type="pct"/>
          </w:tcPr>
          <w:p w14:paraId="0AC18DAF" w14:textId="77777777" w:rsidR="00C67805" w:rsidRPr="006C7A63" w:rsidRDefault="00C67805" w:rsidP="00000873">
            <w:pPr>
              <w:suppressAutoHyphens/>
              <w:ind w:left="567"/>
              <w:textAlignment w:val="baseline"/>
              <w:rPr>
                <w:rFonts w:asciiTheme="majorHAnsi" w:eastAsia="Arial" w:hAnsiTheme="majorHAnsi" w:cs="Arial"/>
                <w:b/>
                <w:i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4888BCDF" w14:textId="77777777" w:rsidR="00C67805" w:rsidRPr="006C7A63" w:rsidRDefault="00C67805" w:rsidP="00C67805">
      <w:pPr>
        <w:suppressAutoHyphens/>
        <w:textAlignment w:val="baseline"/>
        <w:rPr>
          <w:rFonts w:asciiTheme="majorHAnsi" w:eastAsia="Arial" w:hAnsiTheme="majorHAnsi" w:cs="Arial"/>
          <w:b/>
          <w:i/>
          <w:kern w:val="2"/>
          <w:sz w:val="18"/>
          <w:szCs w:val="18"/>
          <w:lang w:eastAsia="zh-CN" w:bidi="hi-IN"/>
        </w:rPr>
      </w:pPr>
    </w:p>
    <w:p w14:paraId="40C284F0" w14:textId="77777777" w:rsidR="00C67805" w:rsidRPr="006C7A63" w:rsidRDefault="00C67805" w:rsidP="00C67805">
      <w:pPr>
        <w:suppressAutoHyphens/>
        <w:textAlignment w:val="baseline"/>
        <w:rPr>
          <w:rFonts w:asciiTheme="majorHAnsi" w:eastAsia="Arial" w:hAnsiTheme="majorHAnsi" w:cs="Arial"/>
          <w:b/>
          <w:i/>
          <w:kern w:val="2"/>
          <w:sz w:val="18"/>
          <w:szCs w:val="18"/>
          <w:lang w:eastAsia="zh-CN" w:bidi="hi-IN"/>
        </w:rPr>
      </w:pPr>
    </w:p>
    <w:p w14:paraId="0172C16F" w14:textId="77777777" w:rsidR="00C67805" w:rsidRPr="005040FD" w:rsidRDefault="00C67805" w:rsidP="00C67805">
      <w:pPr>
        <w:suppressAutoHyphens/>
        <w:textAlignment w:val="baseline"/>
        <w:rPr>
          <w:rFonts w:eastAsia="Arial" w:cs="Arial"/>
          <w:kern w:val="1"/>
          <w:sz w:val="18"/>
          <w:szCs w:val="18"/>
          <w:lang w:eastAsia="zh-CN" w:bidi="hi-IN"/>
        </w:rPr>
      </w:pPr>
      <w:r w:rsidRPr="005040FD">
        <w:rPr>
          <w:rFonts w:eastAsia="Arial" w:cs="Arial"/>
          <w:b/>
          <w:kern w:val="2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2A73756D" w14:textId="77777777" w:rsidR="00C67805" w:rsidRPr="005040FD" w:rsidRDefault="00C67805" w:rsidP="00C67805">
      <w:pPr>
        <w:suppressAutoHyphens/>
        <w:textAlignment w:val="baseline"/>
        <w:rPr>
          <w:rFonts w:eastAsia="Arial" w:cs="Arial"/>
          <w:b/>
          <w:kern w:val="2"/>
          <w:sz w:val="18"/>
          <w:szCs w:val="18"/>
          <w:lang w:eastAsia="zh-CN" w:bidi="hi-IN"/>
        </w:rPr>
      </w:pPr>
      <w:r w:rsidRPr="005040FD">
        <w:rPr>
          <w:rFonts w:eastAsia="Arial" w:cs="Arial"/>
          <w:b/>
          <w:kern w:val="2"/>
          <w:sz w:val="18"/>
          <w:szCs w:val="18"/>
          <w:lang w:eastAsia="zh-CN" w:bidi="hi-IN"/>
        </w:rPr>
        <w:t>Zamawiający zaleca zapisanie dokumentu w formacie PDF.</w:t>
      </w:r>
    </w:p>
    <w:p w14:paraId="2A6C8F9F" w14:textId="77777777" w:rsidR="00C67805" w:rsidRPr="006C7A63" w:rsidRDefault="00C67805" w:rsidP="00C67805">
      <w:pPr>
        <w:suppressAutoHyphens/>
        <w:textAlignment w:val="baseline"/>
        <w:rPr>
          <w:rFonts w:asciiTheme="majorHAnsi" w:eastAsia="Arial" w:hAnsiTheme="majorHAnsi" w:cs="Arial"/>
          <w:b/>
          <w:i/>
          <w:kern w:val="2"/>
          <w:sz w:val="18"/>
          <w:szCs w:val="18"/>
          <w:lang w:eastAsia="zh-CN" w:bidi="hi-IN"/>
        </w:rPr>
      </w:pPr>
    </w:p>
    <w:p w14:paraId="21CE8E82" w14:textId="77777777" w:rsidR="00C67805" w:rsidRPr="006C7A63" w:rsidRDefault="00C67805" w:rsidP="00C67805">
      <w:pPr>
        <w:pStyle w:val="Nagwek3"/>
        <w:rPr>
          <w:rFonts w:asciiTheme="majorHAnsi" w:hAnsiTheme="majorHAnsi" w:cs="Arial"/>
          <w:sz w:val="18"/>
          <w:szCs w:val="18"/>
          <w:lang w:val="pl-PL"/>
        </w:rPr>
      </w:pPr>
    </w:p>
    <w:p w14:paraId="4DE813B8" w14:textId="77777777" w:rsidR="00C67805" w:rsidRDefault="00C67805"/>
    <w:sectPr w:rsidR="00C67805" w:rsidSect="00C678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2523"/>
    <w:multiLevelType w:val="hybridMultilevel"/>
    <w:tmpl w:val="DAAC99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95D5B"/>
    <w:multiLevelType w:val="hybridMultilevel"/>
    <w:tmpl w:val="D494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27732">
    <w:abstractNumId w:val="0"/>
  </w:num>
  <w:num w:numId="2" w16cid:durableId="179760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E2"/>
    <w:rsid w:val="004034E2"/>
    <w:rsid w:val="00714285"/>
    <w:rsid w:val="00BA7FD1"/>
    <w:rsid w:val="00BF69CD"/>
    <w:rsid w:val="00C67805"/>
    <w:rsid w:val="00E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8213"/>
  <w15:chartTrackingRefBased/>
  <w15:docId w15:val="{E8F69CF8-1882-4C0F-AE38-90702EE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805"/>
    <w:pPr>
      <w:spacing w:after="0" w:line="276" w:lineRule="auto"/>
    </w:pPr>
    <w:rPr>
      <w:rFonts w:ascii="Arial" w:hAnsi="Arial"/>
      <w:kern w:val="0"/>
      <w:sz w:val="2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7805"/>
    <w:pPr>
      <w:keepNext/>
      <w:spacing w:line="240" w:lineRule="auto"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7805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7805"/>
    <w:rPr>
      <w:rFonts w:ascii="Arial" w:eastAsia="Times New Roman" w:hAnsi="Arial" w:cs="Times New Roman"/>
      <w:b/>
      <w:kern w:val="0"/>
      <w:sz w:val="24"/>
      <w:szCs w:val="20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67805"/>
    <w:rPr>
      <w:rFonts w:ascii="Times New Roman" w:eastAsia="Times New Roman" w:hAnsi="Times New Roman" w:cs="Times New Roman"/>
      <w:b/>
      <w:kern w:val="0"/>
      <w:sz w:val="20"/>
      <w:szCs w:val="24"/>
      <w:lang w:val="x-none" w:eastAsia="pl-PL"/>
      <w14:ligatures w14:val="none"/>
    </w:rPr>
  </w:style>
  <w:style w:type="paragraph" w:styleId="Bezodstpw">
    <w:name w:val="No Spacing"/>
    <w:uiPriority w:val="1"/>
    <w:qFormat/>
    <w:rsid w:val="00C678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C67805"/>
    <w:pPr>
      <w:spacing w:line="240" w:lineRule="auto"/>
    </w:pPr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7805"/>
    <w:rPr>
      <w:rFonts w:ascii="Arial" w:eastAsia="Times New Roman" w:hAnsi="Arial" w:cs="Times New Roman"/>
      <w:b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2384</Words>
  <Characters>14306</Characters>
  <Application>Microsoft Office Word</Application>
  <DocSecurity>0</DocSecurity>
  <Lines>119</Lines>
  <Paragraphs>33</Paragraphs>
  <ScaleCrop>false</ScaleCrop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ppawluczuk</dc:creator>
  <cp:keywords/>
  <dc:description/>
  <cp:lastModifiedBy>ppawluczuk</cp:lastModifiedBy>
  <cp:revision>4</cp:revision>
  <dcterms:created xsi:type="dcterms:W3CDTF">2024-05-29T06:37:00Z</dcterms:created>
  <dcterms:modified xsi:type="dcterms:W3CDTF">2024-05-29T06:41:00Z</dcterms:modified>
</cp:coreProperties>
</file>