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F1" w:rsidRPr="005519B5" w:rsidRDefault="00F4449A">
      <w:pPr>
        <w:pStyle w:val="Default"/>
        <w:shd w:val="clear" w:color="auto" w:fill="F2F2F2" w:themeFill="background1" w:themeFillShade="F2"/>
        <w:rPr>
          <w:rFonts w:asciiTheme="minorHAnsi" w:hAnsiTheme="minorHAnsi" w:cstheme="minorHAnsi"/>
          <w:b/>
          <w:color w:val="auto"/>
          <w:sz w:val="22"/>
          <w:szCs w:val="26"/>
        </w:rPr>
      </w:pPr>
      <w:r w:rsidRPr="005519B5">
        <w:rPr>
          <w:rFonts w:asciiTheme="minorHAnsi" w:hAnsiTheme="minorHAnsi" w:cstheme="minorHAnsi"/>
          <w:b/>
          <w:color w:val="auto"/>
          <w:sz w:val="22"/>
          <w:szCs w:val="26"/>
        </w:rPr>
        <w:t>WZP.271</w:t>
      </w:r>
      <w:r w:rsidR="005519B5" w:rsidRPr="005519B5">
        <w:rPr>
          <w:rFonts w:asciiTheme="minorHAnsi" w:hAnsiTheme="minorHAnsi" w:cstheme="minorHAnsi"/>
          <w:b/>
          <w:color w:val="auto"/>
          <w:sz w:val="22"/>
          <w:szCs w:val="26"/>
        </w:rPr>
        <w:t>.16.</w:t>
      </w:r>
      <w:r w:rsidRPr="005519B5">
        <w:rPr>
          <w:rFonts w:asciiTheme="minorHAnsi" w:hAnsiTheme="minorHAnsi" w:cstheme="minorHAnsi"/>
          <w:b/>
          <w:color w:val="auto"/>
          <w:sz w:val="22"/>
          <w:szCs w:val="26"/>
        </w:rPr>
        <w:t xml:space="preserve">2022 </w:t>
      </w:r>
      <w:r w:rsidRPr="005519B5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5519B5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5519B5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5519B5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5519B5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5519B5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5519B5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5519B5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5519B5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5519B5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5519B5">
        <w:rPr>
          <w:rFonts w:asciiTheme="minorHAnsi" w:hAnsiTheme="minorHAnsi" w:cstheme="minorHAnsi"/>
          <w:b/>
          <w:color w:val="auto"/>
          <w:sz w:val="22"/>
          <w:szCs w:val="26"/>
        </w:rPr>
        <w:tab/>
      </w:r>
      <w:r w:rsidRPr="005519B5">
        <w:rPr>
          <w:rFonts w:asciiTheme="minorHAnsi" w:hAnsiTheme="minorHAnsi" w:cstheme="minorHAnsi"/>
          <w:b/>
          <w:color w:val="auto"/>
          <w:sz w:val="22"/>
          <w:szCs w:val="26"/>
        </w:rPr>
        <w:tab/>
        <w:t xml:space="preserve">Załącznik nr </w:t>
      </w:r>
      <w:r w:rsidR="005519B5" w:rsidRPr="005519B5">
        <w:rPr>
          <w:rFonts w:asciiTheme="minorHAnsi" w:hAnsiTheme="minorHAnsi" w:cstheme="minorHAnsi"/>
          <w:b/>
          <w:color w:val="auto"/>
          <w:sz w:val="22"/>
          <w:szCs w:val="26"/>
        </w:rPr>
        <w:t>6</w:t>
      </w:r>
      <w:r w:rsidRPr="005519B5">
        <w:rPr>
          <w:rFonts w:asciiTheme="minorHAnsi" w:hAnsiTheme="minorHAnsi" w:cstheme="minorHAnsi"/>
          <w:b/>
          <w:color w:val="auto"/>
          <w:sz w:val="22"/>
          <w:szCs w:val="26"/>
        </w:rPr>
        <w:t xml:space="preserve"> do SWZ</w:t>
      </w:r>
    </w:p>
    <w:p w:rsidR="009142F1" w:rsidRDefault="00F4449A">
      <w:pPr>
        <w:pStyle w:val="Default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SPECYFIKACJA TECHNICZNA</w:t>
      </w:r>
    </w:p>
    <w:p w:rsidR="009142F1" w:rsidRDefault="009142F1">
      <w:pPr>
        <w:pStyle w:val="Default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9142F1" w:rsidRDefault="00F4449A">
      <w:pPr>
        <w:spacing w:after="1" w:line="235" w:lineRule="auto"/>
        <w:jc w:val="both"/>
        <w:rPr>
          <w:rFonts w:eastAsia="Calibri" w:cstheme="minorHAnsi"/>
          <w:color w:val="000000"/>
          <w:sz w:val="18"/>
          <w:szCs w:val="20"/>
        </w:rPr>
      </w:pPr>
      <w:r>
        <w:rPr>
          <w:rFonts w:eastAsia="Calibri" w:cstheme="minorHAnsi"/>
          <w:b/>
          <w:color w:val="000000"/>
          <w:sz w:val="18"/>
          <w:szCs w:val="20"/>
        </w:rPr>
        <w:t xml:space="preserve">Zamawiający </w:t>
      </w:r>
      <w:r>
        <w:rPr>
          <w:rFonts w:eastAsia="Calibri" w:cstheme="minorHAnsi"/>
          <w:b/>
          <w:color w:val="000000"/>
          <w:sz w:val="18"/>
          <w:szCs w:val="20"/>
          <w:u w:val="single"/>
        </w:rPr>
        <w:t>dopuszcza</w:t>
      </w:r>
      <w:r>
        <w:rPr>
          <w:rFonts w:eastAsia="Calibri" w:cstheme="minorHAnsi"/>
          <w:b/>
          <w:color w:val="000000"/>
          <w:sz w:val="18"/>
          <w:szCs w:val="20"/>
        </w:rPr>
        <w:t xml:space="preserve"> zastosowanie rozwiązań równoważnych dotyczących użytych materiałów tzn. zastosowanie materiałów o cechach technicznych/jakościowych nie gorszych niż podane poniżej. Występujące poniżej ewentualne znaki towarowe i nazwy własne traktowane są jako przykładowe i służą jedynie do określenia parametrów jakościowych użytych materiałów.</w:t>
      </w:r>
    </w:p>
    <w:p w:rsidR="009142F1" w:rsidRDefault="00F4449A">
      <w:pPr>
        <w:spacing w:after="1" w:line="235" w:lineRule="auto"/>
        <w:jc w:val="both"/>
        <w:rPr>
          <w:rFonts w:eastAsia="Calibri" w:cstheme="minorHAnsi"/>
          <w:b/>
          <w:color w:val="000000"/>
          <w:sz w:val="18"/>
          <w:szCs w:val="20"/>
        </w:rPr>
      </w:pPr>
      <w:r>
        <w:rPr>
          <w:rFonts w:eastAsia="Calibri" w:cstheme="minorHAnsi"/>
          <w:b/>
          <w:color w:val="000000"/>
          <w:sz w:val="18"/>
          <w:szCs w:val="20"/>
        </w:rPr>
        <w:t xml:space="preserve">Zamawiający </w:t>
      </w:r>
      <w:r>
        <w:rPr>
          <w:rFonts w:eastAsia="Calibri" w:cstheme="minorHAnsi"/>
          <w:b/>
          <w:color w:val="000000"/>
          <w:sz w:val="18"/>
          <w:szCs w:val="20"/>
          <w:u w:val="single"/>
        </w:rPr>
        <w:t>nie dopuszcza</w:t>
      </w:r>
      <w:r>
        <w:rPr>
          <w:rFonts w:eastAsia="Calibri" w:cstheme="minorHAnsi"/>
          <w:b/>
          <w:color w:val="000000"/>
          <w:sz w:val="18"/>
          <w:szCs w:val="20"/>
        </w:rPr>
        <w:t xml:space="preserve"> oferowania sprzętu używanego lub po reaktywacji.</w:t>
      </w:r>
    </w:p>
    <w:p w:rsidR="009142F1" w:rsidRDefault="009142F1">
      <w:pPr>
        <w:spacing w:after="1" w:line="235" w:lineRule="auto"/>
        <w:jc w:val="both"/>
        <w:rPr>
          <w:rFonts w:eastAsia="Calibri" w:cstheme="minorHAnsi"/>
          <w:b/>
          <w:color w:val="000000"/>
          <w:sz w:val="18"/>
          <w:szCs w:val="20"/>
        </w:rPr>
      </w:pPr>
    </w:p>
    <w:tbl>
      <w:tblPr>
        <w:tblStyle w:val="Tabela-Siatka"/>
        <w:tblW w:w="13994" w:type="dxa"/>
        <w:tblLayout w:type="fixed"/>
        <w:tblLook w:val="04A0"/>
      </w:tblPr>
      <w:tblGrid>
        <w:gridCol w:w="507"/>
        <w:gridCol w:w="1756"/>
        <w:gridCol w:w="994"/>
        <w:gridCol w:w="708"/>
        <w:gridCol w:w="5102"/>
        <w:gridCol w:w="4927"/>
      </w:tblGrid>
      <w:tr w:rsidR="009142F1">
        <w:trPr>
          <w:trHeight w:val="355"/>
        </w:trPr>
        <w:tc>
          <w:tcPr>
            <w:tcW w:w="13993" w:type="dxa"/>
            <w:gridSpan w:val="6"/>
            <w:shd w:val="clear" w:color="auto" w:fill="FFF2CC" w:themeFill="accent4" w:themeFillTint="33"/>
            <w:vAlign w:val="center"/>
          </w:tcPr>
          <w:p w:rsidR="009142F1" w:rsidRDefault="009142F1">
            <w:pPr>
              <w:pStyle w:val="Default"/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142F1">
        <w:trPr>
          <w:trHeight w:val="510"/>
        </w:trPr>
        <w:tc>
          <w:tcPr>
            <w:tcW w:w="506" w:type="dxa"/>
            <w:shd w:val="clear" w:color="auto" w:fill="F2F2F2" w:themeFill="background1" w:themeFillShade="F2"/>
            <w:vAlign w:val="center"/>
          </w:tcPr>
          <w:p w:rsidR="009142F1" w:rsidRDefault="00F4449A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Lp.</w:t>
            </w:r>
          </w:p>
        </w:tc>
        <w:tc>
          <w:tcPr>
            <w:tcW w:w="1756" w:type="dxa"/>
            <w:shd w:val="clear" w:color="auto" w:fill="F2F2F2" w:themeFill="background1" w:themeFillShade="F2"/>
            <w:vAlign w:val="center"/>
          </w:tcPr>
          <w:p w:rsidR="009142F1" w:rsidRDefault="00F4449A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Nazwa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:rsidR="009142F1" w:rsidRDefault="00F4449A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Jednostka miary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142F1" w:rsidRDefault="00F4449A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Ilość</w:t>
            </w:r>
          </w:p>
        </w:tc>
        <w:tc>
          <w:tcPr>
            <w:tcW w:w="5102" w:type="dxa"/>
            <w:shd w:val="clear" w:color="auto" w:fill="F2F2F2" w:themeFill="background1" w:themeFillShade="F2"/>
            <w:vAlign w:val="center"/>
          </w:tcPr>
          <w:p w:rsidR="009142F1" w:rsidRDefault="00F4449A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Minimalne parametry techniczne</w:t>
            </w:r>
          </w:p>
        </w:tc>
        <w:tc>
          <w:tcPr>
            <w:tcW w:w="4927" w:type="dxa"/>
            <w:shd w:val="clear" w:color="auto" w:fill="F2F2F2" w:themeFill="background1" w:themeFillShade="F2"/>
            <w:vAlign w:val="center"/>
          </w:tcPr>
          <w:p w:rsidR="009142F1" w:rsidRDefault="00F4449A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Parametry oferowane przez Wykonawcę</w:t>
            </w:r>
          </w:p>
        </w:tc>
      </w:tr>
      <w:tr w:rsidR="009142F1">
        <w:tc>
          <w:tcPr>
            <w:tcW w:w="506" w:type="dxa"/>
            <w:vAlign w:val="center"/>
          </w:tcPr>
          <w:p w:rsidR="009142F1" w:rsidRDefault="009142F1">
            <w:pPr>
              <w:pStyle w:val="Default"/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9142F1" w:rsidRDefault="00F4449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color w:val="000000"/>
                <w:sz w:val="18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20"/>
              </w:rPr>
              <w:t>Laptop</w:t>
            </w:r>
          </w:p>
        </w:tc>
        <w:tc>
          <w:tcPr>
            <w:tcW w:w="994" w:type="dxa"/>
            <w:vAlign w:val="center"/>
          </w:tcPr>
          <w:p w:rsidR="009142F1" w:rsidRDefault="00F4449A">
            <w:pPr>
              <w:pStyle w:val="Default"/>
              <w:widowControl w:val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708" w:type="dxa"/>
            <w:vAlign w:val="center"/>
          </w:tcPr>
          <w:p w:rsidR="009142F1" w:rsidRDefault="00F4449A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>345</w:t>
            </w:r>
          </w:p>
        </w:tc>
        <w:tc>
          <w:tcPr>
            <w:tcW w:w="5102" w:type="dxa"/>
          </w:tcPr>
          <w:p w:rsidR="009142F1" w:rsidRDefault="00F4449A">
            <w:pPr>
              <w:pStyle w:val="Default"/>
              <w:widowControl w:val="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Typ :</w:t>
            </w:r>
          </w:p>
          <w:p w:rsidR="009142F1" w:rsidRDefault="00F4449A">
            <w:pPr>
              <w:pStyle w:val="Default"/>
              <w:widowControl w:val="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Komputer przenośny</w:t>
            </w:r>
          </w:p>
          <w:p w:rsidR="009142F1" w:rsidRDefault="009142F1">
            <w:pPr>
              <w:pStyle w:val="Default"/>
              <w:widowControl w:val="0"/>
              <w:rPr>
                <w:rFonts w:ascii="Calibri" w:hAnsi="Calibri" w:cs="Calibri"/>
                <w:sz w:val="18"/>
                <w:szCs w:val="20"/>
              </w:rPr>
            </w:pPr>
          </w:p>
          <w:p w:rsidR="009142F1" w:rsidRDefault="00F4449A">
            <w:pPr>
              <w:pStyle w:val="Default"/>
              <w:widowControl w:val="0"/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Zastosowanie:</w:t>
            </w:r>
          </w:p>
          <w:p w:rsidR="009142F1" w:rsidRDefault="00F4449A">
            <w:pPr>
              <w:pStyle w:val="Default"/>
              <w:widowControl w:val="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Komputer przenośny będzie wykorzystywany dla potrzeb aplikacji biurowych, aplikacji edukacyjnych, dostępu do Internetu oraz poczty elektronicznej</w:t>
            </w:r>
          </w:p>
          <w:p w:rsidR="009142F1" w:rsidRDefault="009142F1">
            <w:pPr>
              <w:pStyle w:val="Default"/>
              <w:widowControl w:val="0"/>
              <w:rPr>
                <w:rFonts w:ascii="Calibri" w:hAnsi="Calibri" w:cs="Calibri"/>
                <w:sz w:val="18"/>
                <w:szCs w:val="20"/>
              </w:rPr>
            </w:pPr>
          </w:p>
          <w:p w:rsidR="009142F1" w:rsidRDefault="00F4449A">
            <w:pPr>
              <w:pStyle w:val="Default"/>
              <w:widowControl w:val="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Procesor : </w:t>
            </w:r>
          </w:p>
          <w:p w:rsidR="009142F1" w:rsidRDefault="00F4449A">
            <w:pPr>
              <w:pStyle w:val="Default"/>
              <w:widowControl w:val="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Liczba rdzeni procesora  - min. 2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</w:t>
            </w:r>
          </w:p>
          <w:p w:rsidR="009142F1" w:rsidRDefault="00F4449A">
            <w:pPr>
              <w:pStyle w:val="Default"/>
              <w:widowControl w:val="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Liczba wątków min. 4</w:t>
            </w:r>
          </w:p>
          <w:p w:rsidR="009142F1" w:rsidRDefault="009142F1">
            <w:pPr>
              <w:pStyle w:val="Default"/>
              <w:widowControl w:val="0"/>
              <w:rPr>
                <w:rFonts w:ascii="Calibri" w:hAnsi="Calibri" w:cs="Calibri"/>
                <w:sz w:val="18"/>
                <w:szCs w:val="20"/>
              </w:rPr>
            </w:pPr>
          </w:p>
          <w:p w:rsidR="009142F1" w:rsidRDefault="00F4449A">
            <w:pPr>
              <w:pStyle w:val="Default"/>
              <w:widowControl w:val="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 xml:space="preserve">Procesor osiągający min. 4000 </w:t>
            </w:r>
            <w:proofErr w:type="spellStart"/>
            <w:r>
              <w:rPr>
                <w:rFonts w:ascii="Calibri" w:hAnsi="Calibri" w:cs="Calibri"/>
                <w:sz w:val="18"/>
                <w:szCs w:val="20"/>
              </w:rPr>
              <w:t>pkt</w:t>
            </w:r>
            <w:proofErr w:type="spellEnd"/>
            <w:r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20"/>
              </w:rPr>
              <w:t>PassMark</w:t>
            </w:r>
            <w:proofErr w:type="spellEnd"/>
            <w:r>
              <w:rPr>
                <w:rFonts w:ascii="Calibri" w:hAnsi="Calibri" w:cs="Calibri"/>
                <w:sz w:val="18"/>
                <w:szCs w:val="20"/>
              </w:rPr>
              <w:t xml:space="preserve"> CPU </w:t>
            </w:r>
            <w:proofErr w:type="spellStart"/>
            <w:r>
              <w:rPr>
                <w:rFonts w:ascii="Calibri" w:hAnsi="Calibri" w:cs="Calibri"/>
                <w:sz w:val="18"/>
                <w:szCs w:val="20"/>
              </w:rPr>
              <w:t>Benchmarks</w:t>
            </w:r>
            <w:proofErr w:type="spellEnd"/>
            <w:r>
              <w:rPr>
                <w:rFonts w:ascii="Calibri" w:hAnsi="Calibri" w:cs="Calibri"/>
                <w:sz w:val="18"/>
                <w:szCs w:val="20"/>
              </w:rPr>
              <w:t xml:space="preserve"> </w:t>
            </w:r>
          </w:p>
          <w:p w:rsidR="009142F1" w:rsidRDefault="009142F1">
            <w:pPr>
              <w:pStyle w:val="Default"/>
              <w:widowControl w:val="0"/>
              <w:rPr>
                <w:rFonts w:ascii="Calibri" w:hAnsi="Calibri" w:cs="Calibri"/>
                <w:sz w:val="18"/>
                <w:szCs w:val="20"/>
              </w:rPr>
            </w:pPr>
          </w:p>
          <w:p w:rsidR="009142F1" w:rsidRDefault="00F4449A">
            <w:pPr>
              <w:pStyle w:val="Default"/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(https://www.cpubenchmark.net/laptop.html)</w:t>
            </w:r>
          </w:p>
          <w:p w:rsidR="009142F1" w:rsidRDefault="009142F1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9142F1" w:rsidRDefault="00F4449A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b/>
                <w:bCs/>
                <w:sz w:val="18"/>
                <w:szCs w:val="20"/>
              </w:rPr>
              <w:t>Pamięć operacyjna RAM :</w:t>
            </w:r>
            <w:r>
              <w:rPr>
                <w:rFonts w:ascii="Calibri" w:hAnsi="Calibri" w:cstheme="minorHAnsi"/>
                <w:sz w:val="18"/>
                <w:szCs w:val="20"/>
              </w:rPr>
              <w:t xml:space="preserve"> DDR4, min. 8GB, dwa sloty pamięci z możliwością rozbudowy do min. 16 GB</w:t>
            </w:r>
          </w:p>
          <w:p w:rsidR="009142F1" w:rsidRDefault="009142F1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9142F1" w:rsidRPr="00184AD7" w:rsidRDefault="00F4449A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b/>
                <w:bCs/>
                <w:sz w:val="18"/>
                <w:szCs w:val="20"/>
              </w:rPr>
              <w:t>Dysk</w:t>
            </w:r>
            <w:r w:rsidR="00184AD7">
              <w:rPr>
                <w:rFonts w:ascii="Calibri" w:hAnsi="Calibri" w:cstheme="minorHAnsi"/>
                <w:b/>
                <w:bCs/>
                <w:sz w:val="18"/>
                <w:szCs w:val="20"/>
              </w:rPr>
              <w:t xml:space="preserve"> twardy: </w:t>
            </w:r>
            <w:r w:rsidR="00184AD7">
              <w:rPr>
                <w:rFonts w:ascii="Calibri" w:hAnsi="Calibri" w:cstheme="minorHAnsi"/>
                <w:bCs/>
                <w:sz w:val="18"/>
                <w:szCs w:val="20"/>
              </w:rPr>
              <w:t>SSD o pojemności min. 256 GB</w:t>
            </w:r>
            <w:r w:rsidR="00C37040">
              <w:rPr>
                <w:rFonts w:ascii="Calibri" w:hAnsi="Calibri" w:cstheme="minorHAnsi"/>
                <w:bCs/>
                <w:sz w:val="18"/>
                <w:szCs w:val="20"/>
              </w:rPr>
              <w:t xml:space="preserve"> lub równoważny, za równoważny dysk twardy uzna się : rodzaj dysku </w:t>
            </w:r>
            <w:proofErr w:type="spellStart"/>
            <w:r w:rsidR="00775931">
              <w:rPr>
                <w:rFonts w:ascii="Calibri" w:hAnsi="Calibri" w:cstheme="minorHAnsi"/>
                <w:bCs/>
                <w:sz w:val="18"/>
                <w:szCs w:val="20"/>
              </w:rPr>
              <w:t>NVMe</w:t>
            </w:r>
            <w:proofErr w:type="spellEnd"/>
          </w:p>
          <w:p w:rsidR="009142F1" w:rsidRDefault="009142F1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9142F1" w:rsidRDefault="00F4449A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b/>
                <w:bCs/>
                <w:sz w:val="18"/>
                <w:szCs w:val="20"/>
              </w:rPr>
              <w:t>Matryca :</w:t>
            </w:r>
            <w:r>
              <w:rPr>
                <w:rFonts w:ascii="Calibri" w:hAnsi="Calibri" w:cstheme="minorHAnsi"/>
                <w:sz w:val="18"/>
                <w:szCs w:val="20"/>
              </w:rPr>
              <w:t xml:space="preserve"> Komputer przenośny typu notebook z ekranem nie mniejszym niż 15.6” o rozdzielczości minimalnej FHD (1920 x 1080) z podświetleniem LED, matryca matowa</w:t>
            </w:r>
          </w:p>
          <w:p w:rsidR="009142F1" w:rsidRDefault="009142F1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9142F1" w:rsidRDefault="00F4449A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b/>
                <w:bCs/>
                <w:sz w:val="18"/>
                <w:szCs w:val="20"/>
              </w:rPr>
              <w:t xml:space="preserve">Karta Graficzna: </w:t>
            </w:r>
            <w:r>
              <w:rPr>
                <w:rFonts w:ascii="Calibri" w:hAnsi="Calibri" w:cstheme="minorHAnsi"/>
                <w:sz w:val="18"/>
                <w:szCs w:val="20"/>
              </w:rPr>
              <w:t>zintegrowana z procesorem</w:t>
            </w:r>
          </w:p>
          <w:p w:rsidR="009142F1" w:rsidRDefault="009142F1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9142F1" w:rsidRDefault="00F4449A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b/>
                <w:bCs/>
                <w:sz w:val="18"/>
                <w:szCs w:val="20"/>
              </w:rPr>
              <w:lastRenderedPageBreak/>
              <w:t>Wbudowane porty i multimedia:</w:t>
            </w:r>
            <w:r>
              <w:rPr>
                <w:rFonts w:ascii="Calibri" w:hAnsi="Calibri" w:cstheme="minorHAnsi"/>
                <w:sz w:val="18"/>
                <w:szCs w:val="20"/>
              </w:rPr>
              <w:t xml:space="preserve"> HDMI 1.4 , RJ-45 (karta sieciowa wbudowana) min. 3x USB w tym min. </w:t>
            </w:r>
            <w:r w:rsidR="0022467B">
              <w:rPr>
                <w:rFonts w:ascii="Calibri" w:hAnsi="Calibri" w:cstheme="minorHAnsi"/>
                <w:sz w:val="18"/>
                <w:szCs w:val="20"/>
              </w:rPr>
              <w:t xml:space="preserve">1 port USB 3.1 </w:t>
            </w:r>
            <w:r w:rsidR="00C37040">
              <w:rPr>
                <w:rFonts w:ascii="Calibri" w:hAnsi="Calibri" w:cstheme="minorHAnsi"/>
                <w:sz w:val="18"/>
                <w:szCs w:val="20"/>
              </w:rPr>
              <w:t>typ A</w:t>
            </w:r>
          </w:p>
          <w:p w:rsidR="009142F1" w:rsidRDefault="009142F1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9142F1" w:rsidRDefault="00F4449A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b/>
                <w:bCs/>
                <w:sz w:val="18"/>
                <w:szCs w:val="20"/>
              </w:rPr>
              <w:t>Multimedia :</w:t>
            </w:r>
            <w:r>
              <w:rPr>
                <w:rFonts w:ascii="Calibri" w:hAnsi="Calibri" w:cstheme="minorHAnsi"/>
                <w:sz w:val="18"/>
                <w:szCs w:val="20"/>
              </w:rPr>
              <w:t xml:space="preserve"> min. dwukanałowa karta dźwiękowa zintegrowana z płytą główną, zgodna z High </w:t>
            </w:r>
            <w:proofErr w:type="spellStart"/>
            <w:r>
              <w:rPr>
                <w:rFonts w:ascii="Calibri" w:hAnsi="Calibri" w:cstheme="minorHAnsi"/>
                <w:sz w:val="18"/>
                <w:szCs w:val="20"/>
              </w:rPr>
              <w:t>Definition</w:t>
            </w:r>
            <w:proofErr w:type="spellEnd"/>
            <w:r>
              <w:rPr>
                <w:rFonts w:ascii="Calibri" w:hAnsi="Calibri" w:cstheme="minorHAnsi"/>
                <w:sz w:val="18"/>
                <w:szCs w:val="20"/>
              </w:rPr>
              <w:t>, wbudowane głośniki stereo o średniej mocy min. 2x 2W, mikrofon wbudowany w obudowę matrycy. Kamera internetowa o rozdzielczości min. HD trwale zainstalowana w obudowie matrycy.</w:t>
            </w:r>
          </w:p>
          <w:p w:rsidR="009142F1" w:rsidRDefault="009142F1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9142F1" w:rsidRDefault="00F4449A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Zintegrowana karta sieci WLAN 802.11AC; moduł </w:t>
            </w:r>
            <w:proofErr w:type="spellStart"/>
            <w:r>
              <w:rPr>
                <w:rFonts w:ascii="Calibri" w:hAnsi="Calibri" w:cstheme="minorHAnsi"/>
                <w:sz w:val="18"/>
                <w:szCs w:val="20"/>
              </w:rPr>
              <w:t>Bluetooth</w:t>
            </w:r>
            <w:proofErr w:type="spellEnd"/>
            <w:r>
              <w:rPr>
                <w:rFonts w:ascii="Calibri" w:hAnsi="Calibri" w:cstheme="minorHAnsi"/>
                <w:sz w:val="18"/>
                <w:szCs w:val="20"/>
              </w:rPr>
              <w:t xml:space="preserve">, klawiatura z wydzieloną klawiaturą numeryczną; </w:t>
            </w:r>
            <w:proofErr w:type="spellStart"/>
            <w:r>
              <w:rPr>
                <w:rFonts w:ascii="Calibri" w:hAnsi="Calibri" w:cstheme="minorHAnsi"/>
                <w:sz w:val="18"/>
                <w:szCs w:val="20"/>
              </w:rPr>
              <w:t>touchpad</w:t>
            </w:r>
            <w:proofErr w:type="spellEnd"/>
          </w:p>
          <w:p w:rsidR="009142F1" w:rsidRDefault="009142F1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9142F1" w:rsidRDefault="00F4449A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b/>
                <w:bCs/>
                <w:sz w:val="18"/>
                <w:szCs w:val="20"/>
              </w:rPr>
              <w:t>Bateria i zasilanie</w:t>
            </w:r>
            <w:r>
              <w:rPr>
                <w:rFonts w:ascii="Calibri" w:hAnsi="Calibri" w:cstheme="minorHAnsi"/>
                <w:sz w:val="18"/>
                <w:szCs w:val="20"/>
              </w:rPr>
              <w:t xml:space="preserve"> : czas pracy na baterii min. 3</w:t>
            </w:r>
            <w:r w:rsidR="00B97FE7">
              <w:rPr>
                <w:rFonts w:ascii="Calibri" w:hAnsi="Calibri" w:cstheme="minorHAnsi"/>
                <w:sz w:val="18"/>
                <w:szCs w:val="20"/>
              </w:rPr>
              <w:t>8</w:t>
            </w:r>
            <w:r>
              <w:rPr>
                <w:rFonts w:ascii="Calibri" w:hAnsi="Calibri" w:cstheme="minorHAnsi"/>
                <w:sz w:val="18"/>
                <w:szCs w:val="20"/>
              </w:rPr>
              <w:t>0 minut</w:t>
            </w:r>
          </w:p>
          <w:p w:rsidR="009142F1" w:rsidRDefault="009142F1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9142F1" w:rsidRDefault="00F4449A">
            <w:pPr>
              <w:pStyle w:val="Default"/>
              <w:widowControl w:val="0"/>
              <w:jc w:val="both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Zasilanie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: zasilacz o mocy min. 45W</w:t>
            </w:r>
          </w:p>
          <w:p w:rsidR="009142F1" w:rsidRDefault="009142F1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9142F1" w:rsidRDefault="00F4449A">
            <w:pPr>
              <w:pStyle w:val="Default"/>
              <w:widowControl w:val="0"/>
              <w:jc w:val="both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Waga :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komputer łącznie z oferowaną baterią lub bateria</w:t>
            </w:r>
            <w:r w:rsidR="00B97FE7">
              <w:rPr>
                <w:rFonts w:asciiTheme="minorHAnsi" w:hAnsiTheme="minorHAnsi" w:cstheme="minorHAnsi"/>
                <w:sz w:val="18"/>
                <w:szCs w:val="20"/>
              </w:rPr>
              <w:t>mi nie może ważyć więcej niż 1.8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kg</w:t>
            </w:r>
          </w:p>
          <w:p w:rsidR="009142F1" w:rsidRDefault="009142F1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:rsidR="009142F1" w:rsidRDefault="00F4449A">
            <w:pPr>
              <w:pStyle w:val="Default"/>
              <w:widowControl w:val="0"/>
              <w:jc w:val="both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Oprogramowanie :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Oferowany laptop musi zostać dostarczony z licencją oprogramowania systemu operacyjnego klasy Microsoft Windows 10 Home/Pro Windows 11 Home/Pro. Za równoważny system operacyjny Zamawiający uzna system spełniający następujące minimalne parametry: Możliwość dokonywania aktualizacji i poprawek systemu przez Internet; możliwość dokonywania uaktualnień sterowników urządzeń przez Internet – witrynę producenta systemu; Darmowe aktualizacje w ramach wersji systemu operacyjnego przez Internet (niezbędne aktualizacje, poprawki, biuletyny bezpieczeństwa muszą być dostarczane bez dodatkowych opłat) – wymagane podanie nazwy strony serwera WWW; Internetowa aktualizacja zapewniona w języku polskim; Wbudowana zapora internetowa (firewall) dla ochrony połączeń internetowych; zintegrowana z systemem konsola do zarządzania ustawieniami zapory i regułami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IPSec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v4 i v6; Zlokalizowane w języku polskim, co najmniej następujące elementy: menu, przeglądarka internetowa, pomoc, komunikaty systemowe; Wsparcie dla większości powszechnie używanych urządzeń peryferyjnych (np.: drukarek, urządzeń sieciowych, standardów USB,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Plug&amp;Play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Wi-Fi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); Możliwość zdalnej automatycznej instalacji, konfiguracji, administrowania oraz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aktualizowania systemu; Zabezpieczony hasłem hierarchiczny dostęp do systemu, konta i profile użytkowników zarządzane zdalnie; praca systemu w trybie ochrony kont użytkowników; Zintegrowany z systemem moduł wyszukiwania informacji (plików różnego typu) dostępny z kilku poziomów: poziom menu, poziom otwartego okna systemu operacyjnego; system wyszukiwania oparty na konfigurowalnym przez użytkownika module indeksacji zasobów lokalnych; Zintegrowane z systemem operacyjnym narzędzia zwalczające złośliwe oprogramowanie; aktualizacje dostępne u producenta nieodpłatnie bez ograniczeń czasowych; Wbudowany system pomocy w języku polskim; System operacyjny powinien być wyposażony w możliwość przystosowania stanowiska dla osób niepełnosprawnych (np. słabo widzących); Możliwość zarządzania stacją roboczą poprzez polityki – przez politykę rozumiemy zestaw reguł definiujących lub ograniczających funkcjonalność systemu lub aplikacji; System posiadać powinien narzędzia służące do administracji, do wykonywania kopii zapasowych polityk i ich odtwarzania oraz generowania raportów z ustawień polityk; Zdalna pomoc i współdzielenie aplikacji – możliwość zdalnego przejęcia sesji zalogowanego użytkownika celem rozwiązania problemu z komputerem; Graficzne środowisko instalacji i konfiguracji; Zarządzanie kontami użytkowników sieci oraz urządzeniami sieciowymi tj. drukarki, modemy, woluminy dyskowe, usługi katalogowe; Możliwość przywracania plików systemowych; Możliwość „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downgrade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>” do niższej wersji.</w:t>
            </w:r>
          </w:p>
          <w:p w:rsidR="009142F1" w:rsidRDefault="00F4449A">
            <w:pPr>
              <w:pStyle w:val="Default"/>
              <w:widowControl w:val="0"/>
              <w:jc w:val="both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Oferowany komputer musi zostać dostarczony z bezterminową licencją oprogramowania ułatwiającego współpracę z tabletem i telefonem wyposażonym w system operacyjny Android (od wersji 6) oraz system operacyjny IOS (od wersji 11) umożliwiające w szczególności: bezprzewodowe przenoszenie dokumentów, zdjęć, plików multimedialnych; wysyłanie i odbieranie wiadomości przez telefon z poziomu komputera; odbieranie i wykonywanie połączeń przez telefon z poziomu komputera przy wykorzystaniu głośników i mikrofonu komputerowego; tworzenie kopii lustrzanej telefonu na komputerze.</w:t>
            </w:r>
          </w:p>
          <w:p w:rsidR="009142F1" w:rsidRDefault="009142F1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b/>
                <w:bCs/>
                <w:sz w:val="18"/>
                <w:szCs w:val="20"/>
              </w:rPr>
              <w:t>Gwarancja :</w:t>
            </w:r>
            <w:r>
              <w:rPr>
                <w:rFonts w:ascii="Calibri" w:hAnsi="Calibri" w:cstheme="minorHAnsi"/>
                <w:sz w:val="18"/>
                <w:szCs w:val="20"/>
              </w:rPr>
              <w:t xml:space="preserve"> min </w:t>
            </w:r>
            <w:r w:rsidR="003819FA">
              <w:rPr>
                <w:rFonts w:ascii="Calibri" w:hAnsi="Calibri" w:cstheme="minorHAnsi"/>
                <w:sz w:val="18"/>
                <w:szCs w:val="20"/>
              </w:rPr>
              <w:t>24</w:t>
            </w:r>
            <w:r>
              <w:rPr>
                <w:rFonts w:ascii="Calibri" w:hAnsi="Calibri" w:cstheme="minorHAnsi"/>
                <w:sz w:val="18"/>
                <w:szCs w:val="20"/>
              </w:rPr>
              <w:t xml:space="preserve"> miesięcy gwarancji producenta świadczona na miejscu u użytkownika końcowego. Czas reakcji serwisu – do końca następnego dnia roboczego</w:t>
            </w:r>
          </w:p>
          <w:p w:rsidR="009142F1" w:rsidRDefault="009142F1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9142F1" w:rsidRDefault="007502F3">
            <w:pPr>
              <w:pStyle w:val="Default"/>
              <w:widowControl w:val="0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0"/>
              </w:rPr>
              <w:lastRenderedPageBreak/>
              <w:t>Certyfikaty, oświadczenia i standardy:</w:t>
            </w:r>
          </w:p>
          <w:p w:rsidR="009142F1" w:rsidRDefault="00F4449A">
            <w:pPr>
              <w:widowControl w:val="0"/>
              <w:numPr>
                <w:ilvl w:val="0"/>
                <w:numId w:val="2"/>
              </w:numPr>
              <w:suppressAutoHyphens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Certyfikat ISO 9001 dla producenta sprzętu (należy załączyć do oferty)</w:t>
            </w:r>
          </w:p>
          <w:p w:rsidR="0037761C" w:rsidRDefault="00F4449A" w:rsidP="0037761C">
            <w:pPr>
              <w:widowControl w:val="0"/>
              <w:numPr>
                <w:ilvl w:val="0"/>
                <w:numId w:val="2"/>
              </w:numPr>
              <w:suppressAutoHyphens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Certyfikat ISO 14001 dla producenta sprzętu (należy załączyć do oferty)</w:t>
            </w:r>
          </w:p>
          <w:p w:rsidR="007502F3" w:rsidRPr="0037761C" w:rsidRDefault="007502F3" w:rsidP="0037761C">
            <w:pPr>
              <w:widowControl w:val="0"/>
              <w:numPr>
                <w:ilvl w:val="0"/>
                <w:numId w:val="2"/>
              </w:numPr>
              <w:suppressAutoHyphens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Urządzenia muszą być wyprodukowane nie wcześniej niż w 2020 r. wolne od wad prawnych i fizycznych i gotowe po zainstalowaniu do eksploatacji bez żadnych dodatkowych zakupów i inwestycji oraz zgodne z zaleceniami, normami i obowiązującymi wymag</w:t>
            </w:r>
            <w:r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>niami techniczno – eksploatacyjnymi obowiązującymi na terenie Rzeczypospolitej Polskiej, ponadto winno cechować się wysoką jakością wykonania</w:t>
            </w:r>
          </w:p>
          <w:p w:rsidR="009142F1" w:rsidRDefault="00F4449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000000"/>
                <w:sz w:val="18"/>
                <w:szCs w:val="18"/>
              </w:rPr>
              <w:t>Deklaracja zgodności CE (załączyć do oferty)</w:t>
            </w:r>
          </w:p>
        </w:tc>
        <w:tc>
          <w:tcPr>
            <w:tcW w:w="4927" w:type="dxa"/>
          </w:tcPr>
          <w:p w:rsidR="009142F1" w:rsidRDefault="009142F1">
            <w:pPr>
              <w:pStyle w:val="Default"/>
              <w:widowControl w:val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</w:tbl>
    <w:p w:rsidR="009142F1" w:rsidRDefault="009142F1">
      <w:pPr>
        <w:spacing w:after="0" w:line="240" w:lineRule="auto"/>
        <w:jc w:val="both"/>
        <w:rPr>
          <w:rFonts w:ascii="Calibri" w:eastAsia="Calibri" w:hAnsi="Calibri" w:cs="Calibri"/>
          <w:i/>
          <w:iCs/>
          <w:color w:val="548DD4"/>
        </w:rPr>
      </w:pPr>
    </w:p>
    <w:tbl>
      <w:tblPr>
        <w:tblStyle w:val="Tabela-Siatka"/>
        <w:tblW w:w="13994" w:type="dxa"/>
        <w:tblLayout w:type="fixed"/>
        <w:tblLook w:val="04A0"/>
      </w:tblPr>
      <w:tblGrid>
        <w:gridCol w:w="507"/>
        <w:gridCol w:w="1755"/>
        <w:gridCol w:w="995"/>
        <w:gridCol w:w="708"/>
        <w:gridCol w:w="5101"/>
        <w:gridCol w:w="4928"/>
      </w:tblGrid>
      <w:tr w:rsidR="009142F1">
        <w:tc>
          <w:tcPr>
            <w:tcW w:w="506" w:type="dxa"/>
            <w:vAlign w:val="center"/>
          </w:tcPr>
          <w:p w:rsidR="009142F1" w:rsidRDefault="009142F1">
            <w:pPr>
              <w:pStyle w:val="Default"/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9142F1" w:rsidRDefault="00F4449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color w:val="000000"/>
                <w:sz w:val="18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20"/>
              </w:rPr>
              <w:t>Oprogramowanie pakiet biurowy</w:t>
            </w:r>
          </w:p>
        </w:tc>
        <w:tc>
          <w:tcPr>
            <w:tcW w:w="995" w:type="dxa"/>
            <w:vAlign w:val="center"/>
          </w:tcPr>
          <w:p w:rsidR="009142F1" w:rsidRDefault="00F4449A">
            <w:pPr>
              <w:pStyle w:val="Default"/>
              <w:widowControl w:val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708" w:type="dxa"/>
            <w:vAlign w:val="center"/>
          </w:tcPr>
          <w:p w:rsidR="009142F1" w:rsidRDefault="00F4449A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>345</w:t>
            </w:r>
          </w:p>
        </w:tc>
        <w:tc>
          <w:tcPr>
            <w:tcW w:w="5101" w:type="dxa"/>
          </w:tcPr>
          <w:p w:rsidR="009142F1" w:rsidRDefault="00F4449A">
            <w:pPr>
              <w:pStyle w:val="Default"/>
              <w:widowControl w:val="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Oferowany komputer musi zostać dostarczony z bezterminową licencją oprogramowania pakietu biurowego klasy Microsoft Office 2021 lub równoważny. Za równoważny system pakietu biurowego Zamawiający uzna system spełniający następujące minimalne parametry: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    a. Dostawa pełnej polskiej wersji językowej interfejsu użytkownika, w tym także systemu interaktywnej pomocy w języku polskim. Pakiet powinien mieć system aktualizacji darmowych poprawek bezpieczeństwa, przy czym komunikacja z użytkownikiem powinna odbywać się w języku polskim. Dostępność w Internecie na stronach producenta biuletynów technicznych, w tym opisów poprawek bezpieczeństwa, w języku polskim, a także telefonicznej pomocy technicznej producenta pakietu biurowego świadczonej w języku polskim w dni robocze w godzinach pracy Urzędu – cena połączenia nie większa niż cena połączenia lokalnego. Publicznie znany cykl życia przedstawiony przez producenta dotyczący rozwoju i wsparcia technicznego – w szczególności w zakresie bezpieczeństwa co najmniej 5 lat od daty zakupu. Możliwość dostosowania pakietu aplikacji biurowych do pracy dla osób niepełnosprawnych np. słabo widzących, zgodnie z wymogami Krajowych Ram </w:t>
            </w:r>
            <w:proofErr w:type="spellStart"/>
            <w:r>
              <w:rPr>
                <w:rFonts w:ascii="Calibri" w:hAnsi="Calibri" w:cstheme="minorHAnsi"/>
                <w:sz w:val="18"/>
                <w:szCs w:val="20"/>
              </w:rPr>
              <w:t>Interoperacyjności</w:t>
            </w:r>
            <w:proofErr w:type="spellEnd"/>
            <w:r>
              <w:rPr>
                <w:rFonts w:ascii="Calibri" w:hAnsi="Calibri" w:cstheme="minorHAnsi"/>
                <w:sz w:val="18"/>
                <w:szCs w:val="20"/>
              </w:rPr>
              <w:t xml:space="preserve"> (WCAG 2.0).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    b. Zintegrowany pakiet aplikacji biurowych musi zawierać co najmniej: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lastRenderedPageBreak/>
              <w:t xml:space="preserve">    • edytor tekstów,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arkusz kalkulacyjny,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narzędzie do przygotowania i prowadzenia prezentacji,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narzędzie do zarządzania informacją osobistą (pocztą elektroniczną, kalendarzem, kontaktami i zadaniami).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    c. Edytor tekstów musi umożliwiać co najmniej: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Edycję i formatowanie tekstu w języku polskim wraz z obsługą języka polskiego w zakresie sprawdzania pisowni i poprawności gramatycznej oraz funkcjonalnością słownika wyrazów bliskoznacznych i autokorekty.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Wstawianie oraz formatowanie tabel.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Wstawianie oraz formatowanie obiektów graficznych.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Wstawianie wykresów i tabel z arkusza kalkulacyjnego (wliczając tabele przestawne).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Automatyczne numerowanie rozdziałów, punktów, akapitów, tabel i rysunków.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Automatyczne tworzenie spisów treści.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Formatowanie nagłówków i stopek stron.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Śledzenie i porównywanie zmian wprowadzonych przez użytkowników w dokumencie.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Nagrywanie, tworzenie i edycję makr automatyzujących wykonywanie czynności.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Określenie układu strony (pionowa/pozioma).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Wydruk dokumentów.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Wykonywanie korespondencji seryjnej bazując na danych adresowych pochodzących z arkusza kalkulacyjnego i z narzędzia do zarządzania informacją prywatną.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Zabezpieczenie dokumentów hasłem przed odczytem oraz przed wprowadzaniem modyfikacji.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Wymagana jest dostępność do oferowanego edytora tekstu bezpłatnych narzędzi umożliwiających podpisanie podpisem elektronicznym pliku z zapisanym dokumentem przy pomocy certyfikatu kwalifikowanego zgodnie z wymaganiami obowiązującego w Polsce prawa.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    d. Arkusz kalkulacyjny musi umożliwiać co najmniej: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Tworzenie raportów tabelarycznych.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Tworzenie wykresów liniowych (wraz linią trendu), słupkowych, kołowych.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Tworzenie arkuszy kalkulacyjnych zawierających teksty, dane liczbowe oraz formuły przeprowadzające operacje matematyczne, logiczne, tekstowe, statystyczne oraz operacje na danych </w:t>
            </w:r>
            <w:r>
              <w:rPr>
                <w:rFonts w:ascii="Calibri" w:hAnsi="Calibri" w:cstheme="minorHAnsi"/>
                <w:sz w:val="18"/>
                <w:szCs w:val="20"/>
              </w:rPr>
              <w:lastRenderedPageBreak/>
              <w:t>finansowych i na miarach czasu.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Tworzenie raportów z zewnętrznych źródeł danych (inne arkusze kalkulacyjne, bazy danych zgodne z ODBC, pliki tekstowe, pliki XML, </w:t>
            </w:r>
            <w:proofErr w:type="spellStart"/>
            <w:r>
              <w:rPr>
                <w:rFonts w:ascii="Calibri" w:hAnsi="Calibri" w:cstheme="minorHAnsi"/>
                <w:sz w:val="18"/>
                <w:szCs w:val="20"/>
              </w:rPr>
              <w:t>webservice</w:t>
            </w:r>
            <w:proofErr w:type="spellEnd"/>
            <w:r>
              <w:rPr>
                <w:rFonts w:ascii="Calibri" w:hAnsi="Calibri" w:cstheme="minorHAnsi"/>
                <w:sz w:val="18"/>
                <w:szCs w:val="20"/>
              </w:rPr>
              <w:t>).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Obsługę kostek OLAP oraz tworzenie i edycję kwerend bazodanowych i webowych.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Narzędzia wspomagające analizę statystyczną i finansową, analizę wariantową i rozwiązywanie problemów optymalizacyjnych.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Tworzenie raportów tabeli przestawnych umożliwiających dynamiczną zmianę wymiarów oraz wykresów bazujących na danych z tabeli przestawnych.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Wyszukiwanie i zamianę danych.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Wykonywanie analiz danych przy użyciu formatowania warunkowego.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Nazywanie komórek arkusza i odwoływanie się w formułach po takiej nazwie.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Nagrywanie, tworzenie i edycję makr automatyzujących wykonywanie czynności.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Formatowanie czasu, daty i wartości finansowych z polskim formatem.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Zapis wielu arkuszy kalkulacyjnych w jednym pliku.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Zabezpieczenie dokumentów hasłem przed odczytem oraz przed wprowadzaniem modyfikacji.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    e. Narzędzie do przygotowywania i prowadzenia prezentacji musi umożliwiać co najmniej: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Przygotowywanie prezentacji multimedialnych, które mogą być prezentowanie przy użyciu projektora multimedialnego.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Drukowanie w formacie umożliwiającym robienie notatek.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Zapisanie jako prezentacja tylko do odczytu.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Nagrywanie narracji i dołączanie jej do prezentacji.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Opatrywanie slajdów notatkami dla prezentera.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Umieszczanie i formatowanie tekstów, obiektów graficznych, tabel, nagrań dźwiękowych i wideo.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Umieszczanie tabel i wykresów pochodzących z arkusza kalkulacyjnego.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Odświeżenie wykresu znajdującego się w prezentacji po zmianie danych w źródłowym arkuszu kalkulacyjnym.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Możliwość tworzenia animacji obiektów i całych slajdów.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Prowadzenie prezentacji w trybie prezentera, gdzie slajdy są widoczne na jednym monitorze lub projektorze, a na drugim </w:t>
            </w:r>
            <w:r>
              <w:rPr>
                <w:rFonts w:ascii="Calibri" w:hAnsi="Calibri" w:cstheme="minorHAnsi"/>
                <w:sz w:val="18"/>
                <w:szCs w:val="20"/>
              </w:rPr>
              <w:lastRenderedPageBreak/>
              <w:t>widoczne są slajdy i notatki prezentera.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    f. Narzędzie do zarządzania informacją prywatną (pocztą elektroniczną, kalendarzem, kontaktami i zadaniami) musi umożliwiać: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Pobieranie i wysyłanie poczty elektronicznej z serwera pocztowego.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Przechowywanie wiadomości na serwerze lub w lokalnym pliku tworzonym z zastosowaniem efektywnej kompresji danych.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Filtrowanie niechcianej poczty elektronicznej (SPAM) oraz określanie listy zablokowanych i bezpiecznych nadawców.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Tworzenie katalogów, pozwalających katalogować pocztę elektroniczną.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Automatyczne grupowanie poczty o tym samym tytule.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Tworzenie reguł przenoszących automatycznie nową pocztę elektroniczną do określonych katalogów bazując na słowach zawartych w tytule, adresie nadawcy i odbiorcy.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Oflagowanie poczty elektronicznej z określeniem terminu przypomnienia, oddzielnie dla nadawcy i adresatów.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Mechanizm ustalania liczby wiadomości, które mają być synchronizowane lokalnie.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Zarządzanie kalendarzem.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Udostępnianie kalendarza innym użytkownikom z możliwością określania uprawnień użytkowników.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Przeglądanie kalendarza innych użytkowników.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Zapraszanie uczestników na spotkanie, co po ich akceptacji powoduje automatyczne wprowadzenie spotkania w ich kalendarzach.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Zarządzanie listą zadań, zlecanie zadań innym użytkownikom.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Zarządzanie listą kontaktów.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Udostępnianie listy kontaktów innym użytkownikom.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Przeglądanie listy kontaktów innych użytkowników.</w:t>
            </w:r>
          </w:p>
          <w:p w:rsidR="009142F1" w:rsidRDefault="00F4449A">
            <w:pPr>
              <w:pStyle w:val="Default"/>
              <w:widowControl w:val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Calibri" w:hAnsi="Calibri" w:cstheme="minorHAnsi"/>
                <w:sz w:val="18"/>
                <w:szCs w:val="20"/>
              </w:rPr>
              <w:t xml:space="preserve">    • Możliwość przesyłania kontaktów innym użytkowników</w:t>
            </w:r>
          </w:p>
        </w:tc>
        <w:tc>
          <w:tcPr>
            <w:tcW w:w="4928" w:type="dxa"/>
          </w:tcPr>
          <w:p w:rsidR="009142F1" w:rsidRDefault="009142F1">
            <w:pPr>
              <w:pStyle w:val="Default"/>
              <w:widowControl w:val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</w:tbl>
    <w:p w:rsidR="009142F1" w:rsidRDefault="00F4449A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</w:rPr>
      </w:pPr>
      <w:r>
        <w:rPr>
          <w:rFonts w:eastAsia="Calibri" w:cs="Calibri"/>
          <w:i/>
          <w:iCs/>
          <w:color w:val="548DD4"/>
        </w:rPr>
        <w:lastRenderedPageBreak/>
        <w:t xml:space="preserve">Dokument należy podpisać kwalifikowanym podpisem </w:t>
      </w:r>
    </w:p>
    <w:p w:rsidR="009142F1" w:rsidRDefault="00C92D41">
      <w:pPr>
        <w:spacing w:after="0" w:line="240" w:lineRule="auto"/>
        <w:jc w:val="right"/>
        <w:rPr>
          <w:rFonts w:eastAsia="Calibri" w:cs="Calibri"/>
          <w:i/>
          <w:iCs/>
          <w:color w:val="548DD4"/>
        </w:rPr>
      </w:pPr>
      <w:r>
        <w:rPr>
          <w:rFonts w:eastAsia="Calibri" w:cs="Calibri"/>
          <w:i/>
          <w:iCs/>
          <w:color w:val="548DD4"/>
        </w:rPr>
        <w:t>E</w:t>
      </w:r>
      <w:r w:rsidR="00F4449A">
        <w:rPr>
          <w:rFonts w:eastAsia="Calibri" w:cs="Calibri"/>
          <w:i/>
          <w:iCs/>
          <w:color w:val="548DD4"/>
        </w:rPr>
        <w:t>lektronicznym</w:t>
      </w:r>
    </w:p>
    <w:p w:rsidR="00C92D41" w:rsidRDefault="00C92D41">
      <w:pPr>
        <w:spacing w:after="0" w:line="240" w:lineRule="auto"/>
        <w:jc w:val="right"/>
        <w:rPr>
          <w:rFonts w:eastAsia="Calibri" w:cs="Calibri"/>
          <w:i/>
          <w:iCs/>
          <w:color w:val="548DD4"/>
        </w:rPr>
      </w:pPr>
    </w:p>
    <w:p w:rsidR="00C92D41" w:rsidRDefault="00C92D41">
      <w:pPr>
        <w:spacing w:after="0" w:line="240" w:lineRule="auto"/>
        <w:jc w:val="right"/>
        <w:rPr>
          <w:rFonts w:eastAsia="Calibri" w:cs="Calibri"/>
          <w:i/>
          <w:iCs/>
          <w:color w:val="548DD4"/>
        </w:rPr>
      </w:pPr>
    </w:p>
    <w:p w:rsidR="00C92D41" w:rsidRDefault="00C92D41">
      <w:pPr>
        <w:spacing w:after="0" w:line="240" w:lineRule="auto"/>
        <w:jc w:val="right"/>
        <w:rPr>
          <w:rFonts w:eastAsia="Calibri" w:cs="Calibri"/>
          <w:i/>
          <w:iCs/>
          <w:color w:val="548DD4"/>
        </w:rPr>
      </w:pPr>
    </w:p>
    <w:p w:rsidR="00C92D41" w:rsidRDefault="00C92D41">
      <w:pPr>
        <w:spacing w:after="0" w:line="240" w:lineRule="auto"/>
        <w:jc w:val="right"/>
        <w:rPr>
          <w:rFonts w:eastAsia="Calibri" w:cs="Calibri"/>
          <w:i/>
          <w:iCs/>
          <w:color w:val="548DD4"/>
        </w:rPr>
      </w:pPr>
    </w:p>
    <w:p w:rsidR="00C92D41" w:rsidRDefault="00C92D41">
      <w:pPr>
        <w:spacing w:after="0" w:line="240" w:lineRule="auto"/>
        <w:jc w:val="right"/>
        <w:rPr>
          <w:rFonts w:eastAsia="Calibri" w:cs="Calibri"/>
          <w:i/>
          <w:iCs/>
          <w:color w:val="548DD4"/>
        </w:rPr>
      </w:pPr>
    </w:p>
    <w:p w:rsidR="00C92D41" w:rsidRDefault="00C92D41" w:rsidP="00C92D41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lastRenderedPageBreak/>
        <w:t xml:space="preserve">Działanie jest finansowane w ramach Programu Operacyjnego Polska Cyfrowa na lata 2014-2020 Osi Priorytetowej V Rozwój cyfrowy JST oraz wzmocnienie cyfrowej odporności na zagrożenia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REACT-EU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działania 5.1 Rozwój cyfrowy JST oraz wzmocnienie cyfrowej odporności na zagrożenia dotycząca realizacji projektu grantowego „Wsparcie dzieci z rodzin pegeerowskich w rozwoju cyfrowym – Granty PPGR”</w:t>
      </w:r>
    </w:p>
    <w:p w:rsidR="00C92D41" w:rsidRDefault="00C92D41" w:rsidP="00C92D41">
      <w:pPr>
        <w:spacing w:after="0" w:line="240" w:lineRule="auto"/>
        <w:ind w:right="13153"/>
        <w:jc w:val="right"/>
        <w:rPr>
          <w:rFonts w:ascii="Calibri" w:eastAsia="Times New Roman" w:hAnsi="Calibri" w:cs="Times New Roman"/>
          <w:lang w:eastAsia="pl-PL"/>
        </w:rPr>
      </w:pPr>
    </w:p>
    <w:sectPr w:rsidR="00C92D41" w:rsidSect="009142F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2F3" w:rsidRDefault="007502F3" w:rsidP="009142F1">
      <w:pPr>
        <w:spacing w:after="0" w:line="240" w:lineRule="auto"/>
      </w:pPr>
      <w:r>
        <w:separator/>
      </w:r>
    </w:p>
  </w:endnote>
  <w:endnote w:type="continuationSeparator" w:id="1">
    <w:p w:rsidR="007502F3" w:rsidRDefault="007502F3" w:rsidP="0091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2F3" w:rsidRDefault="007502F3">
    <w:pPr>
      <w:pStyle w:val="Header"/>
      <w:tabs>
        <w:tab w:val="clear" w:pos="4536"/>
        <w:tab w:val="clear" w:pos="9072"/>
      </w:tabs>
      <w:jc w:val="center"/>
      <w:rPr>
        <w:rFonts w:cstheme="minorHAnsi"/>
        <w:color w:val="FF0000"/>
        <w:sz w:val="18"/>
        <w:szCs w:val="20"/>
      </w:rPr>
    </w:pPr>
  </w:p>
  <w:p w:rsidR="007502F3" w:rsidRDefault="007502F3">
    <w:pPr>
      <w:pStyle w:val="Header"/>
      <w:tabs>
        <w:tab w:val="clear" w:pos="4536"/>
        <w:tab w:val="clear" w:pos="9072"/>
      </w:tabs>
      <w:jc w:val="center"/>
      <w:rPr>
        <w:rFonts w:cstheme="minorHAnsi"/>
        <w:sz w:val="18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2F3" w:rsidRDefault="007502F3" w:rsidP="009142F1">
      <w:pPr>
        <w:spacing w:after="0" w:line="240" w:lineRule="auto"/>
      </w:pPr>
      <w:r>
        <w:separator/>
      </w:r>
    </w:p>
  </w:footnote>
  <w:footnote w:type="continuationSeparator" w:id="1">
    <w:p w:rsidR="007502F3" w:rsidRDefault="007502F3" w:rsidP="00914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2F3" w:rsidRDefault="007502F3">
    <w:pPr>
      <w:pStyle w:val="Header"/>
    </w:pPr>
    <w:r>
      <w:rPr>
        <w:noProof/>
        <w:lang w:eastAsia="pl-PL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52705</wp:posOffset>
          </wp:positionH>
          <wp:positionV relativeFrom="paragraph">
            <wp:posOffset>-201930</wp:posOffset>
          </wp:positionV>
          <wp:extent cx="5803900" cy="552450"/>
          <wp:effectExtent l="19050" t="0" r="6350" b="0"/>
          <wp:wrapSquare wrapText="largest"/>
          <wp:docPr id="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039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502F3" w:rsidRDefault="007502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C000B"/>
    <w:multiLevelType w:val="multilevel"/>
    <w:tmpl w:val="CE3681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853AA3"/>
    <w:multiLevelType w:val="multilevel"/>
    <w:tmpl w:val="74BCC8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71E76A97"/>
    <w:multiLevelType w:val="multilevel"/>
    <w:tmpl w:val="CCA8E5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9142F1"/>
    <w:rsid w:val="0007115A"/>
    <w:rsid w:val="000A153A"/>
    <w:rsid w:val="000F6AFB"/>
    <w:rsid w:val="00112C3F"/>
    <w:rsid w:val="0011588C"/>
    <w:rsid w:val="00184AD7"/>
    <w:rsid w:val="00204C10"/>
    <w:rsid w:val="0022467B"/>
    <w:rsid w:val="0027064D"/>
    <w:rsid w:val="0037761C"/>
    <w:rsid w:val="003819FA"/>
    <w:rsid w:val="004038A7"/>
    <w:rsid w:val="004C18D7"/>
    <w:rsid w:val="005519B5"/>
    <w:rsid w:val="00587704"/>
    <w:rsid w:val="005B10C9"/>
    <w:rsid w:val="007502F3"/>
    <w:rsid w:val="00752F39"/>
    <w:rsid w:val="00765794"/>
    <w:rsid w:val="00775931"/>
    <w:rsid w:val="008B1659"/>
    <w:rsid w:val="009142F1"/>
    <w:rsid w:val="00A82D3E"/>
    <w:rsid w:val="00B97FE7"/>
    <w:rsid w:val="00C37040"/>
    <w:rsid w:val="00C92D41"/>
    <w:rsid w:val="00D933BF"/>
    <w:rsid w:val="00E576C8"/>
    <w:rsid w:val="00F4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D4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405E6"/>
  </w:style>
  <w:style w:type="character" w:customStyle="1" w:styleId="StopkaZnak">
    <w:name w:val="Stopka Znak"/>
    <w:basedOn w:val="Domylnaczcionkaakapitu"/>
    <w:link w:val="Footer"/>
    <w:uiPriority w:val="99"/>
    <w:qFormat/>
    <w:rsid w:val="006405E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5A27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4E44BD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9142F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E44BD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F7086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7086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41B09"/>
    <w:rPr>
      <w:b/>
      <w:bCs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5D7C0D"/>
    <w:rPr>
      <w:color w:val="954F72" w:themeColor="followedHyperlink"/>
      <w:u w:val="single"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2C2FBC"/>
    <w:rPr>
      <w:sz w:val="20"/>
      <w:szCs w:val="20"/>
    </w:rPr>
  </w:style>
  <w:style w:type="character" w:customStyle="1" w:styleId="Zakotwiczenieprzypisukocowego">
    <w:name w:val="Zakotwiczenie przypisu końcowego"/>
    <w:rsid w:val="009142F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2C2FBC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rsid w:val="009142F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142F1"/>
    <w:pPr>
      <w:spacing w:after="140" w:line="276" w:lineRule="auto"/>
    </w:pPr>
  </w:style>
  <w:style w:type="paragraph" w:styleId="Lista">
    <w:name w:val="List"/>
    <w:basedOn w:val="Tekstpodstawowy"/>
    <w:rsid w:val="009142F1"/>
    <w:rPr>
      <w:rFonts w:cs="Arial"/>
    </w:rPr>
  </w:style>
  <w:style w:type="paragraph" w:customStyle="1" w:styleId="Caption">
    <w:name w:val="Caption"/>
    <w:basedOn w:val="Normalny"/>
    <w:qFormat/>
    <w:rsid w:val="009142F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142F1"/>
    <w:pPr>
      <w:suppressLineNumbers/>
    </w:pPr>
    <w:rPr>
      <w:rFonts w:cs="Arial"/>
    </w:rPr>
  </w:style>
  <w:style w:type="paragraph" w:customStyle="1" w:styleId="Default">
    <w:name w:val="Default"/>
    <w:qFormat/>
    <w:rsid w:val="006405E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  <w:rsid w:val="009142F1"/>
  </w:style>
  <w:style w:type="paragraph" w:customStyle="1" w:styleId="Header">
    <w:name w:val="Header"/>
    <w:basedOn w:val="Normalny"/>
    <w:link w:val="NagwekZnak"/>
    <w:uiPriority w:val="99"/>
    <w:unhideWhenUsed/>
    <w:rsid w:val="006405E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6405E6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C5F9F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5A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4E44B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0">
    <w:name w:val="default"/>
    <w:basedOn w:val="Normalny"/>
    <w:qFormat/>
    <w:rsid w:val="00A82D41"/>
    <w:pPr>
      <w:spacing w:beforeAutospacing="1" w:afterAutospacing="1" w:line="240" w:lineRule="auto"/>
    </w:pPr>
    <w:rPr>
      <w:rFonts w:ascii="Calibri" w:hAnsi="Calibri" w:cs="Calibri"/>
      <w:color w:val="000000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D41B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2C2FBC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9A0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semiHidden/>
    <w:unhideWhenUsed/>
    <w:rsid w:val="00F44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F444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1919</Words>
  <Characters>11515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dc:description/>
  <cp:lastModifiedBy>anna.mykowska</cp:lastModifiedBy>
  <cp:revision>34</cp:revision>
  <dcterms:created xsi:type="dcterms:W3CDTF">2021-07-13T10:34:00Z</dcterms:created>
  <dcterms:modified xsi:type="dcterms:W3CDTF">2022-06-10T05:54:00Z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