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4CD2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theme="majorBidi"/>
          <w:b/>
          <w:bCs/>
        </w:rPr>
        <w:t>Opis Przedmiotu Zamówienia - Dostawa sprzętu medyczno-diagnostycznego Zadanie 1</w:t>
      </w:r>
    </w:p>
    <w:p w14:paraId="5D98F731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 a do SWZ</w:t>
      </w:r>
    </w:p>
    <w:p w14:paraId="50500A03" w14:textId="77777777" w:rsidR="00510BA0" w:rsidRDefault="00510BA0">
      <w:pPr>
        <w:jc w:val="right"/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6F0B5082" w14:textId="77777777">
        <w:tc>
          <w:tcPr>
            <w:tcW w:w="620" w:type="dxa"/>
            <w:vAlign w:val="center"/>
          </w:tcPr>
          <w:p w14:paraId="299CEE8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vAlign w:val="center"/>
          </w:tcPr>
          <w:p w14:paraId="047892C9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20A3CA4A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4694453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4130EC2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0CE0A0D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2085FCB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vAlign w:val="center"/>
          </w:tcPr>
          <w:p w14:paraId="4F3CD85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6C435B1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7B6A2B60" w14:textId="77777777">
        <w:tc>
          <w:tcPr>
            <w:tcW w:w="620" w:type="dxa"/>
            <w:vAlign w:val="center"/>
          </w:tcPr>
          <w:p w14:paraId="201C7780" w14:textId="77777777" w:rsidR="00510BA0" w:rsidRDefault="00000000">
            <w:pPr>
              <w:widowControl w:val="0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 w:cstheme="majorBidi"/>
              </w:rPr>
              <w:t>1.</w:t>
            </w:r>
          </w:p>
        </w:tc>
        <w:tc>
          <w:tcPr>
            <w:tcW w:w="7112" w:type="dxa"/>
            <w:vAlign w:val="center"/>
          </w:tcPr>
          <w:p w14:paraId="7F212F1B" w14:textId="77777777" w:rsidR="00510BA0" w:rsidRDefault="00000000">
            <w:pPr>
              <w:widowControl w:val="0"/>
              <w:rPr>
                <w:rFonts w:cs="DejaVu Sans"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>Aparat USG do podawania toksyny botulinowej z głowicą liniową</w:t>
            </w:r>
          </w:p>
        </w:tc>
        <w:tc>
          <w:tcPr>
            <w:tcW w:w="822" w:type="dxa"/>
            <w:vAlign w:val="center"/>
          </w:tcPr>
          <w:p w14:paraId="37191532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584EF8B4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68A7ED8D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0D51241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7CE29FCE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1D19A20A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3D823CA1" w14:textId="77777777">
        <w:trPr>
          <w:trHeight w:val="343"/>
        </w:trPr>
        <w:tc>
          <w:tcPr>
            <w:tcW w:w="620" w:type="dxa"/>
            <w:vAlign w:val="center"/>
          </w:tcPr>
          <w:p w14:paraId="330F0899" w14:textId="77777777" w:rsidR="00510BA0" w:rsidRDefault="00000000">
            <w:pPr>
              <w:widowControl w:val="0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 w:cstheme="majorBidi"/>
              </w:rPr>
              <w:t>2.</w:t>
            </w:r>
          </w:p>
        </w:tc>
        <w:tc>
          <w:tcPr>
            <w:tcW w:w="7112" w:type="dxa"/>
            <w:vAlign w:val="center"/>
          </w:tcPr>
          <w:p w14:paraId="62C99FD6" w14:textId="77777777" w:rsidR="00510BA0" w:rsidRDefault="00000000">
            <w:pPr>
              <w:widowControl w:val="0"/>
              <w:rPr>
                <w:rFonts w:cs="DejaVu Sans"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 xml:space="preserve">Aparat USG klasy </w:t>
            </w:r>
            <w:proofErr w:type="spellStart"/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>premium</w:t>
            </w:r>
            <w:proofErr w:type="spellEnd"/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 xml:space="preserve"> z technologią Dopplerowską</w:t>
            </w:r>
          </w:p>
        </w:tc>
        <w:tc>
          <w:tcPr>
            <w:tcW w:w="822" w:type="dxa"/>
            <w:vAlign w:val="center"/>
          </w:tcPr>
          <w:p w14:paraId="6C05AECE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310FFB6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4D2CDE9C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4D64DCFD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317EB957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659919DE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85CC44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9E3B9AE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20571DC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91E45C4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29674E51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7B34324B" w14:textId="77777777" w:rsidR="00510BA0" w:rsidRDefault="00000000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1C7A6248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1E192186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4527E27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6274EA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D009C8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B81D4A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C84DA2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5570B7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75F458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CFBCE9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3327D8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306A73F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14AD16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4F90F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D7930F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D57716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EA5F7C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01F36E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889284F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0DC3EF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C690CAF" w14:textId="77777777" w:rsidR="00510BA0" w:rsidRDefault="00510BA0">
      <w:pPr>
        <w:rPr>
          <w:color w:val="000000"/>
          <w:sz w:val="22"/>
        </w:rPr>
      </w:pPr>
    </w:p>
    <w:p w14:paraId="251865D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40717B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F265719" w14:textId="77777777" w:rsidR="00510BA0" w:rsidRDefault="00000000">
      <w:pPr>
        <w:rPr>
          <w:rStyle w:val="Pogrubienie"/>
          <w:rFonts w:ascii="Cambria" w:eastAsia="Times New Roman" w:hAnsi="Cambria" w:cs="Cambria"/>
          <w:iCs/>
          <w:color w:val="000000"/>
        </w:rPr>
      </w:pPr>
      <w:r>
        <w:rPr>
          <w:rFonts w:ascii="Times New Roman" w:hAnsi="Times New Roman" w:cstheme="majorBidi"/>
          <w:b/>
          <w:bCs/>
        </w:rPr>
        <w:t xml:space="preserve">Opis Przedmiotu Zamówienia – </w:t>
      </w:r>
      <w:r>
        <w:rPr>
          <w:rStyle w:val="Pogrubienie"/>
          <w:rFonts w:ascii="Cambria" w:eastAsia="Times New Roman" w:hAnsi="Cambria" w:cs="Cambria"/>
          <w:iCs/>
          <w:color w:val="000000"/>
        </w:rPr>
        <w:t>Dostawa sprzętu medycznego oraz mebli medycznych na Oddział Intensywnej Terapii Zadanie 2</w:t>
      </w:r>
    </w:p>
    <w:p w14:paraId="4CE81EB7" w14:textId="77777777" w:rsidR="00510BA0" w:rsidRDefault="00510BA0">
      <w:pPr>
        <w:rPr>
          <w:rStyle w:val="Pogrubienie"/>
          <w:rFonts w:ascii="Cambria" w:eastAsia="Times New Roman" w:hAnsi="Cambria" w:cs="Cambria"/>
          <w:iCs/>
          <w:color w:val="000000"/>
        </w:rPr>
      </w:pPr>
    </w:p>
    <w:p w14:paraId="7FEF3B00" w14:textId="77777777" w:rsidR="00510BA0" w:rsidRDefault="00000000">
      <w:pPr>
        <w:jc w:val="right"/>
        <w:rPr>
          <w:b/>
          <w:bCs/>
        </w:rPr>
      </w:pP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Fonts w:asciiTheme="majorBidi" w:hAnsiTheme="majorBidi" w:cstheme="majorBidi"/>
          <w:b/>
          <w:bCs/>
        </w:rPr>
        <w:t>Załącznik nr 1 b do SWZ</w:t>
      </w:r>
    </w:p>
    <w:p w14:paraId="17B77E1E" w14:textId="77777777" w:rsidR="00510BA0" w:rsidRDefault="00510BA0">
      <w:pPr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74E235DF" w14:textId="77777777">
        <w:tc>
          <w:tcPr>
            <w:tcW w:w="620" w:type="dxa"/>
            <w:tcBorders>
              <w:right w:val="nil"/>
            </w:tcBorders>
            <w:vAlign w:val="center"/>
          </w:tcPr>
          <w:p w14:paraId="756DF5F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tcBorders>
              <w:right w:val="nil"/>
            </w:tcBorders>
            <w:vAlign w:val="center"/>
          </w:tcPr>
          <w:p w14:paraId="168250B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tcBorders>
              <w:right w:val="nil"/>
            </w:tcBorders>
            <w:vAlign w:val="center"/>
          </w:tcPr>
          <w:p w14:paraId="205E33E6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58F9CEB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027C9D0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14:paraId="01A1A94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 w14:paraId="31E7F36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tcBorders>
              <w:right w:val="nil"/>
            </w:tcBorders>
            <w:vAlign w:val="center"/>
          </w:tcPr>
          <w:p w14:paraId="2A722C8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7923FE5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16BA1610" w14:textId="77777777">
        <w:tc>
          <w:tcPr>
            <w:tcW w:w="620" w:type="dxa"/>
            <w:tcBorders>
              <w:top w:val="nil"/>
            </w:tcBorders>
            <w:vAlign w:val="center"/>
          </w:tcPr>
          <w:p w14:paraId="2539ACD1" w14:textId="77777777" w:rsidR="00510BA0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0A78AB2" w14:textId="77777777" w:rsidR="00510BA0" w:rsidRDefault="0000000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  <w:color w:val="000000"/>
                <w:sz w:val="22"/>
              </w:rPr>
              <w:t>Defibrylator z opcją elektrod zewnętrznych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6808E0E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2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2CD67C30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3B6713C1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7C6DB68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1800CDC3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71E26E9B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2B8524E0" w14:textId="77777777">
        <w:tc>
          <w:tcPr>
            <w:tcW w:w="620" w:type="dxa"/>
            <w:tcBorders>
              <w:top w:val="nil"/>
            </w:tcBorders>
            <w:vAlign w:val="center"/>
          </w:tcPr>
          <w:p w14:paraId="7BED310F" w14:textId="77777777" w:rsidR="00510BA0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55801711" w14:textId="77777777" w:rsidR="00510BA0" w:rsidRDefault="0000000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  <w:color w:val="000000"/>
                <w:sz w:val="22"/>
              </w:rPr>
              <w:t>Stolik medyczny typu MAYO  z regulacją wysokości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E01C284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3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490058B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743152D3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234364BC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6B7C5257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1B6FCFD7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3379FAF0" w14:textId="77777777">
        <w:tc>
          <w:tcPr>
            <w:tcW w:w="620" w:type="dxa"/>
            <w:tcBorders>
              <w:top w:val="nil"/>
            </w:tcBorders>
            <w:vAlign w:val="center"/>
          </w:tcPr>
          <w:p w14:paraId="2DE480F0" w14:textId="77777777" w:rsidR="00510BA0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2334FAE" w14:textId="77777777" w:rsidR="00510BA0" w:rsidRDefault="0000000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  <w:color w:val="000000"/>
                <w:sz w:val="22"/>
              </w:rPr>
              <w:t>Łóżka intensywnej terapii z materacem przeciwodleżynowym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5848D8A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4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936E456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49E2A529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16E701B8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3739B1EE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3B6BD93E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99C93B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6DCAF99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4B4956A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78EF95F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netto:</w:t>
      </w:r>
    </w:p>
    <w:p w14:paraId="23019924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0F5CB593" w14:textId="77777777" w:rsidR="00510BA0" w:rsidRDefault="00000000">
      <w:pPr>
        <w:tabs>
          <w:tab w:val="left" w:pos="13284"/>
        </w:tabs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ab/>
      </w:r>
    </w:p>
    <w:p w14:paraId="72AE846B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brutto:</w:t>
      </w:r>
    </w:p>
    <w:p w14:paraId="2C1AE9AB" w14:textId="77777777" w:rsidR="00510BA0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1F831512" w14:textId="77777777" w:rsidR="00510BA0" w:rsidRDefault="00510BA0">
      <w:pPr>
        <w:rPr>
          <w:rFonts w:ascii="Times New Roman" w:hAnsi="Times New Roman"/>
          <w:b/>
          <w:bCs/>
        </w:rPr>
      </w:pPr>
    </w:p>
    <w:p w14:paraId="02CC261D" w14:textId="77777777" w:rsidR="00510BA0" w:rsidRDefault="00510BA0">
      <w:pPr>
        <w:rPr>
          <w:rFonts w:ascii="Times New Roman" w:hAnsi="Times New Roman"/>
          <w:b/>
          <w:bCs/>
        </w:rPr>
      </w:pPr>
    </w:p>
    <w:p w14:paraId="6CDEE074" w14:textId="77777777" w:rsidR="00510BA0" w:rsidRDefault="00510BA0">
      <w:pPr>
        <w:rPr>
          <w:rFonts w:ascii="Times New Roman" w:hAnsi="Times New Roman"/>
          <w:b/>
          <w:bCs/>
        </w:rPr>
      </w:pPr>
    </w:p>
    <w:p w14:paraId="3D55ABA4" w14:textId="77777777" w:rsidR="00510BA0" w:rsidRDefault="00510BA0">
      <w:pPr>
        <w:rPr>
          <w:rFonts w:ascii="Times New Roman" w:hAnsi="Times New Roman"/>
          <w:b/>
          <w:bCs/>
        </w:rPr>
      </w:pPr>
    </w:p>
    <w:p w14:paraId="1AA699E8" w14:textId="77777777" w:rsidR="00510BA0" w:rsidRDefault="00510BA0">
      <w:pPr>
        <w:rPr>
          <w:rFonts w:ascii="Times New Roman" w:hAnsi="Times New Roman"/>
          <w:b/>
          <w:bCs/>
        </w:rPr>
      </w:pPr>
    </w:p>
    <w:p w14:paraId="046B1F45" w14:textId="77777777" w:rsidR="00510BA0" w:rsidRDefault="00510BA0">
      <w:pPr>
        <w:rPr>
          <w:rFonts w:ascii="Times New Roman" w:hAnsi="Times New Roman"/>
          <w:b/>
          <w:bCs/>
        </w:rPr>
      </w:pPr>
    </w:p>
    <w:p w14:paraId="1C9B4035" w14:textId="77777777" w:rsidR="00510BA0" w:rsidRDefault="00510BA0">
      <w:pPr>
        <w:rPr>
          <w:rFonts w:ascii="Times New Roman" w:hAnsi="Times New Roman"/>
          <w:b/>
          <w:bCs/>
        </w:rPr>
      </w:pPr>
    </w:p>
    <w:p w14:paraId="0AFAF631" w14:textId="77777777" w:rsidR="00510BA0" w:rsidRDefault="00510BA0">
      <w:pPr>
        <w:rPr>
          <w:rFonts w:ascii="Times New Roman" w:hAnsi="Times New Roman"/>
          <w:b/>
          <w:bCs/>
        </w:rPr>
      </w:pPr>
    </w:p>
    <w:p w14:paraId="58C36D79" w14:textId="77777777" w:rsidR="00510BA0" w:rsidRDefault="00510BA0">
      <w:pPr>
        <w:rPr>
          <w:rFonts w:ascii="Times New Roman" w:hAnsi="Times New Roman"/>
          <w:b/>
          <w:bCs/>
        </w:rPr>
      </w:pPr>
    </w:p>
    <w:p w14:paraId="5C4B9339" w14:textId="77777777" w:rsidR="00510BA0" w:rsidRDefault="00510BA0">
      <w:pPr>
        <w:rPr>
          <w:rFonts w:ascii="Times New Roman" w:hAnsi="Times New Roman"/>
          <w:b/>
          <w:bCs/>
        </w:rPr>
      </w:pPr>
    </w:p>
    <w:p w14:paraId="5A5BCA7F" w14:textId="77777777" w:rsidR="00510BA0" w:rsidRDefault="00510BA0">
      <w:pPr>
        <w:rPr>
          <w:rFonts w:ascii="Times New Roman" w:hAnsi="Times New Roman"/>
          <w:b/>
          <w:bCs/>
        </w:rPr>
      </w:pPr>
    </w:p>
    <w:p w14:paraId="0E744D58" w14:textId="77777777" w:rsidR="00510BA0" w:rsidRDefault="00510BA0">
      <w:pPr>
        <w:rPr>
          <w:rFonts w:ascii="Times New Roman" w:hAnsi="Times New Roman"/>
          <w:b/>
          <w:bCs/>
        </w:rPr>
      </w:pPr>
    </w:p>
    <w:p w14:paraId="1EC7EF54" w14:textId="77777777" w:rsidR="00510BA0" w:rsidRDefault="00510BA0">
      <w:pPr>
        <w:rPr>
          <w:rFonts w:ascii="Times New Roman" w:hAnsi="Times New Roman"/>
          <w:b/>
          <w:bCs/>
        </w:rPr>
      </w:pPr>
    </w:p>
    <w:p w14:paraId="7735327E" w14:textId="77777777" w:rsidR="00510BA0" w:rsidRDefault="00510BA0">
      <w:pPr>
        <w:rPr>
          <w:rFonts w:ascii="Times New Roman" w:hAnsi="Times New Roman"/>
          <w:b/>
          <w:bCs/>
        </w:rPr>
      </w:pPr>
    </w:p>
    <w:p w14:paraId="4EDF08D4" w14:textId="77777777" w:rsidR="00510BA0" w:rsidRDefault="00510BA0">
      <w:pPr>
        <w:rPr>
          <w:rFonts w:ascii="Times New Roman" w:hAnsi="Times New Roman"/>
          <w:b/>
          <w:bCs/>
        </w:rPr>
      </w:pPr>
    </w:p>
    <w:p w14:paraId="5D628CFF" w14:textId="77777777" w:rsidR="00510BA0" w:rsidRDefault="00510BA0">
      <w:pPr>
        <w:rPr>
          <w:rFonts w:ascii="Times New Roman" w:hAnsi="Times New Roman"/>
          <w:b/>
          <w:bCs/>
        </w:rPr>
      </w:pPr>
    </w:p>
    <w:p w14:paraId="28C806A1" w14:textId="77777777" w:rsidR="00510BA0" w:rsidRDefault="00510BA0">
      <w:pPr>
        <w:rPr>
          <w:rFonts w:ascii="Times New Roman" w:hAnsi="Times New Roman" w:cstheme="majorBidi"/>
          <w:b/>
          <w:bCs/>
        </w:rPr>
      </w:pPr>
    </w:p>
    <w:p w14:paraId="1CB308DC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theme="majorBidi"/>
          <w:b/>
          <w:bCs/>
        </w:rPr>
        <w:lastRenderedPageBreak/>
        <w:t>Opis Przedmiotu Zamówienia – Dostawa specjalistycznego sprzętu medycznego Zadanie 3</w:t>
      </w:r>
    </w:p>
    <w:p w14:paraId="1B67A682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1c do SWZ</w:t>
      </w:r>
    </w:p>
    <w:p w14:paraId="726B80BF" w14:textId="77777777" w:rsidR="00510BA0" w:rsidRDefault="00510BA0">
      <w:pPr>
        <w:jc w:val="right"/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20207D7A" w14:textId="77777777">
        <w:tc>
          <w:tcPr>
            <w:tcW w:w="620" w:type="dxa"/>
            <w:vAlign w:val="center"/>
          </w:tcPr>
          <w:p w14:paraId="2137101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vAlign w:val="center"/>
          </w:tcPr>
          <w:p w14:paraId="5870B04C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76283610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7FAEF79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765CB4A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5D8BDE1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59D4B7D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vAlign w:val="center"/>
          </w:tcPr>
          <w:p w14:paraId="509E24A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5DF1CBB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7FCD83CB" w14:textId="77777777">
        <w:tc>
          <w:tcPr>
            <w:tcW w:w="620" w:type="dxa"/>
            <w:vAlign w:val="center"/>
          </w:tcPr>
          <w:p w14:paraId="197A76EE" w14:textId="77777777" w:rsidR="00510BA0" w:rsidRDefault="00510BA0">
            <w:pPr>
              <w:widowControl w:val="0"/>
              <w:numPr>
                <w:ilvl w:val="0"/>
                <w:numId w:val="5"/>
              </w:numPr>
              <w:ind w:left="737" w:hanging="5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vAlign w:val="center"/>
          </w:tcPr>
          <w:p w14:paraId="0A31587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DejaVu Sans"/>
                <w:b/>
                <w:color w:val="000000"/>
                <w:sz w:val="22"/>
                <w:szCs w:val="22"/>
              </w:rPr>
              <w:t>Aparat do znieczulenia ze stanowiskiem monitorowania</w:t>
            </w:r>
          </w:p>
        </w:tc>
        <w:tc>
          <w:tcPr>
            <w:tcW w:w="822" w:type="dxa"/>
            <w:vAlign w:val="center"/>
          </w:tcPr>
          <w:p w14:paraId="221C6697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369864A8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0F5A448C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1504553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6246458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3CE6DD88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A45F75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92E69FF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44A5279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EED92EC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4B2A15E4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2896A179" w14:textId="77777777" w:rsidR="00510BA0" w:rsidRDefault="00000000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35BD6A09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3E99B542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29CB849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FAA3FA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158458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2711D7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883757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63ECC3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22D66C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2CC790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94B8C6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25658A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5940DE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BE748B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2DC70F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DE766B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15C34E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96735A5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781FB2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08C8C3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AEAEDC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1B1753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FEA8B1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3E779A0" w14:textId="77777777" w:rsidR="00510BA0" w:rsidRDefault="00000000">
      <w:pPr>
        <w:rPr>
          <w:rStyle w:val="Pogrubienie"/>
          <w:rFonts w:ascii="Cambria" w:eastAsia="Times New Roman" w:hAnsi="Cambria" w:cs="Cambria"/>
          <w:iCs/>
          <w:color w:val="000000"/>
        </w:rPr>
      </w:pPr>
      <w:r>
        <w:rPr>
          <w:rFonts w:ascii="Times New Roman" w:hAnsi="Times New Roman" w:cstheme="majorBidi"/>
          <w:b/>
          <w:bCs/>
        </w:rPr>
        <w:lastRenderedPageBreak/>
        <w:t xml:space="preserve">Opis Przedmiotu Zamówienia -  </w:t>
      </w:r>
      <w:r>
        <w:rPr>
          <w:rStyle w:val="Pogrubienie"/>
          <w:rFonts w:ascii="Cambria" w:eastAsia="Times New Roman" w:hAnsi="Cambria" w:cs="Cambria"/>
          <w:iCs/>
          <w:color w:val="000000"/>
        </w:rPr>
        <w:t>Dostawa  wyposażenia - Blok Operacyjny Zadanie 4</w:t>
      </w:r>
    </w:p>
    <w:p w14:paraId="4231E1D7" w14:textId="77777777" w:rsidR="00510BA0" w:rsidRDefault="00510BA0">
      <w:pPr>
        <w:rPr>
          <w:rStyle w:val="Pogrubienie"/>
          <w:rFonts w:ascii="Cambria" w:eastAsia="Times New Roman" w:hAnsi="Cambria" w:cs="Cambria"/>
          <w:iCs/>
          <w:color w:val="000000"/>
        </w:rPr>
      </w:pPr>
    </w:p>
    <w:p w14:paraId="0EB1D278" w14:textId="77777777" w:rsidR="00510BA0" w:rsidRDefault="00000000">
      <w:pPr>
        <w:rPr>
          <w:rStyle w:val="Pogrubienie"/>
          <w:rFonts w:ascii="Cambria" w:eastAsia="Times New Roman" w:hAnsi="Cambria" w:cs="Cambria"/>
          <w:iCs/>
          <w:color w:val="000000"/>
        </w:rPr>
      </w:pP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  <w:t>Zadanie nr 1d do SWZ</w:t>
      </w:r>
    </w:p>
    <w:p w14:paraId="56E40582" w14:textId="77777777" w:rsidR="00510BA0" w:rsidRDefault="00510BA0">
      <w:pPr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6E1BF3F7" w14:textId="77777777">
        <w:tc>
          <w:tcPr>
            <w:tcW w:w="620" w:type="dxa"/>
            <w:tcBorders>
              <w:right w:val="nil"/>
            </w:tcBorders>
            <w:vAlign w:val="center"/>
          </w:tcPr>
          <w:p w14:paraId="04B423B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tcBorders>
              <w:right w:val="nil"/>
            </w:tcBorders>
            <w:vAlign w:val="center"/>
          </w:tcPr>
          <w:p w14:paraId="0DCC0FD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tcBorders>
              <w:right w:val="nil"/>
            </w:tcBorders>
            <w:vAlign w:val="center"/>
          </w:tcPr>
          <w:p w14:paraId="68892A9C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71348BA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07DE252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14:paraId="704394A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 w14:paraId="6BAA4B1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tcBorders>
              <w:right w:val="nil"/>
            </w:tcBorders>
            <w:vAlign w:val="center"/>
          </w:tcPr>
          <w:p w14:paraId="7F109B5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3B23F93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2F6C8E98" w14:textId="77777777">
        <w:tc>
          <w:tcPr>
            <w:tcW w:w="620" w:type="dxa"/>
            <w:tcBorders>
              <w:top w:val="nil"/>
            </w:tcBorders>
            <w:vAlign w:val="center"/>
          </w:tcPr>
          <w:p w14:paraId="416B2DC9" w14:textId="77777777" w:rsidR="00510BA0" w:rsidRDefault="00510BA0">
            <w:pPr>
              <w:widowControl w:val="0"/>
              <w:numPr>
                <w:ilvl w:val="0"/>
                <w:numId w:val="4"/>
              </w:numPr>
              <w:ind w:left="850" w:hanging="680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47C856F4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</w:rPr>
              <w:t>Wanna Do Kontenera 1</w:t>
            </w:r>
            <w:r>
              <w:rPr>
                <w:rFonts w:ascii="Times New Roman" w:eastAsia="DengXian" w:hAnsi="Times New Roman" w:cs="DejaVu Sans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6BBCADC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0645F2C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65A402C2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600ABC45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16E57D35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7D01216F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618172AF" w14:textId="77777777">
        <w:tc>
          <w:tcPr>
            <w:tcW w:w="620" w:type="dxa"/>
            <w:tcBorders>
              <w:top w:val="nil"/>
            </w:tcBorders>
            <w:vAlign w:val="center"/>
          </w:tcPr>
          <w:p w14:paraId="72A72D04" w14:textId="77777777" w:rsidR="00510BA0" w:rsidRDefault="00510BA0">
            <w:pPr>
              <w:widowControl w:val="0"/>
              <w:numPr>
                <w:ilvl w:val="0"/>
                <w:numId w:val="4"/>
              </w:numPr>
              <w:ind w:left="850" w:hanging="680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1276DD74" w14:textId="77777777" w:rsidR="00510BA0" w:rsidRDefault="00000000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</w:rPr>
              <w:t>Wanna Do Kontenera 2/2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51A6D4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1E00BB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5B2E8FA6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2449AC2C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395ED7CC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06896F5A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E199D1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7AD0679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43DE3ED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01E0471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netto:</w:t>
      </w:r>
    </w:p>
    <w:p w14:paraId="5A9D3552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5C13758F" w14:textId="77777777" w:rsidR="00510BA0" w:rsidRDefault="00000000">
      <w:pPr>
        <w:tabs>
          <w:tab w:val="left" w:pos="13284"/>
        </w:tabs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ab/>
      </w:r>
    </w:p>
    <w:p w14:paraId="7191E8EE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brutto:</w:t>
      </w:r>
    </w:p>
    <w:p w14:paraId="05A1E794" w14:textId="77777777" w:rsidR="00510BA0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2F3DC8A5" w14:textId="77777777" w:rsidR="00510BA0" w:rsidRDefault="00510BA0">
      <w:pPr>
        <w:rPr>
          <w:rFonts w:ascii="Times New Roman" w:hAnsi="Times New Roman"/>
          <w:b/>
          <w:bCs/>
        </w:rPr>
      </w:pPr>
    </w:p>
    <w:p w14:paraId="70473E66" w14:textId="77777777" w:rsidR="00510BA0" w:rsidRDefault="00510BA0">
      <w:pPr>
        <w:rPr>
          <w:rFonts w:ascii="Times New Roman" w:hAnsi="Times New Roman"/>
          <w:b/>
          <w:bCs/>
        </w:rPr>
      </w:pPr>
    </w:p>
    <w:p w14:paraId="7831D4CC" w14:textId="77777777" w:rsidR="00510BA0" w:rsidRDefault="00510BA0">
      <w:pPr>
        <w:rPr>
          <w:rFonts w:ascii="Times New Roman" w:hAnsi="Times New Roman"/>
          <w:b/>
          <w:bCs/>
        </w:rPr>
      </w:pPr>
    </w:p>
    <w:p w14:paraId="2ABD9F28" w14:textId="77777777" w:rsidR="00510BA0" w:rsidRDefault="00510BA0">
      <w:pPr>
        <w:rPr>
          <w:rFonts w:ascii="Times New Roman" w:hAnsi="Times New Roman"/>
          <w:b/>
          <w:bCs/>
        </w:rPr>
      </w:pPr>
    </w:p>
    <w:p w14:paraId="478F7D8C" w14:textId="77777777" w:rsidR="00510BA0" w:rsidRDefault="00510BA0">
      <w:pPr>
        <w:rPr>
          <w:rFonts w:ascii="Times New Roman" w:hAnsi="Times New Roman"/>
          <w:b/>
          <w:bCs/>
        </w:rPr>
      </w:pPr>
    </w:p>
    <w:p w14:paraId="66D050A7" w14:textId="77777777" w:rsidR="00510BA0" w:rsidRDefault="00510BA0">
      <w:pPr>
        <w:rPr>
          <w:rFonts w:ascii="Times New Roman" w:hAnsi="Times New Roman"/>
          <w:b/>
          <w:bCs/>
        </w:rPr>
      </w:pPr>
    </w:p>
    <w:p w14:paraId="60B30CFA" w14:textId="77777777" w:rsidR="00510BA0" w:rsidRDefault="00510BA0">
      <w:pPr>
        <w:rPr>
          <w:rFonts w:ascii="Times New Roman" w:hAnsi="Times New Roman"/>
          <w:b/>
          <w:bCs/>
        </w:rPr>
      </w:pPr>
    </w:p>
    <w:p w14:paraId="5005CBC1" w14:textId="77777777" w:rsidR="00510BA0" w:rsidRDefault="00510BA0">
      <w:pPr>
        <w:rPr>
          <w:rFonts w:ascii="Times New Roman" w:hAnsi="Times New Roman"/>
          <w:b/>
          <w:bCs/>
        </w:rPr>
      </w:pPr>
    </w:p>
    <w:p w14:paraId="09668B66" w14:textId="77777777" w:rsidR="00510BA0" w:rsidRDefault="00510BA0">
      <w:pPr>
        <w:rPr>
          <w:rFonts w:ascii="Times New Roman" w:hAnsi="Times New Roman"/>
          <w:b/>
          <w:bCs/>
        </w:rPr>
      </w:pPr>
    </w:p>
    <w:p w14:paraId="3DFE8B31" w14:textId="77777777" w:rsidR="00510BA0" w:rsidRDefault="00510BA0">
      <w:pPr>
        <w:rPr>
          <w:rFonts w:ascii="Times New Roman" w:hAnsi="Times New Roman"/>
          <w:b/>
          <w:bCs/>
        </w:rPr>
      </w:pPr>
    </w:p>
    <w:p w14:paraId="692EA70C" w14:textId="77777777" w:rsidR="00510BA0" w:rsidRDefault="00510BA0">
      <w:pPr>
        <w:rPr>
          <w:rFonts w:ascii="Times New Roman" w:hAnsi="Times New Roman"/>
          <w:b/>
          <w:bCs/>
        </w:rPr>
      </w:pPr>
    </w:p>
    <w:p w14:paraId="3DCB65CE" w14:textId="77777777" w:rsidR="00510BA0" w:rsidRDefault="00510BA0">
      <w:pPr>
        <w:rPr>
          <w:rFonts w:ascii="Times New Roman" w:hAnsi="Times New Roman"/>
          <w:b/>
          <w:bCs/>
        </w:rPr>
      </w:pPr>
    </w:p>
    <w:p w14:paraId="3F0D5FA3" w14:textId="77777777" w:rsidR="00510BA0" w:rsidRDefault="00510BA0">
      <w:pPr>
        <w:rPr>
          <w:b/>
          <w:bCs/>
        </w:rPr>
      </w:pPr>
    </w:p>
    <w:p w14:paraId="7F1AB4D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E98D15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7A478E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BBE545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FB73A9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34FA5A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1928F45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theme="majorBidi"/>
          <w:b/>
          <w:bCs/>
        </w:rPr>
        <w:lastRenderedPageBreak/>
        <w:t>Opis Przedmiotu Zamówienia – Dostawa specjalistycznego sprzętu medycznego na Oddziały Pediatryczne Zadanie 5</w:t>
      </w:r>
    </w:p>
    <w:p w14:paraId="1E8F2C3A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 e do SWZ</w:t>
      </w:r>
    </w:p>
    <w:p w14:paraId="75A05EBF" w14:textId="77777777" w:rsidR="00510BA0" w:rsidRDefault="00510BA0">
      <w:pPr>
        <w:jc w:val="right"/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45658BFC" w14:textId="77777777">
        <w:tc>
          <w:tcPr>
            <w:tcW w:w="620" w:type="dxa"/>
            <w:vAlign w:val="center"/>
          </w:tcPr>
          <w:p w14:paraId="245FAFA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vAlign w:val="center"/>
          </w:tcPr>
          <w:p w14:paraId="05E1C993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41FEB936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641417E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71E6814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32F9E0F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37379CA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vAlign w:val="center"/>
          </w:tcPr>
          <w:p w14:paraId="6B80718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398F315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0F22350A" w14:textId="77777777">
        <w:tc>
          <w:tcPr>
            <w:tcW w:w="620" w:type="dxa"/>
            <w:vAlign w:val="center"/>
          </w:tcPr>
          <w:p w14:paraId="63B81C29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vAlign w:val="center"/>
          </w:tcPr>
          <w:p w14:paraId="291D3407" w14:textId="77777777" w:rsidR="00510BA0" w:rsidRDefault="00000000">
            <w:pPr>
              <w:widowControl w:val="0"/>
              <w:rPr>
                <w:rFonts w:eastAsia="DejaVu Sans" w:cs="DejaVu Sans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>Kardiomonitor 15” – Oddziały Pediatrii</w:t>
            </w:r>
          </w:p>
        </w:tc>
        <w:tc>
          <w:tcPr>
            <w:tcW w:w="822" w:type="dxa"/>
            <w:vAlign w:val="center"/>
          </w:tcPr>
          <w:p w14:paraId="6061AFE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0" w:type="dxa"/>
            <w:vAlign w:val="center"/>
          </w:tcPr>
          <w:p w14:paraId="1EA730EE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0F0CCA6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78BE27EF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320EFD74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041E07E9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259C209C" w14:textId="77777777">
        <w:tc>
          <w:tcPr>
            <w:tcW w:w="620" w:type="dxa"/>
            <w:tcBorders>
              <w:top w:val="nil"/>
            </w:tcBorders>
            <w:vAlign w:val="center"/>
          </w:tcPr>
          <w:p w14:paraId="2E59675F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6DF7DD4" w14:textId="77777777" w:rsidR="00510BA0" w:rsidRDefault="00000000">
            <w:pPr>
              <w:widowControl w:val="0"/>
              <w:rPr>
                <w:rFonts w:eastAsia="DejaVu Sans" w:cs="DejaVu Sans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>Kardiomonitor 15” – Oddziały Geriatrii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6EB117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3091DAD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3FC458D4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6A9094E7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47AD6498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61F8ECAA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1B62085C" w14:textId="77777777">
        <w:trPr>
          <w:trHeight w:val="337"/>
        </w:trPr>
        <w:tc>
          <w:tcPr>
            <w:tcW w:w="620" w:type="dxa"/>
            <w:tcBorders>
              <w:top w:val="nil"/>
            </w:tcBorders>
            <w:vAlign w:val="center"/>
          </w:tcPr>
          <w:p w14:paraId="719BB4E5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7D77A62E" w14:textId="77777777" w:rsidR="00510BA0" w:rsidRDefault="00000000">
            <w:pPr>
              <w:widowControl w:val="0"/>
              <w:rPr>
                <w:rFonts w:eastAsia="DejaVu Sans" w:cs="DejaVu Sans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 xml:space="preserve">Kardiomonitor </w:t>
            </w: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  <w:highlight w:val="yellow"/>
              </w:rPr>
              <w:t>12”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22F2F9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7429273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6FF8F55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3CE98B03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6686BBBE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59DD5711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29E37A39" w14:textId="77777777">
        <w:trPr>
          <w:trHeight w:val="337"/>
        </w:trPr>
        <w:tc>
          <w:tcPr>
            <w:tcW w:w="620" w:type="dxa"/>
            <w:tcBorders>
              <w:top w:val="nil"/>
            </w:tcBorders>
            <w:vAlign w:val="center"/>
          </w:tcPr>
          <w:p w14:paraId="1AE77B74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D77D64D" w14:textId="77777777" w:rsidR="00510BA0" w:rsidRDefault="00000000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>System ogrzewania pacjenta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965148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5D2311F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1BB3728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4E3DF0C6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394AB133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017CC022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6D49415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441B185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1744333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6E8D64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62331430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5C9A4DA0" w14:textId="77777777" w:rsidR="00510BA0" w:rsidRDefault="00000000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26A0EB50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06701D07" w14:textId="77777777" w:rsidR="00510BA0" w:rsidRDefault="00000000">
      <w:pPr>
        <w:rPr>
          <w:b/>
          <w:bCs/>
        </w:rPr>
      </w:pPr>
      <w:r>
        <w:rPr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16165B8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2C2168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AE7BDC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768F2C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036BAE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EADC88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BF29FE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5EC8DD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F09A0A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F643D8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399DD6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0CFA570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90A9E8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77100B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534DAC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7BAA30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0DBC2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FF8183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BC67722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7D53C2E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1</w:t>
      </w:r>
    </w:p>
    <w:p w14:paraId="6A72689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4223EF7B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>Aparat USG do podawania toksyny botulinowej z głowicą liniową.</w:t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>
        <w:rPr>
          <w:rFonts w:asciiTheme="majorBidi" w:hAnsiTheme="majorBidi" w:cstheme="majorBidi"/>
          <w:b/>
          <w:bCs/>
        </w:rPr>
        <w:t>Załącznik nr 1.1 a do SWZ</w:t>
      </w:r>
    </w:p>
    <w:p w14:paraId="77A70E1B" w14:textId="77777777" w:rsidR="00510BA0" w:rsidRDefault="00510BA0">
      <w:pPr>
        <w:rPr>
          <w:b/>
          <w:bCs/>
        </w:rPr>
      </w:pP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2D3E140E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2C8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0CB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40C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83F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600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32D04502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232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15E9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72D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C0C6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47A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89533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1CD1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6C86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080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BD7B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F19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2F05487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86F9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F36C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3E8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18D7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A86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FED1BAF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6D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E27D" w14:textId="77777777" w:rsidR="00510BA0" w:rsidRDefault="00510BA0">
            <w:pPr>
              <w:widowControl w:val="0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A5F5" w14:textId="77777777" w:rsidR="00510BA0" w:rsidRDefault="00510BA0">
            <w:pPr>
              <w:widowControl w:val="0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8BF5" w14:textId="77777777" w:rsidR="00510BA0" w:rsidRDefault="00510BA0">
            <w:pPr>
              <w:widowControl w:val="0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510BA0" w14:paraId="48DFACB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CEB5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D032" w14:textId="77777777" w:rsidR="00510BA0" w:rsidRDefault="00000000">
            <w:pPr>
              <w:keepNext/>
              <w:widowControl w:val="0"/>
              <w:textAlignment w:val="baseline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JEDNOSTKA GŁÓWNA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CADB" w14:textId="77777777" w:rsidR="00510BA0" w:rsidRDefault="00510BA0">
            <w:pPr>
              <w:keepNext/>
              <w:widowControl w:val="0"/>
              <w:textAlignment w:val="baseline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1257" w14:textId="77777777" w:rsidR="00510BA0" w:rsidRDefault="00510BA0">
            <w:pPr>
              <w:keepNext/>
              <w:widowControl w:val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8B3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E2D803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DBF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CF5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Przenośny aparat ultrasonograficzny w formie panelu dotykowego wraz ze stolikiem jezdnym z regulacją wysokości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844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C16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55B3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D1FA6D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26D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8E1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Możliwość pracy aparatu bez stolika jezdnego, szybki montaż/demontaż urządzenia bez użycia narzędzi dodatkowych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6C08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55C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C28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A8B205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62A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CDB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Stolik  jezdny: 4 koła skrętne, z możliwością blokady min. 2, ze zmianą wysokością min. 20 cm, wyposażony w półki na akcesoria oraz zasilacz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7571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3DF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761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trike/>
                <w:sz w:val="22"/>
                <w:szCs w:val="22"/>
                <w:lang w:bidi="hi-IN"/>
              </w:rPr>
            </w:pPr>
          </w:p>
        </w:tc>
      </w:tr>
      <w:tr w:rsidR="00510BA0" w14:paraId="262EA34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DCA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040F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Aparat fabrycznie nowy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8F2A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FE5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753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C8BA00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361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76F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Zakres pasma częstotliwości pracy aparatu: min. 1,5 - 23 MHz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58BD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2C4A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06BA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8E7F3C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873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199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Waga  z akumulatorem max. 7,5 kg bez stolika.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EDC6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A8D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EBF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0A7CC2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A28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3C2E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Aparat przenośny z rączką oraz możliwością pracy z akumulatora. Czas pracy z w pełni naładowanego akumulatora min. 2 godz.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7A3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11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426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09EADF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05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E2F0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gniazd głowic obrazowych wbudowanych w aparat, przełączanych elektronicznie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F6A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C95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1D2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87F11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070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DFB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Gotowość do pracy po włączeniu aparatu ze stanu całkowitego wyłączenia max. 35 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952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9DA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218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1AB12B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444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72A0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Gotowość do pracy po włączeniu aparatu ze stanu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standby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max. 6 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3B7E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22A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E86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6E9CB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832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16C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niezależnych kanałów procesowych min. 50 000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005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112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CF33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3DA4D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D88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0BD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Moduł EKG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AA7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BC99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23BB0EDA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8FC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16FA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E05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4C5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Drukarka termiczna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videoprinter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>) B&amp;W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A4ED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A41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B8B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1B7903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C61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605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800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B28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C5A8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587156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E4D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3D1E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ARCHIWIZACJA I PRZESYŁANIE OBRAZÓW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8D47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AD7E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64E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6B27BB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240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F41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Nagrywanie i odtwarzanie dynamicznych obrazów /tzw.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cineloop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prezentacji B oraz kolor Doppler, prezentacji M-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i Dopplera spektralnego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DE2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BF0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5E7B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EEEE58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C59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0ED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klatek pamięci CINE min. 30 000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37E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50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AE99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D36D0F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F32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4F8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Zapis obrazów i raportów z badań na pamięci wewnętrznej aparatu.</w:t>
            </w:r>
          </w:p>
          <w:p w14:paraId="7AC09E0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Pojemność dysku twardego SSD min. 120 GB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92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82D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168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5A0F8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AB9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3A8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779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527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6A90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36490D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0B9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67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Gniazda USB 3.0 do podłączania urządzeń zewnętrznych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DAA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9A4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6C8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3C4A1D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D78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217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Wyjście HDMI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21D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8ED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C8BD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A6B403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DB9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474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ustawienia menu w języku polskim i polskie znaki w opisach oraz komentarzach do raportu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990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95C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02D4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9CB2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5C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E9C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zapisu danych na urządzenia typu PEN-DRIVE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FD2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2E18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0F88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F6005D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D0A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1AA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raca w sieci w standardzie DICOM, min: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Print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, Storage, Storage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Commitment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Worklist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F73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3AA4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A9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D40226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1DE2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43C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Bezprzewodowa łączność z siecią za pomocą wewnętrznej karty Wi-Fi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6A4E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2EF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016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F5DE2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854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6FE5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MONITOR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57290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FE5D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FF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960D6E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FD8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3F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Kolorowy typu LCD w pełni dotykowy.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126F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BD1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737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575E7E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F4E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FB3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Przekątna ekranu min. 15" (podać)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2B4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0DA6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5E64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7AFEEB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23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9B2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Rozdzielczość monitora min. 760 x 1020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29B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552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6C14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EB1B8C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C0B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460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5550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A9D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82E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F0392B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64FE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39EC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TRYBY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B774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90C4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8EC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4F3164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1F2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804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 xml:space="preserve">Tryb B 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CEFB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5830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FD96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55705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1AE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F49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Powiększenie obrazu rzeczywistego i zamrożonego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9C9E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44D8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FE7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6E3EF2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837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709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Powiększenie obrazu diagnostycznego na pełny ekran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82AA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6881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1846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D9393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733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07F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08F6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9FBC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A50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C9BBC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F10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7FA0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Technologia wzmocnienia kontrastu tkanek oraz zmniejszenia plamek i wyostrzenia krawędzi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F949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4F64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A26C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B8D88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63C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15E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DAE6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6D37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1A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583CAA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F88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31EF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Zakres ustawienia głębokości penetracji min. 2 – 40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6933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BF65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2E88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2C892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722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74A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Zakres dynamiki dla obrazu 2D wyświetlany na ekranie</w:t>
            </w:r>
          </w:p>
          <w:p w14:paraId="4EA1D16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min. 240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dB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591A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F783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37D9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626A96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5B3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0F7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Maksymalna prędkość odświeżania w trybie 2D</w:t>
            </w:r>
          </w:p>
          <w:p w14:paraId="5622666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 xml:space="preserve">min. 1000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obr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./sek.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6845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D34B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AEE0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5FE477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DE8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D22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Kompensacja głębokościowa (pozioma) wzmocnienia – min. 8 stref (TGC)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FC7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C0D2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15B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2A456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008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7F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 xml:space="preserve">Tryb M -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C45A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8511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A4E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5CFF5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197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1D9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Wybór prędkości przesuwu zapisu trybu M min. 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BDAB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145A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824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464468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02D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C69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natomiczny M-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503FE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426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3D9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619E0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B61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578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Tryb Doppler Kolorowy (CD)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120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D95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6798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B9F66A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D7C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3B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Ugięcie pola obrazowego Dopplera kolorowego min. 30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9E331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09E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3DE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A6A4E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E7B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2EA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Maksymalna prędkość odświeżania w trybie CD</w:t>
            </w:r>
          </w:p>
          <w:p w14:paraId="291526E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 xml:space="preserve">min. 350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obr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./sek.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F1B0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C641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72D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FA566F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641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C49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Ilość map kolorów min. 20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4AE4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E09A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2A4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0FC68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F485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486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Automatyczne podążanie pola Dopplera kolorowego za naczyniem w dopplerowskich badaniach naczyniowych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E9E4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B26E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27A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022D7A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B8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785E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Tryb Power Doppler (PD)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80A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134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923B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276AC9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AD1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096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Tryb Power Doppler kierunkowy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50D1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35B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CA59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8A4051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260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D0D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Tryb spektralny Doppler pulsacyjny (PW)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0E0A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51E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D9B7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899251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30D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B0B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Maksymalna mierzona prędkość przepływu przy kącie korekcji 0⁰ min. 8,5 m/sek.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C7FA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BE0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D8DC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A6B60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EEC2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297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Regulacja wielkości bramki dopplerowskiej min. 0,5 – 20 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D141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987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A56F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DC5AE7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EBC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5D6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Kąt korekcji bramki dopplerowskiej min. 0 do +/-85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1B0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908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01F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28DCBB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B3A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B0A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Tryb Duplex (wymagane kombinacje: 2D+PWD, 2D+CD/PD)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169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83FA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FCB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14BB3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70D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D30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Tryb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Triplex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(wymagane kombinacje: 2D+CD/PD +PWD)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951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CCF3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83A1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F859A1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1A8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562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ryb spektralny Doppler ciągły (CW)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3810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7A47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4B92E609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C50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66EF04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5A2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2BC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aksymalna mierzona prędkość przepływu przy kącie korekcji 0⁰ min. 35,0 m/sek.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D9B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2CD4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661B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D37EC8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9EC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CB2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 xml:space="preserve">Automatyczna optymalizacja obrazu za pomocą jednego przycisku w trybie B-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 xml:space="preserve"> i Dopplera spektralnego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94B8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279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AAE5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E766D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FE7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AAE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Kolorowy i spektralny Doppler Tkankowy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EB5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26A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7110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17BF5D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3C7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B7C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Technologia wspomagająca wizualizację igły biopsyjnej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8A76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91D5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60665E5C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4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425F93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30F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25A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System nawigacji, ułatwiający prowadzenie igły w tkankach poprzez jej wizualizację na ekranie monitora. Urządzenie wskazuje właściwą trajektorię igły w technikach in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plane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 oraz out of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plane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 i aktualne położenie igły kodując jej położenie właściwym kolorem.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90A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C6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D361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AE1617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B008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292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OPROGRAMOWANIE POMIAROWE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905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4B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2B9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8ECEF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315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027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Oprogramowanie aparatu /programy obliczeniowe i raporty/: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j.brzuszna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699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EE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9FCB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03FCE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B79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09B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Pakiet obliczeń automatycznych dla Dopplera 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lastRenderedPageBreak/>
              <w:t xml:space="preserve">– automatyczny obrys spektrum wraz z podaniem podstawowych parametrów przepływu (min. PI, RI,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Vmax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Vmin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>. i inne) zarówno na obrazie rzeczywistym, jak i na obrazie zamrożonym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22E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B4D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4312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F5AE77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61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DFA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przesyłania raportów w formatach PDF i RTF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CA1C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4FBC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3560EF03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088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94E3DA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46D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BF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frakcji wyrzutowej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A6E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C18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567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2BFA5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BF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A7F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Automatyczny pomiar IMT w wybranym obszarze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824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A59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D2B2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F93C8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E0E5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A80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GŁOWICE ULTRADŹWIĘK</w:t>
            </w: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F1AE" w14:textId="77777777" w:rsidR="00510BA0" w:rsidRDefault="00510BA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719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4502" w14:textId="77777777" w:rsidR="00510BA0" w:rsidRDefault="00510BA0">
            <w:pPr>
              <w:widowControl w:val="0"/>
            </w:pPr>
          </w:p>
        </w:tc>
      </w:tr>
      <w:tr w:rsidR="00510BA0" w14:paraId="49FDCF9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3ED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878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wieloczęstotliwościowa liniowa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46D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896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2211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48E28C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103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4D4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Częstotliwość pracy sondy min. 3,0 -11,0 MHz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45D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AAB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0540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F778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A9B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9CE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elementów min.190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998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29C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B1EC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DCA51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624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553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Długość pola obrazowego głowicy 40 mm +/- 2mm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493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B73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C870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2936D3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A31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F60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5A7C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F2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9DA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7EE3FF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2872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A55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Częstotliwości pracy do wyboru dla obrazowania harmonicznego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9AE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4E7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B839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90B893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D29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79C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Głębokość obrazowania min. 30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C33BC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A3D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423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DD10C2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42B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861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Współpraca z systemem do nawigacji igły biopsyjnej z pkt 64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830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F7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39FA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AB0332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0AD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C00E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wieloczęstotliwościowa sektorowa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phased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array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A18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1DC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B52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458F37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8F9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043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Częstotliwość pracy sondy min. 1,5 -4,5 MHz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2CD6D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B19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5295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044067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3E8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852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elementów min.60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075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DE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611A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065106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3C9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C85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Kąt  pola obrazowego głowicy min. 90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CC9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0F7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ABDE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6D0BC7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43F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1AD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7CF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589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580D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53BD85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27F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85E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Częstotliwości nadawcze pracy do wyboru dla obrazowania harmonicznego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7C4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B03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14D4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76C0A0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4F5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7121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Głębokość obrazowania min. 30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E57E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D8D6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36D9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74108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CD2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8C76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MOŻLIWOŚCI ROZBUDOWY NA DZIEŃ SKŁADANIA OFERT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4F0E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8ACE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B59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07723A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37D5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49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żyły głównej dolnej z możliwością prezentacji wyników  w formie wykresu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014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147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66A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2507FA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ED4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73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utomatyczny pomiar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lastRenderedPageBreak/>
              <w:t>linii B wraz z automatycznym przedstawieniem w formie koloru stopnia nasilenia procesu chorobowego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245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054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B063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3CFC0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4AF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A88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VTI z możliwością prezentacji wyników w formie wykresu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E3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BE9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1001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FB47D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E71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9E1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b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adanie kardiologiczne z użyciem ultrasonograficznego środka kontrastowego LVO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B30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BE8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517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97E460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A83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310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o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brazowanie panoramiczne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3AF3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B59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F956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9A1B5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BEE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674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o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brazowanie 3D z tzw. „wolnej ręki”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F40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4CD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AD9A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AACDDE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1CD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A52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Możliwość rozbudowy o głowicę 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wieloczęstotliwościową elektroniczną o zakrzywionym czole głowicy współpracującą z Ciągłym Dopplerem,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częstotliwość pracy sondy min. 1,0 – 4,0 MHz, 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elementów min. 64, kąt  pola obrazowego głowicy min. 55 stopni, promień krzywizny czoła min. 30mm, głębokość obrazowania min. 37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264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72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B3E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FCAE77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1FD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39F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Możliwość podłączenia głowic: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endocavitarnej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, liniowych,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microconvex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, przezprzełykowej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A20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9B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865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F5DF04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7F9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CF6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tętna płodu na obrazie 2D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B77B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69B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5B1C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25143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9D7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338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Możliwość rozbudowy o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automatyczny pomiar objętości pęcherza moczowego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871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08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321D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FC9DA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4B7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A08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Możliwość rozbudowy o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automatyczny pomiar powierzchni żołądka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7062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0A9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34F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A2EED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1EC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D7E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o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chronę antywirusową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41C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C01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21A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</w:tbl>
    <w:p w14:paraId="354A7B0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55D7B3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E4C4950" w14:textId="77777777" w:rsidR="00510BA0" w:rsidRDefault="00000000">
      <w:pPr>
        <w:widowControl w:val="0"/>
        <w:jc w:val="both"/>
        <w:rPr>
          <w:rFonts w:asciiTheme="majorBidi" w:eastAsia="Calibri" w:hAnsiTheme="majorBidi" w:cstheme="majorBidi"/>
          <w:lang w:eastAsia="en-US"/>
        </w:rPr>
      </w:pPr>
      <w:r>
        <w:rPr>
          <w:rFonts w:asciiTheme="majorBidi" w:eastAsia="Calibri" w:hAnsiTheme="majorBidi" w:cstheme="majorBidi"/>
          <w:b/>
          <w:bCs/>
          <w:lang w:eastAsia="en-US"/>
        </w:rPr>
        <w:t>2</w:t>
      </w:r>
      <w:r>
        <w:rPr>
          <w:rFonts w:asciiTheme="majorBidi" w:eastAsia="DengXian" w:hAnsiTheme="majorBidi" w:cstheme="majorBidi"/>
          <w:b/>
          <w:bCs/>
          <w:color w:val="000000"/>
        </w:rPr>
        <w:t xml:space="preserve">.  </w:t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>Aparat USG</w:t>
      </w:r>
      <w:r>
        <w:rPr>
          <w:rFonts w:asciiTheme="majorBidi" w:eastAsia="DengXian" w:hAnsiTheme="majorBidi" w:cstheme="majorBidi"/>
          <w:color w:val="000000"/>
          <w:sz w:val="22"/>
        </w:rPr>
        <w:t xml:space="preserve">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2F1EF79C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7094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DAF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4A0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40D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33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2B490BAD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F6B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723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A5F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627B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C9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ABD328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C4B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644A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8537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8567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939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69C176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9481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CCB6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lastRenderedPageBreak/>
              <w:t xml:space="preserve">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56A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9B7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A22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84504F1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BB4A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BD4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495F" w14:textId="77777777" w:rsidR="00510BA0" w:rsidRDefault="00510BA0">
            <w:pPr>
              <w:widowControl w:val="0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846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770099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65F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B64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Aparat fabrycznie nowy – rok produkcji 2024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EA6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A5C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586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8BF24B5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B8D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93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Aparat wykonany w technologii całkowicie cyfrowej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D01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BC4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B2E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303430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223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CE5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niezależnych kanałów procesowych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312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675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8 000 000 – 0 Pkt</w:t>
            </w:r>
          </w:p>
          <w:p w14:paraId="6E8F014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8 000 000 – 1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824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EAFA71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230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919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potwierdzony zakresem częstotliwości sond możliwych do podłączenia do aparatu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9BC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FAC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1,5-22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Mhz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0 Pkt</w:t>
            </w:r>
          </w:p>
          <w:p w14:paraId="63E6DFC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&gt; 1,5-22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Mhz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1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278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BB8219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7A7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28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Niezależne równoważne gniazda głowic obrazowych przełączane elektroniczne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1D7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6CB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7B4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052AD5C" w14:textId="77777777">
        <w:trPr>
          <w:trHeight w:val="10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878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642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Dotykowy wyświetlacz do sterowania wybranymi funkcjami aparatu o przekątnej min. 15 cali, rozdzielczości min. 1920 x 1080 pikseli z możliwością obsługi jak na tablecie, konfigurowania i zdublowania obrazu diagnostycznego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9CF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41B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D3B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8FFA133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890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20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Monitor LED bez przeplotu o przekątnej powyżej 22 cali, rozdzielczości min. 1920 x 1080 pikseli, z regulacją położenia (obrót, pochylenie, wysokość niezależnie od pulpitu).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BE5E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436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BB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703D22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14E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4AB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Płynna regulacja wysokość, obrotu, przesunięcia panelu sterowania względem korpusu aparatu z możliwością zablokowania w dowolnym położeniu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5C6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699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394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D60BCA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E92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04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Głośność pracy aparatu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ADA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4F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26 Db – 0 Pkt</w:t>
            </w:r>
          </w:p>
          <w:p w14:paraId="5E36D8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26 Db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B66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905C04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538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F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wyboru wersji oprogramowania w języku polskim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959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5EE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963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028F8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41A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C0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Połączenie z siecią szpitalną w standardzie DICOM min.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Print, Store, Storage Commitment, Media Exchange, Worklist.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0DBA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1F5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105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330CC1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BD5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214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Raporty strukturalne DICOM min. kardiologia, jama brzuszna, małe i powierzchowne narządy, piersi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3C0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7CB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07D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EACEC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F65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028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Porównywanie obrazu referencyjnego (obraz USG, CT, MR, XR) z obrazem USG na żywo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F0B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A53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688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0608E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BA3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6A8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połączenia z siecią szpitalną poprzez łączność bezprzewodową Wi-Fi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BC3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672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E15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9213D9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8C7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FB3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Możliwość przesyłania obrazów i danych pacjenta na urządzenia z systemem android (tablet lub smartfon), możliwość korzystania na tych urządzeniach z oprogramowania dydaktycznego zawartego w aparacie oraz sterowania podstawowymi funkcjami aparatu (funkcja pilota) - łączność Wi-Fi lub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219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3E5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02A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87D61C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DF4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EEA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Archiwizacja obrazów na dysku twardym wbudowanym w aparat oraz na pamięciach USB w formatach kompatybilnych z systemem Windows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147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633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C39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89E6DB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EF8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0A1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Pojemność dysku twardego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3FA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 TB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7F6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5F8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079BF2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59A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2B4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Porty USB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5E5B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5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4E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3C9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60CB83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64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346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Zapis obrazów i pętli w formacie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raw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data na dysku twardym aparatu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EE4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C18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560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01C6F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F61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921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regulacji podstawowych parametrów na zatrzymanym obrazie. Min.: TGC, LGC, wzmocnienie (2D, tryby dopplerowskie), zakres dynamiki, mapy szarości, mapy koloru, linia bazowa, odwrócenie spektrum i koloru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invert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 i inne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2A1B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0B7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15E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3EC11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CF7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EB1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Możliwość tworzenia własnych ustawień (tzw.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presetów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8EB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F9E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4E4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C15D2F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D47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CE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tworzenia własnych protokołów standaryzujących przepływ pracy (prowadzących przez poszczególne kroki: tryby obrazowania, pomiary itp.)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55A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D97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408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E623A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D40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CDE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Nagrywanie i odtwarzanie dynamicznych obrazów /tzw.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loop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prezentacji B oraz kolor Doppler, prezentacji M-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Dopplera spektralnego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346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BF8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123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C57BDE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39B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FFD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klatek pamięci CINE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7C7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41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40 000 – 0 Pkt</w:t>
            </w:r>
          </w:p>
          <w:p w14:paraId="3430CBB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40 000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204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5E13F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2CE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2F4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Wbudowany cyfrowy rejestrator wideo do ciągłego zapisu wykonywanego badania na dysku twardym i następnie zgrania na nośniki przenośne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2616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Czas pojedynczego nagrania min. 60 minut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7A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1E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4DCC7A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8E7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2BF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Biało-czarna drukarka termiczna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C6A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E50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35E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F0528E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9C5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DA0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Dedykowany do aparatu podgrzewacz żelu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B35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AD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71B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8C6D3B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4BA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642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Wbudowany akumulator pozwalający na przełączenie aparatu w stan uśpienia, odłączenie od zasilania, przewiezienie i ponowne uruchomienie oraz pracę do min. 110 minut dla akumulatora w pełni naładowanego.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996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27C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62F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63CA0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88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A80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Czas uruchomienia aparatu ze stanu całkowitego wyłączenia do stanu gotowości do pracy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5D5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F1A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30 Sek. – 0 Pkt</w:t>
            </w:r>
          </w:p>
          <w:p w14:paraId="453C457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30 Sek.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EAF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93E77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A2D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4C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Czas uruchomienia ze stanu uśpienia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E5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877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5 Sek. – 0 Pkt</w:t>
            </w:r>
          </w:p>
          <w:p w14:paraId="2DFD922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5 Sek.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FB2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2B9F1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F1E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B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Moduł EKG wbudowany w aparat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228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C1C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D6B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2FC2B3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7646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395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TRYBY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B9C3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1F72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55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04CCDA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551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109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2D (B-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D75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CD9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016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FD23C8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FFB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430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ustawienia głębokości penetracji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3F7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6CE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– 39 Cm – 0 Pkt</w:t>
            </w:r>
          </w:p>
          <w:p w14:paraId="1A04A84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2 – 39 Cm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F8D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1981B0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DA8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BA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bezstratnego powiększania obrazu rzeczywistego i zamrożonego (tzw. zoom) a także obrazu z pamięci CINE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CF9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10x</w:t>
            </w:r>
          </w:p>
          <w:p w14:paraId="6CD98E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52E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C7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EE78B9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8D7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273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powiększenia obrazu diagnostycznego na pełny ekran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D91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5A7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6A0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DE9754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4C7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446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dynamiki dla obrazu 2D wyświetlany na ekranie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14D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5C2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260 Db – 0 Pkt</w:t>
            </w:r>
          </w:p>
          <w:p w14:paraId="0A9A65C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260 Db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A26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18F6CB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FF0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E3F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harmoniczne na wszystkich oferowanych głowicach z wykorzystaniem przesunięcia lub inwersji faz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89E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DAB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1F8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32CE84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66D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4E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Strefowe wzmocnienie obrazu na wybranych głębokościach (TGC) dostępne na panelu dotykowym, z funkcją zapamiętywania kilku preferowanych ustawień.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79B6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8 stref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DCC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F13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1982F2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E99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55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Strefowe pionowe wzmocnienie obrazu (LGC) dostępne na panelu dotykowym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7A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84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8 Stref – 0 Pkt</w:t>
            </w:r>
          </w:p>
          <w:p w14:paraId="36F9FB3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8 Stref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4BE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2DB9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525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FB7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Technologia redukcji szumów i plamek oraz wyostrzenia krawędzi i wzmocnienia kontrastu tkanek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D3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830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9D4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92E50E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B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E9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Przestrzenne składanie obrazów (obrazowanie wielokierunkowe pod kilkoma kątami w czasie rzeczywistym)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516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1F5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981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41A371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628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4F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Ogniskowanie wiązki wysyłanej (nadawczej) na poziomie pikseli na całej głębokości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CA8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BD9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13B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E8C99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DD6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77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Kompensacja do prędkości rozchodzenia się ultradźwięków w badanej tkance z wyświetleniem tej prędkości na ekranie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B3E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D61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35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8D8EFF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91D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C9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Oprogramowanie służące do szczegółowego obrazowania drobnych obiektów (w niewielkim stopniu różniących się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echogenicznością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od otaczających tkanek), umożliwiające dokładną wizualizację struktur anatomicznych i zmian patologicznych, znacznie poprawiające rozdzielczość uzyskanych obrazów.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838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544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29F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B2966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F84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60D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Prędkość odświeżania w trybie 2D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6E7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0BA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1480 Obr./Sek. – 0 Pkt</w:t>
            </w:r>
          </w:p>
          <w:p w14:paraId="6033BB2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1480 Obr./Sek.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E9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72A93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36C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0FD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6B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710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055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35575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449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BD4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Wybór prędkości przesuwu zapisu trybu 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382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 . 5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622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E21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800048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377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CDC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M z efektem Dopplera kolorowego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426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487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89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AADD40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B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7D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anatomiczny M-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min. z 3 linii prostych i krzywoliniowy anatomiczny M-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C4F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D4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C9D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41605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271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DA8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spektralny Doppler Pulsacyjny (PWD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F94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23D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677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72E5E1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D92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A08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Maksymalna mierzona prędkość przepływu przy kącie korekcji 0⁰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373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8,5 m/s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AFE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7EA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615E1A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1E0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B1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Regulacja wielkości bramki dopplerowskiej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9CE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B2E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0,5 - 25 Mm – 0 Pkt</w:t>
            </w:r>
          </w:p>
          <w:p w14:paraId="19EEE42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0,5 - 25 Mm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E55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EB99F4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690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76B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Kąt korekcji bramki dopplerowskiej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80D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0 do +/-89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2FE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320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FB2A87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FAA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915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Szybka zmiana kąta korekcji -60/0/60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90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716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7E5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63EAE2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C7A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FC6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spektralny Doppler Ciągły (CWD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035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E71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1A7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0434C2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079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49B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Maksymalna mierzona prędkość przepływu przy kącie korekcji 0⁰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59E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048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39 M/S – 0 Pkt</w:t>
            </w:r>
          </w:p>
          <w:p w14:paraId="1993A00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39 M/S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29B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4AFA6E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C1D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465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Doppler Kolorowy (CD)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5D0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264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C0F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A7F39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E57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5E7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Maksymalna prędkość odświeżania obrazu dla Dopplera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kolorowgo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903F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2E2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270 Obr./S – 0 Pkt</w:t>
            </w:r>
          </w:p>
          <w:p w14:paraId="10CCAD2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270 Obr./S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0F2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578540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D29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285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Regulacja uchylności pola Dopplera Kolorowego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A0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24D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+/-30 Stopni – 0 Pkt</w:t>
            </w:r>
          </w:p>
          <w:p w14:paraId="397B4BE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+/-30 Stopni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BE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448C0F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5B4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837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angiologiczny /Power Doppler/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444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1B6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520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0562DD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B4B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CDA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Power Doppler kierunkowy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7A5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A95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D9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00FA5E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7BA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9A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Rozszerzony tryb kolorowego Dopplera o wysokiej rozdzielczości i czułości do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dokładnego obrazowania przepływów szczególnie w małych naczyniach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2C3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135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37F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6466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022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C36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Wizualizacja z efektem 3D przepływów uzyskiwanych w trybie 2D/Kolor lub Power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BD6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267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FF6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6F345C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5F5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58E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Oprogramowanie do procentowego określenia unaczynienia tkanki w badanym obszarze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D2A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8C7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860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90EC3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ECF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808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kolorowy i spektralny Doppler tkankowy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0CD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5EA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22E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589B7A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031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242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Duplex /2D+PWD lub CD/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19D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759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F5B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EDF43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7E8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E5A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Tryb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Triplex /2D+PWD+CD/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CF2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D29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F4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6D555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9CA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6EC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Automatyczna optymalizacja obrazu za pomocą jednego przycisku w trybie B-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Dopplera spektralnego. Automatyczne umiejscowienie pola Dopplera kolorowego oraz bramki Dopplera PW odpowiednio do naczynia. Automatyczna optymalizacja wzmocnienia Dopplera kolorowego.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FC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A25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29A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AD8223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BF7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63B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Automatyczne podążanie pola Dopplera kolorowego i bramki Dopplera PW za naczyniem w dopplerowskich badaniach naczyniowych z automatycznym ustawieniem kąta ugięcia oraz wielkości i kąta korekcji bramki PW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877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DE5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579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B6FD38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4FE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57A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Technologia poprawiająca wizualizację igły biopsyjnej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F8D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DD7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1EA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4CBD60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3E4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F78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Obrazowanie panoramiczne oraz obrazowanie panoramiczne przepływów w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lub Power Dopplerze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AA9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632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A1C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93AAB2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FE7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39D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Obrazowanie sztywności tkanek –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elastografia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typu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 możliwością obrazowania na dwóch półobrazach obrazu 2D i 2D 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elastogramem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na żywo oraz możliwością pomiarów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ratio dostępna na głowicach liniowych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endocavitarnych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B286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955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0A1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66AF0A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3FA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AC6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Elastografia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akustyczna (uzyskanie fali poprzecznej dzięki wykorzystaniu fali ultradźwiękowej wysłanej z głowicy). Obraz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w mapach koloru w tym z wysoką rozdzielczością czasową w czasie rzeczywistym. Możliwość wyświetlania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jednoczasowo obrazu w trybie B i obrazu 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elastogramem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oraz wyświetlania jednoczasowo obrazu z mapowaniem jakości sygnału dla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obrazu 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elastogramem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Jednostki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kPa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m/s do wyboru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11F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9C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35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2AADC1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CC9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185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Analiza sztywności tkanki w wybranej bramce realizowana w trybie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elastografii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akustycznej z możliwością uśredniania wyników oraz wyboru wartości maksymalnych lub minimalnych – jednostka miary: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kPa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m/s do wyboru. Indeks jakości wykonanego badania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967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C4D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711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B2483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62E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1E3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z użyciem ultrasonograficznego środka kontrastującego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3BA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620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260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4F6C0A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401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FDD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z użyciem ultrasonograficznego środka kontrastującego do oceny lewej komory serca LVO i z niskim MI do oceny mięśnia sercowego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A1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81B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313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2CD762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BC6C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7691" w14:textId="77777777" w:rsidR="00510BA0" w:rsidRDefault="000000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71C3" w14:textId="77777777" w:rsidR="00510BA0" w:rsidRDefault="00510BA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44E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C79B" w14:textId="77777777" w:rsidR="00510BA0" w:rsidRDefault="00510BA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FD0A26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7EC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4C2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(technologia Single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Crystal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lub podobna - podać) wieloczęstotliwościowa, szerokopasmowa.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F59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8D0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F7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F3B848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14E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3F4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902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1,5 – 6,0 MHz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206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2A1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691872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3C9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4A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2D4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A8C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A5A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478431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06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AD0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0E6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C20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87F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6AA5BF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5E9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7D4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B54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81D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0A8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1FA8ED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0AC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00B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2BD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190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B10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57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8DDE29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F06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638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102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60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87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4F1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CDCD91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E43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D2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Rozszerzony 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9A1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70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659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180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BC647A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81E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8C4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Głębokość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423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40 cm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6F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14C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A184C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82F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520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liniowa wieloczęstotliwościowa, szerokopasmowa.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28D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86B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5BE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FF8532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902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09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6B9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3,0 – 14,0 MHz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991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A5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A6FC65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179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E13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D1A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6D4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EB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C5761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8AD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0DE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846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43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AD2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E69DD8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0AE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3C4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F78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2B4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EE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4E30FB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8D8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A68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2FC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250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E1F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F0E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9DE2C6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4C8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B2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Długość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636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50 mm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88C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787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9581C1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FD4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62E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trapezowe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26D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F2F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37B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B7AC3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3ED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30F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Głębokość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624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2E1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CCC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DFB59F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885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E4B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liniowa wieloczęstotliwościowa, szerokopasmowa typu „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hockey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5D9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1F8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2D9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22D99A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177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054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549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AA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F5D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D3647D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D0F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69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720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19D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158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A49C8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CEC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93F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1F2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E12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61A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233C5B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9A6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6EC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1CBB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426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C92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402D3F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000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CA0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DD6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120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E1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0F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9AA45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79C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B9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Długość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DD4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Max. 28 mm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C54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22C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04B5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642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405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trapezowe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618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92D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72B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21FF9C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496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FA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Głowica laparoskopowa typu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wieloczęstotliwościowa, szerokopasmowa.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FED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EB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EB5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792EF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9E8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87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B32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3,5 – 11,0 MHz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5FD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AD6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87C483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013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56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888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48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E63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161687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42B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21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701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3DC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0AA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C37D8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59F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717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BB64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7A2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A76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4B038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4FF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29D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3A1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120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25C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1D6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9C37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089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1C7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B18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E11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AB1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E05B4D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287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FAE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Rozszerzony 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470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70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EDC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CC4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C9382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1E9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D6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Głębokość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855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25 cm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CE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070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F9B44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11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E85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typu 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A79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8FC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383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4719AF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A73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F58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A65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315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AE3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DD591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D7A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57B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FCB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2F5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5E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B144F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DE0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AB6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8DD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C2F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25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5D9DB9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224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ED8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Częstotliwości pracy do wyboru dla trybu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B3D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A18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01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DC77F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E9F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B3F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377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120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718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2D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3AA224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99B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E5D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Rozszerzony 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185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Max. 80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32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709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787CDC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CED2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28E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OPROGRAMOWANIE POMIAROWO-OBLICZENIOWE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0A5F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8EB0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EE4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48651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C0D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8E4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Pakiet obliczeń automatycznych dla Dopplera – automatyczny obrys spektrum wraz z podaniem podstawowych parametrów przepływu (min. PI, RI i inne) zarówno na obrazie rzeczywistym, jak i na obrazie zamrożonym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575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8A9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7E3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A1BFFE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098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5D7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Oprogramowanie aparatu /programy obliczeniowe i raporty/: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j.brzuszna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, ginekologia, położnictwo, pediatria, małe i powierzchowne narządy, naczynia, urologia, kardiologia i inne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FE9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D41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96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9A0B63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AEB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76B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Pakiet do pomiarów i oceny narządów dna miednicy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B74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11D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 – 2 Pkt</w:t>
            </w:r>
          </w:p>
          <w:p w14:paraId="4490BED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5E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570D38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507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232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Raporty z każdego rodzaju badań z możliwością dołączania obrazów i eksportu w plikach min. PDF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145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158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10F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498507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05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4F9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Półautomatyczny lub automatyczny obrys oparty o funkcję śledzenia granic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BAE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1D7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272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58DCA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DA0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92B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Automatyczny pomiar IMT w wybranym obszarze.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31FF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1EE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5B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7355E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3EA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F64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Oprogramowanie do automatycznego rozpoznawania wątroby i kory nerek, automatycznego obliczania współczynnika jasności wątroby i kory nerkowej na podstawie obrazu 2D oraz określenia indeksu wątrobowo-nerkowego dla oceny stłuszczenia wątroby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5CB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429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E64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B06B56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A8E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867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Protokół automatycznego skanowania i analiza tarczycy z klasyfikacją TI-RADS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956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EBF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F7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59003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2DE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06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Protokół automatycznego skanowania i analiza piersi z klasyfikacją BI-RADS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131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9D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3EF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225B26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EFE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F1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Analiza kurczliwości mięśnia sercowego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 użyciem kolorowego Dopplera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tkakowego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88C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B3A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D49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0D4F23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AB1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D93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Analiza kurczliwości mięśnia sercowego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realizowana w trybie 2D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(funkcja śledzenia tkanki lub podobne)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9F0F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D89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4D3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BA5506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94F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02D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Automatyczny pomiar frakcji wyrzutowej EF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A0D1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2C4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E3A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9643F8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8DF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F5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Stress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Echo – wysiłek fizyczny oraz próba farmakologiczna. Możliwość tworzenia własnych protokołów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893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4D5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B3B7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422118D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2C4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B05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Oprogramowanie do pomiarów i analizy badania z użyciem ultrasonograficznego środka kontrastowego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28E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A0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AB23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3BF15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8949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6A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OPCJE ROZBUDOWY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CE3D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DE56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83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10BA0" w14:paraId="1D59D8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B9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7B9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głowicę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sektorową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phased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array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) (technologia Single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Crystal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lub podobna - podać) o zakresie częstotliwości pracy min. 1,5–4,5 MHz i ilości fizycznych elementów (kryształów)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80.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4A1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519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C8DE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EF9E52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7C5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49A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rozbudowy 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obrazowanie 3D w czasie rzeczywistym (4D) z głowic wolumetrycznych (objętościowych)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endovaginalnej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 maksymalną prędkością obrazowania min. 70 objętości/sek.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784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575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A81B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3E674C0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F99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49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rozbudowy 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obrazowanie 3D z tzw. „wolnej ręki”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28E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0C8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574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35CD2A3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91B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DAA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f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unkcję efektu światłocienia (latarki) dla obrazowania 4D z regulacją kierunku oświetlenia, siły efektu światłocienia oraz rozpraszania światła celem łatwiejszego wykrywania wad płodu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AD0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0C3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F97E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4098A7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3B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787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utomatyczną detekcję twarzy płodu oraz jej zobrazowanie pod odpowiednim kątem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56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78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0B4E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F99FC8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49D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AA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brazowanie tzw. tomograficzne – wyświetlanie kilku warstw danej objętości jednocześnie na ekranie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615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E2F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B75C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CCBA7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3C3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A3A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brazowanie 3D przepływów w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lub Power Dopplerze do wyboru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2FA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645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912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A4374B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5E8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63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otowe scenariusze badań dla poszczególnych struktur anatomicznych płodu (np. kręgosłup, twarz itp.) i innych w obrazowaniu 4D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757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D88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8B44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45EE2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661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4B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utomatyczny pomiar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NT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678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93A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B0B6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100448D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6A6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0D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podstawowych parametrów biometrii płodu (min. BPD, HC, AC i FL)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27E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91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CF4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2106C3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8D1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7B0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narządów dna miednicy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9D88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2E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CEDA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6138BFE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7C5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64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pęcherzyków w jajniku z oznaczeniem poszczególnych pęcherzyków na obrazie 3D.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C95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A74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85B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8F5734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CA4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B29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objętości w trybie 3D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2894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4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DFE7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6D84E5F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C31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CC2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brazowanie objętościowe serca płodu tzw. STIC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DD2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540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59DA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007EA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686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27A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utomatyczną detekcję widoków odpowiednich dla badań serca płodu realizowaną z uzyskanej objętości 3D płodu (min. drogi odpływu lewej komory, drogi</w:t>
            </w:r>
          </w:p>
          <w:p w14:paraId="71F035E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odpływu prawej komory i innych)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1C9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49B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B2EC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346E6E1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464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A6F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utomatyczną detekcję przekrojów oraz automatyczne pomiary dla centralnego układu nerwowego płodu realizowane z uzyskanej objętości 3D głowy płodu.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B44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1F9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0A9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179A8DB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17A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B96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łowice objętościowe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endovaginalna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pracujące w trybie 4D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E2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284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49C9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0A7337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972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7B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wysokoczułe obrazowanie przepływów z wektorowym lub podobnym zobrazowaniem przepływu (zobrazowanie kierunku oraz przybliżonej prędkości wektorami) m.in. dla dokładnego lokalizowania słabo widocznych blaszek miażdżycowych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FBE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ED8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71D8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4D39583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982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D8E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programowanie do automatycznej detekcji i pomiaru kompleksu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Intima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– Media w czasie rzeczywistym bazujące na danych RF, z wykorzystaniem częstotliwości radiowych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DE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736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EF68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47EE64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7A3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5F3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cenę elastyczności ścian naczyń realizowaną w oparciu 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automatyczne śledzenie ruchów górnej i dolnej ściany naczynia bazującą na danych RF, z wykorzystaniem częstotliwości radiowych, z wyświetleniem krzywej ruchu ścian naczyń w czasie rzeczywistym oraz wyświetleniem przesunięcia i średnicy naczynia w polu wyników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FB1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F5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AB43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6AE8014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3F4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6F3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echnologię umożliwiającą nałożenie i zsynchronizowanie obrazów uzyskanych z innych technik diagnostyki obrazowej (CT/MR) z aktualnie skanowanym obrazem ultrasonograficznym (Fuzja obrazów)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698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38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3E47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</w:tbl>
    <w:p w14:paraId="61871388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6052E89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FD70759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741C968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1D88016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9B695A6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C97C9FD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62CA9BA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0A7834F7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4094ACE4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2B97368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F8D28AF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55E9B7D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97FE30D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7A363EFD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Opis Przedmiotu Zamówienia dla Zadania 2</w:t>
      </w:r>
    </w:p>
    <w:p w14:paraId="0E1B64E0" w14:textId="77777777" w:rsidR="00510BA0" w:rsidRDefault="000000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Załącznik nr 1.1 b</w:t>
      </w:r>
    </w:p>
    <w:p w14:paraId="4BF9ADAE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="Times New Roman" w:eastAsia="DengXian" w:hAnsi="Times New Roman"/>
          <w:b/>
          <w:bCs/>
          <w:color w:val="000000"/>
          <w:sz w:val="22"/>
        </w:rPr>
        <w:t>Defibrylator z opcją elektrod zewnętrznych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2D2EC07A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D0E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7FA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A03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AF4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36D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0167397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C5E9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6152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735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71D5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B0F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7F095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4B63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FCAB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FA1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547A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7E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748491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3A3B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D687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E4D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DACF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1FF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DCA5F35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9FF8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D02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2097" w14:textId="77777777" w:rsidR="00510BA0" w:rsidRDefault="00510BA0">
            <w:pPr>
              <w:widowControl w:val="0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121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5EC9DD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5B3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C9C1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Urządzenie przenośne o wadze maks. 7 kg (z akumulatorem i papierem), wbudowany uchwyt do przenoszenia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F89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558E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 kg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poniżej 7 kg - 3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F1DD" w14:textId="77777777" w:rsidR="00510BA0" w:rsidRDefault="00510BA0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510BA0" w14:paraId="5B056EF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839F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32E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Aparat odporny na kurz i zalanie wodą przy zasilaniu bateryjnym oraz sieciowym 230VAC - min. klasa IP44 wg IEC529)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3823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7DBE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B29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E270713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EBF3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B5C7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Automatyczny test aparatu wykonywany każdorazowo przy włączeniu aparatu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475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C43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DDA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6803EA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137C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3CA2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Zasilanie sieciowe 230V 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2B8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2DF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ACB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C4458AF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18D6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A71B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Zasilanie akumulatorowe. Akumulator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litowo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-jonowy, zapewniający: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min. 4 godziny ciągłego monitorowania EKG i co najmniej dwadzieścia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wyładowań z maksymalną energią;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min. 100 wyładowań z maksymalną energią;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min. 3,5 godziny monitorowania EKG i stymulacji przy maksymalnych wartościach (największe dostępne natężenie prądu i częstotliwość impulsów)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76B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6EB9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8F0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55009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1A8D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5921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Czas ładowania akumulatora do 100% w czasie do 6 godzin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32E3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F785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 godzin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poniżej 6 godzin - 3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86F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5D4408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27B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05B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Wskaźnik naładowania akumulatora widoczny na ekranie defibrylatora oraz na samym akumulatorze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622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2321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671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58A1E7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BDC8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7EC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Defibrylacja manualna: dwufazowy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rektalinerany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stałoczasowy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impuls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defibrylacyjny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regulacja energii w zakresie min. 1 - 200 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2031D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79C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A61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0CB782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775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9EA5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Programowanie ustawień energii dla 1, 2 i 3 wyładowania w zakresie min. 1 – 200J (dotyczy pacjentów dorosłych i dzieci).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0FCF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594F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EC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A22B2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0977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E9A7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Tryb półautomatycznej defibrylacji (AED) - automatyczna analiza rytmu serca i wskazanie do defibrylacji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A5B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366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1E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2E88D9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8E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B26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Kardiowersja elektryczna – synchronizacja z zapisem EKG z łyżek, elektrod, kabla EKG, znacznik synchronizacji widoczny nad załamkiem R elektrokardiogramu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159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A78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1C0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76F9E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772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D7DD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Czas ładowania do energii maksymalnej poniżej 8 sekund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FCA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2B18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 sekund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7 sekund i mniej – 5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19C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3960CA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691F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C1B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Minimum 20 dostępnych poziomów energii defibrylacji zewnętrznej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8B808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FA1A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803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77C5CA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351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ABCB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impedancji pacjenta podczas defibrylacji zewnętrznej min. 15-300 Ω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7A2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7AEB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654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B726A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E55C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E11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Łyżki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defibrylacyjne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dla dzieci i dorosłych zintegrowane.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69E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67C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4B9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FFAD14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5C09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8D3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Pełne sterowanie za pomocą przycisków lub pokręteł na łyżkach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defibrylacyjnych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(wybór poziomu energii, ładowanie, wyzwolenie wstrząsu, start/ stop wydruku)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CC5C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4A11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36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C6CE8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AB7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C46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Monitorowanie EKG z 3 lub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B0F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AB8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6CB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621BF6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B1EF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1410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częstości akcji serca min. 20-300 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756A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47E9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9EC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0FC33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02CD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3C4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Minimum dostępnych poziomów wzmocnienie sygnału EKG w zakresie min. 0,125-3,0 cm/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466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0315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 poziomów wzmocnienia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powyżej 5 poziomów wzmocnienia - 5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2DC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E4A0C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2CD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AEC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Wykrywanie i wyświetlanie impulsów stymulatora implantowanego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32D5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D8B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AFC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954EA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6AAD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745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SpO2 min. 0-100%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2E5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750F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A12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9B4D0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60E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E1B4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Dokładność pomiaru SpO2: min. 2% w przedziale 70-100%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710F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2EE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47A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01C83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25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168C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tętna min. 25-240 ud./min.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CDC1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373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D5A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A298A7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D1A1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F8A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Dokładność pomiaru tętna: min. 2 ud./min. lub 3% odczytu (większa wartość)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63B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A5BE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2A1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5703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2C4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6D9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wyboru jednego z minimum trzech poziomów uśredniania/czułości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6871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731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3FF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3ECE02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7F5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7FF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Pomiar częstości oddechów przy pomocy elektrod EKG. Wyświetlanie wartości liczbowej częstości oddechów oraz krzywej impedancji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8351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B10A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94C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E3823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F8A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141D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Zakres pomiaru częstości oddechów min. 2-150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45B6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411B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75C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D92AFF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8A03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95F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Ustawienia alarmów: wysoka i niska częstość oddechów oraz brak oddechu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0EC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DCC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900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4C2328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6D60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EE5D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Technika pomiaru: nieinwazyjna metoda oscylometryczna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549B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8A9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72E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D7B0AE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2FA4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89EE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Zakres pomiarowy: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ciśnienie skurczowe: min 20-265 mmHg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ciśnienie rozkurczowe: min. 10-220 mmHg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ciśnienie średnie: min. 13-235 mmHg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6A1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E7FF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1F7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22D19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9D2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D64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Dokładność zgodna z normą EN ISO 81060-2 lub równoważny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A846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D01E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E12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AC8888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0B51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D650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ustawienia automatycznego pomiaru ciśnienia w różnych interwałach czasowych: minimum 10 możliwości wyboru z zakresu od 2,5 do 120 minut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88DF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D86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0DB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7D7B1C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F1A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EC11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 monitorowania RKO, z informacją zwrotną w czasie rzeczywistym o prawidłowości uciśnięć klatki piersiowej - sygnalizacja akustyczna i optyczna właściwego tempa oraz prawidłowej głębokości uciśnięć, zgodnie z Wytycznymi Resuscytacji. Wydawanie instrukcji w formie komunikatów głosowych w przypadku prawidłowych i nieprawidłowych ucisków klatki piersiowej podczas RKO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EB77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2346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15C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E40306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0F1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BF3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Podczas resuscytacji z zastosowaniem elektrod: pomiary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i wyświetlanie na ekranie w formie liczbowej rzeczywistej głębokości (cm) i częstości (1/min.) uciśnięć.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D8E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F98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8C6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82609B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B99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23FC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 metronomu umożliwiająca prowadzenie uciśnięć klatki piersiowej zgodnie z Wytycznymi Resuscytacji Krążeniowo-Oddechowej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48A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DFF1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F4C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224EA6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F397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C05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Wyświetlanie na ekranie krzywej uciśnięć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klatki piersiowej z wyraźnym znacznikiem zalecanej głębokości uciśnięć.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DDA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9999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706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DFD70B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4A7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0FD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stymulacji dzieci i dorosłych w trybach asynchronicznym i „na żądanie”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D66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9D0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380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E4B63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B05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D87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Stałoprądowy, prostokątny impuls stymulacji o stałym czasie trwania 40 ms +/- 2 ms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4B83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D67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EF5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F9D95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6579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B8B6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Częstość stymulacji regulowana w zakresie min. 30-180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/min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EB5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596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9F9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1FAF6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FAB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868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Prąd stymulacji regulowany w zakresie min. 0-140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353A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A46D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9F7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B3DB21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244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2B8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Ekran kolorowy LCD / TFT o przekątnej min. 6,5”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FBF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FA5D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6,5"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powyżej 6,5" - 2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8E2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188254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692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E13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Prezentacja na ekranie min. 2 krzywych dynamicznych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4DE7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7D0C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krzywe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3 lub więcej - 2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FEF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569690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60A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639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Dostępny funkcja wyświetlania parametrów w trybie wysokiego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kontastu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(czarne wartości liczbowe/krzywa na białym tle)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AD4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C4A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D27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6AA05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31C7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6426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Wyświetlanie przez urządzenie wstępnie skonfigurowanej listę działań klinicznych, takich jak leki lub zabiegi zastosowane u pacjenta. Możliwość dodania działania klinicznego do dokumentacji pacjenta w pamięci aparatu podczas akcji ratunkowej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033B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F156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304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8A26A0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EDF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504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Wbudowany rejestrator termiczny EKG na papier o szerokości min. 80 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D5E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0EA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1F2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95C06B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156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7EA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Zapis w pamięci wewnętrznej wyników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autotestów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z podaniem daty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i godziny testu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F15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39B5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BB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388C11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FE76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AAE5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transferu danych/raportów do urządzenia zewnętrznego przez zewnętrzny nośnik danych (USB)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C53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C240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EC3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220C8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514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7E1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Dopuszczenie do obrotu i stosowania zgodnie z ustawą o wyrobach medycznych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1C0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68E5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EFD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DC7F8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528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BE7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Autoryzowany serwis gwarancyjny na terenie Polski, załączyć autoryzację producenta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F19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DCB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39A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CBACE9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228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FB12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gwarancji 24 miesiące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D3C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5FC0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216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09CE0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922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D4E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Instrukcja obsługi w języku polskim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D712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B04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168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223190A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28618CC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2. </w:t>
      </w:r>
      <w:r>
        <w:rPr>
          <w:rFonts w:ascii="Times New Roman" w:eastAsia="DengXian" w:hAnsi="Times New Roman"/>
          <w:b/>
          <w:bCs/>
          <w:color w:val="000000"/>
          <w:sz w:val="22"/>
        </w:rPr>
        <w:t xml:space="preserve">Stolik medyczny typu MAYO  z regulacją wysokości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1B51B39E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3FA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831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393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B25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3490B23B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645B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B42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0AE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897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E1782B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56C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E5DD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136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E7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244895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2E6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C8D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2024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CC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5F9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63F870A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02E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C76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B5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E98B94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88F7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28A5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Stolik instrumentalny typu MAYO wykonany w całości ze stali kwasoodpornej gat. 0H18N9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35A1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4CB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6D0645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C54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1D52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Blat z pogłębieniem, obracany w poziomie o 360° z blokadą obrotu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C7E7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BF2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CFA5C6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D672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8FA8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Blat podnoszony hydraulicznie za pomocą pedału nożnego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FB5F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2F1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86002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9903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DA24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Regulacja wysokości blatu w zakresie 950-1320 mm (+/- 20mm)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4695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A21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6AF502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05A1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B812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Podstawa w kształcie litery T, wyposażona w 3 pojedyncze koła w obudowie z tworzywa sztucznego o średnicy min. 75 mm, wszystkie z blokadą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686C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E7E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ABD23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E472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B6D1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Wymiary blatu: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szerokość: 750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głębokość: 500 mm (+/- 20mm)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3BC1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2E0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E8565D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683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11B6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Wymiar powierzchni użytkowej blatu: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szerokość: 700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głębokość: 450 mm (+/- 20mm)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4FF4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1F8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BA11D6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AC7F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5C7B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Wymiary całkowite: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szerokość: 750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głębokość: 500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wysokość: 950-1320 mm (+/- 20mm)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9415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25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97BDAB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CA6C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5352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Wymagane dokumenty: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Deklaracja zgodności CE,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Wpis lub zgłoszenie do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URWMiPB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Certyfikat producenta wyrobów medycznych PN-EN ISO 13485,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Certyfikat PN-EN ISO 9001 - projektowanie, serwis, produkcja sprzętu medycznego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293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67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7049577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AE3D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3040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Rok produkcji 2024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FC24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B25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55E6B23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E5107B0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3. </w:t>
      </w:r>
      <w:r>
        <w:rPr>
          <w:rFonts w:ascii="Times New Roman" w:eastAsia="DengXian" w:hAnsi="Times New Roman"/>
          <w:b/>
          <w:bCs/>
          <w:color w:val="000000"/>
          <w:sz w:val="22"/>
        </w:rPr>
        <w:t>Łóżka intensywnej terapii z materacem przeciwodleżynowym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58B5F57C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9486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AB4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968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C8E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3C8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2F4872AF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8C35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B84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57C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2FC2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DD6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098D38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7001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945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3CA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6A8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810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50A0E67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163F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2CE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lastRenderedPageBreak/>
              <w:t xml:space="preserve">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C37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4B8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73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3BE197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3B97" w14:textId="77777777" w:rsidR="00510BA0" w:rsidRDefault="00000000">
            <w:pPr>
              <w:widowControl w:val="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F63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2DE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473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EE4FC81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3FF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AB1D" w14:textId="77777777" w:rsidR="00510BA0" w:rsidRDefault="00000000">
            <w:pPr>
              <w:widowControl w:val="0"/>
              <w:tabs>
                <w:tab w:val="left" w:pos="7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Urządzenie fabrycznie nowe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319C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D861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EF9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0D4670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A99F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FA8D" w14:textId="77777777" w:rsidR="00510BA0" w:rsidRDefault="00000000">
            <w:pPr>
              <w:widowControl w:val="0"/>
              <w:tabs>
                <w:tab w:val="left" w:pos="7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Rok produkcji min. 2023r.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B922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12E2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578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5203F55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407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7199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Zasilanie elektryczne urządzenia: 230 V 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oraz wbudowany akumulator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2B5ED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198A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B82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FA1DB36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878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41B8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Długość całkowita łóżka bez przedłużenia leża ok. 215 cm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123A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0180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81D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40258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678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A53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przedłużenia leża o minimum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cm.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0C38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B23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Tak, podać</w:t>
            </w:r>
          </w:p>
          <w:p w14:paraId="296D853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Zakres minimalny – 0 pkt.</w:t>
            </w:r>
          </w:p>
          <w:p w14:paraId="699D15AD" w14:textId="77777777" w:rsidR="00510BA0" w:rsidRDefault="00000000">
            <w:pPr>
              <w:widowControl w:val="0"/>
              <w:tabs>
                <w:tab w:val="left" w:pos="16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Zakres większy od minimalnego – </w:t>
            </w: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879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45BD362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1B7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386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Szerokość całkowita łóżka przy całkowicie podniesionych lub opuszczonych barierkach max.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cm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2895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8917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Tak, podać</w:t>
            </w:r>
          </w:p>
          <w:p w14:paraId="4160EA3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pl-PL"/>
              </w:rPr>
              <w:t>max.</w:t>
            </w: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 xml:space="preserve"> – 0 pkt.</w:t>
            </w:r>
          </w:p>
          <w:p w14:paraId="3E06D714" w14:textId="77777777" w:rsidR="00510BA0" w:rsidRDefault="00000000">
            <w:pPr>
              <w:widowControl w:val="0"/>
              <w:tabs>
                <w:tab w:val="left" w:pos="16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Zakres </w:t>
            </w: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poniżej max</w:t>
            </w: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FC4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D0D47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3B2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3E6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Regulacja elektryczna wysokości z indykatorem/sygnalizacją diodową osiągnięcia wysokości minimalnej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E8B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2D9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B8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259594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7D4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CE29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Sygnalizacja pozycji pośrednich - sygnalizowana podświetleniem diodowym ostrzegawczym koloru pomarańczowego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D6E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5E3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5F5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F85E7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C5A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5F1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Wysokość minimalna leża mierzona od podłoża do górnej płaszczyzny segmentów leża bez materaca ok.  44 cm (dla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pojedyńczych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kółek 150 mm)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F37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EA5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BCB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E8015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D8D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588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Wysokość maksymalna leża mierzona od podłoża do górnej płaszczyzny segmentów leża bez materaca ok. 80 cm (dla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pojedyńczych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kółek 150 mm)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D60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EA8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9C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25DC0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A957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720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Konstrukcja zapewniająca prześwit pod łóżkiem ok. 20 cm (dla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pojedyńczych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kółek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150 mm)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677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E97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6A2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B366F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5A3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40CF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Regulowane, tworzywowe klamry obejmujące materac, 2 szt. po każdej ze stron, zapobiegające przesuwaniu się materaca po płycie leża i ograniczające ryzyko zakleszczenia się pacjenta między materacem a barierkami bocznymi.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019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E72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BEC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7832A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75B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A33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segmentu oparcia pleców ze zintegrowaną, zaawansowaną funkcją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autokontur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Podnoszenie (lub opuszczanie) segmentu oparcia pleców powoduje uniesienie (lub opuszczenie) sekcji kolan, z kilko-sekundowym  opóźnieniem, w celu regulacji kąta nachylenia segmentu oparcia w stosunku do segmentu ud. Brak wydzielonych przycisków do regulacji funkcji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autokontur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0AE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9B5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B35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8352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C653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2496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kąta nachylenia segmentu oparcia pleców w stosunku do poziomu ramy leża 0-65°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5E7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E79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9F0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A9EFE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A26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780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segmentu uda wraz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autokonturem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344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8D4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705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E722CE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E8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E876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segmentu uda w stosunku do poziomu ramy leża min. 0-28°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C70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B21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B02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6BEC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48A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1BB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segmentu podudzia w stosunku do poziomu ramy leża Manualna regulacja segmentu podudzia min. -3° do -20°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CD9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1E9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B52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5F11ED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CD2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176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Ruch wsteczny segmentu oparcia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9F5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4BF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F76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28F3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9BB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75E0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18E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FEA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05C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BC7187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00B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A38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Pozycje dostępne po naciśnięciu jednego przycisku.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689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DD6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73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6ADDBB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06F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F523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Zakres regulacji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min. ( -1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°) - (+1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°)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1248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5ACE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Tak, podać</w:t>
            </w:r>
          </w:p>
          <w:p w14:paraId="3CEB540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Zakres minimalny – 0 pkt.</w:t>
            </w:r>
          </w:p>
          <w:p w14:paraId="2B042794" w14:textId="77777777" w:rsidR="00510BA0" w:rsidRDefault="00000000">
            <w:pPr>
              <w:widowControl w:val="0"/>
              <w:tabs>
                <w:tab w:val="left" w:pos="16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Zakres większy od minimalnego – </w:t>
            </w:r>
            <w:r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1CB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351AB6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EF8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D56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Elektrycznie regulowana pozycja ułatwiająca repozycjonowanie pacjenta - łóżko rozpoczyna serię skoordynowanych ruchów aż do uzyskania pozycji horyzontalnej a następnie przechyla leże do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do -7° -, materac pompuje się do maksymalnego ciśnienia. Pozycja uzyskiwana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547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51D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BC6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CA7A7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697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1D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Elektrycznie regulowana pozycja krzesła kardiologicznego. Łóżko rozpoczyna serię skoordynowanych ruchów, włączając pozycję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przekształcających pozycję łóżka do pozycji siedzącej z opuszczonymi nogami. Pozycja uzyskiwana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BD9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099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BC3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87A2C6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72A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A0BF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Elektrycznie regulowana pozycja horyzontalna – pozioma. Łóżko rozpoczyna serię skoordynowanych ruchów poziomujących segmenty leża z dowolnego ustawienia łóżka obniżając leże do najniższej, bezpiecznej pozycji. Pozycja uzyskiwana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BA0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1F2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B96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21490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88E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B83D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Pozycja wyjściowa uzyskiwana z jednego przycisku/piktogramu – regulowana elektrycznie. Łóżko rozpoczyna serię skoordynowanych ruchów tj. poziomuje segment ud, podnosi jednocześnie segment oparcia do 45° oraz obniża powierzchnię leża do wymaganej wysokości, ułatwiając pacjentowi wyjście z łóżka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E53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2C7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E2E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37CDDF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94D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F8C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Sterowanie funkcjami elektrycznymi ze sterowników wbudowanych w barierki boczne. Wszystkie przyciski membranowe,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wodoodporne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F45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24A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A2C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1815B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3A3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C51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Podświetlenie nocne dwukolorowe, informujące personel o najniższym ustawieniu wysokości łóżka.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22F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7A3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40D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562CB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6A9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FDC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pojedyncze antystatyczne, kółka o średnicy 150 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024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2E9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694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14D672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7E14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C82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Centralna blokada wszystkich kół jednocześnie uruchamiana jedną dźwignią zlokalizowaną pod szczytem łóżka od strony nóg pacjenta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DD9A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F40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882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869EBA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251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196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Koło sterujące pod segmentem oparcia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79A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329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870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9F53B6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E9C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C3D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Alarm niezaciągniętego hamulca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310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1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07B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94F243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2B3F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C10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Manualna funkcja CPR, oznaczona wyraźnym kolorem, umożliwiająca natychmiastowe opuszczenie segmentu oparcia oraz wyrównanie wysokości łóżka po wyższej stronie, dostępna z obu stron łóżka, niezależnie od pozycji barierek. Jednocześnie następuje automatyczna deflacja zintegrowanego materaca.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7C7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C74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FE2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07EBD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040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678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Elektryczna funkcja CPR obsługiwana za pomocą jednego przycisku w kolorze żółtym zlokalizowanym po zewnętrznej stronie barierek bocznych. Łóżko wykonuje serię skoordynowanych ruchów w celu wypoziomowania leża, rama wyrównuje się z obniżoną stroną. Jednocześnie następuje automatyczna deflacja zintegrowanego materaca.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AF66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46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2E5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FA14E6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6DD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311D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Barierki boczne podwójne, dzielone, poruszające się wraz z segmentami leża, zapewniające ochronę pacjenta przed zakleszczeniem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E9D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DCA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38A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AE54A9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B8E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B284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Barierki wyposażone w wizualne wskaźniki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kąta nachylenia segmentu oparcia z zaznaczeniem kąta 30º i 45º oraz kąta nachylenia ramy łóżka dla terapii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ułożeniowej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Wskaźniki widoczne niezależnie od pozycji barierek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2CB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921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45A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72E5D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A0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918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Konstrukcja barierek bocznych z jednostopniowym mechanizmem opuszczania, umożliwiająca ich złożenie przy użyciu jednej ręki. Barierki służą jako podparcie podczas wychodzenia pacjenta z łóżka. Barierki boczne łatwe w dezynfekcji z wbudowanymi panelami sterowania oraz uchwytem gwarantującym pewną i stabilną podporę podczas wstawania lub transferu na krzesło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7F6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65B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6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02330F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227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417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we wskaźnik naładowania akumulatora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47D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6DA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61C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6D9C68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32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1F7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Zewnętrzne wykończenie barierek bocznych oraz zdejmowanych szczytów łóżka wykonane z tworzywa sztucznego, bez widocznych elementów metalowych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9F7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BCB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137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98039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4C3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44C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we wskaźniki pozycji bioder pacjenta do właściwego ułożenia pacjenta na powierzchni leża, stanowiące integralną część barierek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21C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359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FC8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A83E9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8574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7A53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 graficzny interfejs użytkownika -dotykowy, kolorowy ekran LCD zlokalizowany po jednej stronie łóżka na barierce bocznej, służący do obsługi zintegrowanego materaca, alarmów, wagi i zmiany ustawień łóżka.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8B0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8E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120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9C16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B9A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D64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Automatyczne wygaszenie ekranu LCD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012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B2B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30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D1AAA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86B8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36EF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Alarm opuszczenia segmentu oparcia poniżej 30° lub 45° z możliwością zawieszenia podnoszący stopień bezpieczeństwa pacjentów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2C7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A40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57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466CE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B4BF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CD9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 system pomiaru masy ciała pacjenta klasy III w celu monitorowania, diagnozowania i leczenia certyfikowany przez jednostkę notyfikowaną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06C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E4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635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D36B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BC4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E2A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zapisania ostatniego pomiaru wagi w celu porównania zmiany masy ciała pacjenta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20C3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3A2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DAA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45DE5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D76E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3CE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wyświetlenia wagi z dokładnością 100g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33C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D09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7B1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98BF46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D0A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713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Waga wyposażona w system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autokompensacji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masy przedmiotów dodawanych i odejmowanych na leże w trakcie pobytu pacjenta na łóżku tak, by wyświetlana waga pacjenta pozostała bez zmian.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958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9B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9B7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B9F29E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FB0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B6D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Automatycznie wygaszana wartość masy ciała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AB9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133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5B7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9C0564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F01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4BA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Nieruchomy szczyt górny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D5B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556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3A0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DC6B5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73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34D3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Dodatkowa półka na pościel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4339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A60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598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F8A32A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2C1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6AB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 zaawansowany, zintegrowany materac powietrzny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9C3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D5B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220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082A54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FF2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BC5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wymiarami dostosowany do wymiarów leża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ED0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2CA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7C4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29942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67B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745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Grubość materaca min. 21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91B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9D4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BD2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9E193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982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DB66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Materac z możliwością pracy w dwóch trybach terapeutycznych (z możliwość wyboru): ciągłego i zmiennego niskiego ciśnienia. Wyposażony w sekcje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mikrokomór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klatki piersiowej, krzyżowej i udowej oraz sekcje specjalne dedykowane do profilaktyki i leczenia odleżyn pięt i głowy.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999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19C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5D1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FD3BED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168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529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Materac wyposażony w czujnik pomiaru ciśnienia, który automatycznie i w czasie rzeczywistym, bez udziału personelu dobiera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ciśnienia w komorach niezależnie od wagi i pozycji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88BD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D16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765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B4756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8EB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839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wyposażony w zintegrowaną kieszeń na kasetę RTG minimalizującą konieczność repozycjonowania pacjenta do wykonania badania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A09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54B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TAK – 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  <w:p w14:paraId="2DFCA92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14:paraId="50F116C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NIE – 0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B3B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58F81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C92E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B35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wyposażony w system odprowadzania wilgoci oraz ciepła w głąb pokrowca a następnie wraz z przepływem powietrza usuwa go na zewnątrz materaca.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E5D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D73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89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77C3D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16C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8FA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Limit wagowy gwarantujący skuteczność prewencji w pozycji leżącej 160 kg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D39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D3C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01D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52F97A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2133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7F44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Aktywacja maksymalnego napompowania materaca poprzez menu na dotykowym wyświetlaczu oraz poprzez krótkie naciśnięcie przycisku służącego do repozycjonowania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101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51F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5EF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3BC759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CA3E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5C54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Odbojniki w 4 narożnikach łóżka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D80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A83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C1A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E80B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069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A0AD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uchwytów na pasy do unieruchomienia pacjenta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F42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286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F14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B466F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331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8858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gniazda na statywy infuzyjne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2580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105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710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CE9F2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FAA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D7B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Obustronny pedał regulacji wysokości z blokadą przed przypadkowym uruchomieniem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708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DE5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37C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4AA79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28F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02A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Bezpieczne obciążenie robocze 250 kg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0E6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16D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BB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3FF999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38A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C79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Statyw infuzyjny min. 2 haki z regulacją wysokości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EDE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F01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49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3E9CB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ECB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B3D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Potwierdzona przez producenta możliwość poddania łóżka dekontaminacji suchym gazem (nadtlenek wodoru)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831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D04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676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009A1D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C87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E788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Deklaracja zgodności i certyfikat CE  na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produkt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zgodne z aktualnie obowiązującym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prawem (w tym dyrektywy UE) w j. polskim -załączyć do oferty.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25D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B13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05E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4C91AC4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B8B52C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AF4339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56D60F6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02D7D21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C264AE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415748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6249126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3E12F6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0E5538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8C1F6E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428B5E3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8D6760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67A6C4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1984D7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ADF884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C7B9CF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D4106F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2B5392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D5D631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2AEEA07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B5500B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709FF3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591CA5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50D074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FDD498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75A5087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ED0236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1EA465C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39A168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95E3FF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FC885D3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AC2D81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FE93F3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22B6F7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760B29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3B08D86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732146A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3</w:t>
      </w:r>
    </w:p>
    <w:p w14:paraId="7745EBF7" w14:textId="77777777" w:rsidR="00510BA0" w:rsidRDefault="00000000">
      <w:pPr>
        <w:ind w:left="10800" w:firstLine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1.1 c</w:t>
      </w:r>
    </w:p>
    <w:p w14:paraId="507A4B2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EA305A4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Aparat do znieczulenia ze stanowiskiem monitorowania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08041A70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4DED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65E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ECF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B97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16D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2AB5BF73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F67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B01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B3D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F72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1E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0A2E148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7878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5755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132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664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AB1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2DC05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631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64AF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28D0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1E5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861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438985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05AE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948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520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36A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B8A9FE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9FE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BFE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do znieczulania ogólnego noworodków, dzieci i dorosłych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CA3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8C8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24D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1D5587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340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67E1" w14:textId="77777777" w:rsidR="00510BA0" w:rsidRDefault="00000000">
            <w:pPr>
              <w:widowControl w:val="0"/>
              <w:suppressAutoHyphens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>Aparat jezdny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136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43F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49B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51DA64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66D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044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wyposażony w 4 koła z hamulcem centralnym minimum dwóch kół przednich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823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45D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CBA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B2F034F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C45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DDFA" w14:textId="77777777" w:rsidR="00510BA0" w:rsidRDefault="00000000">
            <w:pPr>
              <w:widowControl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Zasilanie dostosowane do 230 V 50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</w:rPr>
              <w:t>,</w:t>
            </w:r>
          </w:p>
          <w:p w14:paraId="0B9F854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wbudowane fabrycznie gniazda elektryczne 230 V (minimum 4 gniazda)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DD3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754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0CC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CE703C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B435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2C2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Indywidualne, automatyczne bezpieczniki gniazd elektrycznych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627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1D0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8F0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6CB9A1C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4D1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B2E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5D4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608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19D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736C3B0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FCC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8CD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Transformator separacyjny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962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462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420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BA3808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F2C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A7B1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Zasilanie w gazy ( 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, N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O, powietrze) z centralnej sieci szpitalnej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2FD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B6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6E7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031FAB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6E1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9D0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Awaryjne zasilanie gazowego z 10 l butli (O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 i N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O)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2D1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C39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4C6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7DCBA9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01B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744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Węże wysokociśnieniowe ( 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, N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O, powietrze) kodowane odpowiednimi kolorami o dł. min. 5 m. Złącze AGA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49C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F35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41D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6821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FDA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1456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Precyzyjne elektroniczne przepływomierze tlenu, podtlenku azotu i powietrza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CA9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925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3C59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65675E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4D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42A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Szybka  płynna i skokowa zmiana stężeń O2 i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przepływów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7E0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5E7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A9D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B6093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DB7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34C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Kalibracja przepływomierzy dostosowana do znieczulania z niskimi i minimalnymi przepływami gazów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C05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ACF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2DA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color w:val="FF0000"/>
                <w:sz w:val="20"/>
                <w:szCs w:val="20"/>
                <w:lang w:eastAsia="hi-IN"/>
              </w:rPr>
            </w:pPr>
          </w:p>
        </w:tc>
      </w:tr>
      <w:tr w:rsidR="00510BA0" w14:paraId="2BD5BF7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4695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74A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Wbudowany przepływomierz tlenu, niezależny od układu okrężnego, z regulowanym przepływem tlenu minimum do 10 l/min.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2EA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F1F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8CF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color w:val="FF0000"/>
                <w:sz w:val="20"/>
                <w:szCs w:val="20"/>
                <w:lang w:eastAsia="hi-IN"/>
              </w:rPr>
            </w:pPr>
          </w:p>
        </w:tc>
      </w:tr>
      <w:tr w:rsidR="00510BA0" w14:paraId="638523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43B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B260" w14:textId="77777777" w:rsidR="00510BA0" w:rsidRDefault="00000000">
            <w:pPr>
              <w:widowControl w:val="0"/>
              <w:suppressAutoHyphens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>Elektroniczny mieszalnik gazów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E01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D78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672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color w:val="FF0000"/>
                <w:sz w:val="20"/>
                <w:szCs w:val="20"/>
                <w:lang w:eastAsia="hi-IN"/>
              </w:rPr>
            </w:pPr>
          </w:p>
        </w:tc>
      </w:tr>
      <w:tr w:rsidR="00510BA0" w14:paraId="201D5A4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42A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0A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System automatycznego utrzymywania stężenia tlenu w mieszaninie z podtlenkiem azotu na poziomie minimum 25%.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328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22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474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1C8F4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E83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C6C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Wbudowana regulowana zastawka nadciśnieniowa APL wentylacji ręcznej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75B4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288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A14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613A46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BD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57F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wyposażony w blat do pisania i minimum jedną szufladę na akcesoria zamykaną na kluczyk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F3F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95B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436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199266F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14A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3F1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Wbudowane oświetlenie blatu z regulacją natężenia światła.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ACE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A3B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354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035F115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F5D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DFFF" w14:textId="77777777" w:rsidR="00510BA0" w:rsidRDefault="00000000">
            <w:pPr>
              <w:widowControl w:val="0"/>
              <w:suppressLineNumbers/>
              <w:snapToGrid w:val="0"/>
              <w:jc w:val="both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Światło typu LED z płynną regulacją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F78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D13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A073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ED6AA3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7EA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18D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Kompaktowy układ oddechowy okrężny do wentylacji dzieci i dorosłych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15A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57F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8B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A37C6E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DD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039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Układ oddechowy o prostej budowie, do łatwej wymiany i sterylizacji, pozbawiony lateksu.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8CD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53B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78B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146EC6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300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920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podłączenia układów bezzastawkowych bez ingerencji w układ okrężny aparatu.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D85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FAC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DCE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47FC00F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EF4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92E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Obejście tlenowe o dużej wydajności:</w:t>
            </w:r>
          </w:p>
          <w:p w14:paraId="5B23EFF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minimum:  od 25 l/min. do 75 l/min.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22E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1D5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 25 l/min. Do 75 l/min  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0- pkt</w:t>
            </w:r>
          </w:p>
          <w:p w14:paraId="59A52EA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Szerszy zakres – 15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D3E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10BA0" w14:paraId="382BDC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776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523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Pochłaniacz dwutlenku węgla, wielokrotnego użytku, o budowie przeziernej i pojemności maksymalnej  do 1,4 l.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800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CFB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197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EB974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48A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0B61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używania zamiennie pochłaniaczy wielorazowych i jednorazowych.</w:t>
            </w:r>
          </w:p>
          <w:p w14:paraId="666D9613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Wymiana bez stosowania narzędzi.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514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429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9C9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5551D9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AA1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CA0A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C19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980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FEE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highlight w:val="yellow"/>
                <w:lang w:eastAsia="hi-IN"/>
              </w:rPr>
            </w:pPr>
          </w:p>
        </w:tc>
      </w:tr>
      <w:tr w:rsidR="00510BA0" w14:paraId="55BD35B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07B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CE5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Usuwanie gazów anestetycznych poza salę operacyjną dostosowane do systemu odprowa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dzania gazów z kolumny.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33B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490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5EF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78193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8CF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E2D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Ekonomizer znieczulania: funkcja optymalnego doboru przepływu świeżych gazów i oszczędzania środków wziewnych.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C07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F44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8B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28A4F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FA9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5C9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automatycznej oceny zużycia środka wziewnego w godzinie znieczulenia z podaniem kosztu.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FA50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43D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BB11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highlight w:val="yellow"/>
                <w:lang w:eastAsia="hi-IN"/>
              </w:rPr>
            </w:pPr>
          </w:p>
        </w:tc>
      </w:tr>
      <w:tr w:rsidR="00510BA0" w14:paraId="4EE4CA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F50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B69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Zapobieganie powstawaniu mieszaniny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hipoksycznej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66A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468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912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239F4C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C70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ABE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Układ oddechowy kompaktowy pozbawiony lateksu.</w:t>
            </w:r>
          </w:p>
          <w:p w14:paraId="42121AD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Nadający się do sterylizacji w autoklawie.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F80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FE0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8E0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35BE9E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B75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E1B7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ciśnieniowo – zmienny (PC).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2A8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8EF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C6E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B53D8E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0AE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EEEE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objętościowo – zmienny (VC).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E93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CB2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9D4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1BEF91C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D26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A39E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Tryby z gwarantowaną objętością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E68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765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5CD1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3E00E2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163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5283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Synchronizowana przerywana wentylacja wymuszona (SIMV) w trybie objętościowo – zmiennym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F423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C43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7CF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267AF6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D27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7A83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Synchronizowana przerywana wentylacja wymuszona (SIMV) w trybie ciśnieniowo – zmiennym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F3A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C4A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027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23270D9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55B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3620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Synchronizowana przerywana wentylacja wymuszona (SIMV) w trybie ciśnieniowo zmiennym z gwarantowaną objętością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46C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783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93A5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DA46C9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1BD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EE76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Tryb wentylacji wspomaganej ciśnieniem (tzw.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Pressure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Support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) z automatycznym włączeniem wentylacji zapasowej po wystąpieniu alarmu bezdechu respiratora. Czułość wyzwalania przepływowego min. 0,2-10 l/min.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7046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AD9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99A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6209F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E36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55A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CPAP+PSV.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53D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1AC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27CC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7FA6F4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AB8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AC4A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ręczny.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86F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D9B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24BC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0A465F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441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C90C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 xml:space="preserve">Aparat wyposażony w tryb pracy w krążeniu pozaustrojowym, zapewniający: wentylację </w:t>
            </w: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lastRenderedPageBreak/>
              <w:t>ręczną w krążeniu pozaustrojowym z zawieszeniem alarmów objętości, bezdechu, częstości oddechów i CO</w:t>
            </w:r>
            <w:r>
              <w:rPr>
                <w:rFonts w:ascii="Times New Roman" w:eastAsia="Calibri" w:hAnsi="Times New Roman" w:cs="Calibri"/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 xml:space="preserve"> informację na ekranie respiratora o włączonym trybie pracy w krążeniu pozaustrojowym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AF0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2E9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B757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75F1F0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802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3B7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Pauza w przepływie gazów do 1 min. w trybie wentylacji ręcznej i mechanicznej.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781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68A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3F31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79B182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A711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1DE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Automatyczna wielostopniowa rekrutacja pęcherzyków płucnych programowana i obrazowana na ekranie respiratora.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01E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023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938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06B6D2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999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0C5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Podanie na żądanie dodatkowego jednego oddechu pod określonym ciśnieniem przez określony czas bez wykonania zmian w ustawieniach respiratora – wentylacja mechaniczna.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BD3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0F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05E2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07B9BE8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E73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89A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Łatwe przełączanie wentylacji ręcznej na mechaniczną i wentylacji mechanicznej na ręczną.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F51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F48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C1D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2DD104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0D9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9EE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Przełączanie mechaniczne przy pomocy dźwigni.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464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F2B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6525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270A8E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A42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C2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stosunku wdechu do wydechu: minimum 2:1 ÷ 1:4.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AC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29F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8D26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35823C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2F7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B7E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częstości oddechu w trybie wentylacji ciśnieniowo-zmiennej i objętościowo-zmiennej:</w:t>
            </w:r>
          </w:p>
          <w:p w14:paraId="47B50FE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minimum 4 ÷ 100 oddechów / 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D5C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E44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E36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70EC49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C9E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897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objętości oddechowej w trybie wentylacji objętościowo-zmiennej:</w:t>
            </w:r>
          </w:p>
          <w:p w14:paraId="7F5D9A2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minimum 20 ÷ 1500 ml.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0C9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7DE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1BAF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F995AE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C1A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F39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objętości oddechowej w trybie wentylacji ciśnieniowo-zmiennej lub objętościowo zmiennej: minimum 5 ÷ 1500 ml.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C6F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F88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241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501A83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3F1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044B" w14:textId="77777777" w:rsidR="00510BA0" w:rsidRDefault="0000000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Zakres regulacji dodatniego ciśnienia końcowo-wydechowego (PEEP):</w:t>
            </w:r>
          </w:p>
          <w:p w14:paraId="3BF4730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minimum 4÷25 cm H</w:t>
            </w:r>
            <w:r>
              <w:rPr>
                <w:rFonts w:ascii="Times New Roman" w:eastAsia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E62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383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91F2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BA39DF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B6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8BD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Plateau wdechu: minimum 5 ÷ 60 % czasu wdechu.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8BE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A82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9CF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550CE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D89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B8E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niskiej objętości minutowej (MV)  i  objętości oddechowej (TV).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05F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368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7E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B6596B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DDC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D25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Alarmy TV z regulowanymi progami górnym i dolnym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F6D4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2BC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6BD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1F3048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614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60A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minimalnego i maksymalnego ciśnienia wdechowego.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8BE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4DC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B22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3DC29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478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888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Alarm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Apnea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2FA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474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435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6E7962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CFD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F85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braku zasilania w energię elektryczną.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0DC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AB0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5C4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510BA0" w14:paraId="1F908FE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8DA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ACB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braku zasilania w gazy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C3C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591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E99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9AD583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998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157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stężenia tlenu w gazach oddechowych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B4F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5FE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7B5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001BD5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59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4D5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objętości oddechowej (TV).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0BA4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0E0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2E3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1F80FF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8581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953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objętości minutowej (MV).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E91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2B9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181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6AEF7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0F8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B2F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częstości oddechu.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FA76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66B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941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13419A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B09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129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szczytowego.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BE8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B19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77A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97737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F8E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CE2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średniego.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56E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015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DC9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8E97D3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F03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CF6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Plateau.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C4C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44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3CD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87FF10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8BA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DD6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PEEP.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B06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71E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88E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24DEA0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C32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9E8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stężenia wdechowego i wydechowego tlenu w gazach oddechowych metodą paramagnetyczną.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046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B49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A76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766F59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B17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C81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Pomiar stężenia gazów i środków anestetycznych (podtlenku azotu,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sevofluranu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desfluranu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isofluranu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) w mieszaninie wdechowej i wydechowej.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29F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B0E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E23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076433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250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890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Automatyczna identyfikacja anestetyku wziewnego i analiza MAC z uwzględnieniem wieku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E68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C06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16D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C15D3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69F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8E7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Ekran kolorowy LCD, dotykowy, do nastaw i prezentacji parametrów wentylacji i krzywych.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A1B4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9D6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430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42FA87B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807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48E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Przekątna ekranu: minimum 15".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90D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7AC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Minimum 15”  - 0 pkt.</w:t>
            </w:r>
          </w:p>
          <w:p w14:paraId="72CC81B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Większy niż 15” – 15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CCE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DA7F1D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A611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963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Rozdzielczość: minimum 1024 x 768 pikseli.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C298" w14:textId="77777777" w:rsidR="00510BA0" w:rsidRDefault="0000000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3789" w14:textId="77777777" w:rsidR="00510BA0" w:rsidRDefault="0000000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Minimum 1024 x 768 pikseli -  0 pkt.</w:t>
            </w:r>
          </w:p>
          <w:p w14:paraId="2B6B2F0E" w14:textId="77777777" w:rsidR="00510BA0" w:rsidRDefault="0000000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Większy niż 1024x768 – 10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ECF9" w14:textId="77777777" w:rsidR="00510BA0" w:rsidRDefault="00510BA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BA0" w14:paraId="0C4DF47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6F5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2DB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Ekran główny respiratora niewbudowany w korpus aparatu.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5A5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759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38F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4A6C5D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041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F38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Ekran umieszczony na ruchomym wysięgniku z regulacją wysokości, przesuwu w poziomie i kąta pochylenia.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173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B53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A79F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634D8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75F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375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konfigurowania i zapamiętania minimum 4-ech niezależnych stron ekranu respiratora.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C29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3D3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F3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C29DB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A64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03C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Większa ilość niż 4 zapamiętywane na stałe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strony konfiguracji.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D6A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D92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6DA3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DB8A0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2E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BEC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wartości numerycznych i krzywej dynamicznej prężności CO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 xml:space="preserve">2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 strumieniu wdechowym i wydechowym.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BCF4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9B9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06A5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01EC1D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012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75DA" w14:textId="77777777" w:rsidR="00510BA0" w:rsidRDefault="0000000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Prezentacja koncentracji anestetyku wziewnego na wdechu i wydechu.</w:t>
            </w:r>
          </w:p>
          <w:p w14:paraId="27C819BE" w14:textId="77777777" w:rsidR="00510BA0" w:rsidRDefault="0000000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Możliwość obrazowania krzywej.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56E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B83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C71B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A04EE6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E3B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57C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krzywej przepływu w drogach oddechowych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30E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B53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AC8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82D907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5E6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5FD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pętli:</w:t>
            </w:r>
          </w:p>
          <w:p w14:paraId="6FC19D10" w14:textId="77777777" w:rsidR="00510BA0" w:rsidRDefault="00000000">
            <w:pPr>
              <w:widowControl w:val="0"/>
              <w:numPr>
                <w:ilvl w:val="0"/>
                <w:numId w:val="13"/>
              </w:numPr>
              <w:suppressAutoHyphens w:val="0"/>
              <w:spacing w:after="16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ciśnienie / objętość;</w:t>
            </w:r>
          </w:p>
          <w:p w14:paraId="71B371B6" w14:textId="77777777" w:rsidR="00510BA0" w:rsidRDefault="00000000">
            <w:pPr>
              <w:widowControl w:val="0"/>
              <w:numPr>
                <w:ilvl w:val="0"/>
                <w:numId w:val="13"/>
              </w:numPr>
              <w:suppressAutoHyphens w:val="0"/>
              <w:spacing w:after="16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przepływ / objętość.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398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6F0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17B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D9756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FBA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134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podatności układu oddechowego.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797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627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C348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58506F7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9A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3A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zapisania minimum jednej pętli spirometrycznej i jednej pętli wzorcowej.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573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171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6E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50EE740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100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62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zapisania więcej niż jednej pętli wzorcowej.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66A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9BA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B82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5C5544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4C8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2AF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wartości ciśnienia gazów w instalacji szpitalnej na ekranie respiratora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E6E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1DB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65AC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BD10F8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A46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9A4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Automatyczna kalkulacja parametrów wentylacji po wprowadzeniu masy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585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99D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8D79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A53979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A80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096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Moduł pomiarów gazowych wyjmowany z aparatu.</w:t>
            </w:r>
          </w:p>
          <w:p w14:paraId="7F7EEEC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zastosowania w monitorze:</w:t>
            </w:r>
          </w:p>
          <w:p w14:paraId="439C5ED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  <w:t xml:space="preserve">Moduł kompatybilny z modułami gazowymi </w:t>
            </w:r>
            <w:proofErr w:type="spellStart"/>
            <w:r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  <w:t>Carescape</w:t>
            </w:r>
            <w:proofErr w:type="spellEnd"/>
            <w:r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C18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A32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9323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0E1A9A9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F2B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504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Uchwyt dla minimum 2-ch parowników.</w:t>
            </w:r>
          </w:p>
          <w:p w14:paraId="22303A7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Na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wypsażeniu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 parownik do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sevofluranu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A12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184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389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A6BC7A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C93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948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Możliwość podłączenia parownika do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sevofluranu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desfluranu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.  Zabezpieczenie przed podaniem dwóch środków wziewnych równocześnie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DC13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D0A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FB0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734036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486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C03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wyposażony w wbudowany ssak inżektorowy z regulacja podciśnienia, z pojemnikami 1,0 l do wymiennych wkładów.</w:t>
            </w:r>
          </w:p>
          <w:p w14:paraId="56A3543F" w14:textId="77777777" w:rsidR="00510BA0" w:rsidRDefault="00510BA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C82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92A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C88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E086BA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E21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EF6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Wymienne wkłady: minimum 5 szt. (zestaw startowy).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4AD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176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B93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7E4D6F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0A9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EE6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Automatyczny lub automatyczny z interakcją z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personelem test kontrolny aparatu, sprawdzający jego działanie.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3A4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DE3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3DC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52738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B99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962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Dziennik testów kontrolnych prezentowany na ekranie aparatu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039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212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D3D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70BA268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CC0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F8F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Konstrukcja aparatu umożliwiająca zainstalowanie kardiomonitora w ergonomicznej dla personelu medycznego pozycji.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0B9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A79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74F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B5AE1E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2FF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7EA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Dodatkowe akcesoria </w:t>
            </w:r>
            <w:r>
              <w:rPr>
                <w:rFonts w:ascii="Times New Roman" w:hAnsi="Times New Roman"/>
                <w:sz w:val="22"/>
                <w:szCs w:val="22"/>
                <w:shd w:val="clear" w:color="auto" w:fill="13F531"/>
              </w:rPr>
              <w:t>dla Monitora hemodynamicznego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Mankiet wielorazowy,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Dorosły (długi rzep), 23-33 cm - 2 szt.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Mankiet wielorazowy,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Duży Dorosły (długi rzep), 31-40 cm - 2 szt.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Czujnik do pomiaru saturacji typu Klips - 3 sztuki</w:t>
            </w:r>
          </w:p>
          <w:p w14:paraId="5858A74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Czujnik do pomiaru saturacji  na ucho - 3 sztuki.</w:t>
            </w:r>
          </w:p>
          <w:p w14:paraId="5C167FB3" w14:textId="77777777" w:rsidR="00510BA0" w:rsidRDefault="00510BA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  <w:p w14:paraId="662DCA3F" w14:textId="77777777" w:rsidR="00510BA0" w:rsidRDefault="00000000">
            <w:pPr>
              <w:widowControl w:val="0"/>
              <w:suppressAutoHyphens w:val="0"/>
              <w:rPr>
                <w:shd w:val="clear" w:color="auto" w:fill="13F53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13F531"/>
              </w:rPr>
              <w:t>Szczegóły akcesoriów:</w:t>
            </w:r>
          </w:p>
          <w:p w14:paraId="05B4B306" w14:textId="77777777" w:rsidR="00510BA0" w:rsidRDefault="0000000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Mankiet wielorazowy Dura-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cuf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. Dorosły (długi rzep), 23-33 cm, 2T, złącze Dina-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Click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- 2 szt. Mankiet wielorazowy Dura-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cuf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. Duży Dorosły (długi rzep), 31-40 cm, 2T, złącze Dina-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Click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- 2 szt. Przewód zbiorczy saturacji GE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Trusignal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3m konektor GE Czujnik do pomiaru saturacji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Trusignal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Finger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Sensor typu Klips - 3 sztuki Czujnik do pomiaru saturacji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Trusignal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Sensor czujnik na ucho - 3 sztuki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A26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3BB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C4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A676681" w14:textId="77777777">
        <w:trPr>
          <w:trHeight w:val="5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508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E65" w14:textId="77777777" w:rsidR="00510BA0" w:rsidRDefault="00000000">
            <w:pPr>
              <w:suppressAutoHyphens w:val="0"/>
              <w:rPr>
                <w:rFonts w:ascii="Calibri" w:eastAsia="Lucida Sans Unicode" w:hAnsi="Calibri" w:cs="Calibri"/>
                <w:sz w:val="20"/>
                <w:szCs w:val="20"/>
                <w:highlight w:val="green"/>
                <w:lang w:eastAsia="en-US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highlight w:val="green"/>
                <w:lang w:eastAsia="en-US"/>
              </w:rPr>
              <w:t>Dodatkowe akcesoria do aparatu</w:t>
            </w:r>
          </w:p>
          <w:p w14:paraId="5470A322" w14:textId="77777777" w:rsidR="00510BA0" w:rsidRDefault="00000000">
            <w:pPr>
              <w:suppressAutoHyphens w:val="0"/>
              <w:rPr>
                <w:rFonts w:ascii="Calibri" w:eastAsia="Lucida Sans Unicode" w:hAnsi="Calibri" w:cs="Calibri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Calibri" w:hAnsi="Calibri"/>
                <w:highlight w:val="green"/>
              </w:rPr>
              <w:t>Wielorazowy pojemnik pochłaniacza CO2 do aparatów do znieczulania.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434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617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034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6CF9CB3" w14:textId="77777777">
        <w:trPr>
          <w:trHeight w:val="5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524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71D1" w14:textId="77777777" w:rsidR="00510BA0" w:rsidRDefault="00000000">
            <w:pPr>
              <w:widowControl w:val="0"/>
              <w:suppressAutoHyphens w:val="0"/>
              <w:rPr>
                <w:rFonts w:ascii="Times New Roman" w:eastAsia="Lucida Sans Unicode" w:hAnsi="Times New Roman" w:cs="Calibri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Calibri"/>
                <w:sz w:val="22"/>
                <w:szCs w:val="22"/>
                <w:lang w:eastAsia="en-US"/>
              </w:rPr>
              <w:t>Menu w języku polskim.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3AB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458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93E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5BB624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40B7550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445CFB3" w14:textId="08C0EA7B" w:rsidR="00510BA0" w:rsidRDefault="00000000">
      <w:pPr>
        <w:rPr>
          <w:rFonts w:asciiTheme="majorBidi" w:hAnsiTheme="majorBidi" w:cstheme="majorBidi"/>
          <w:b/>
          <w:bCs/>
          <w:shd w:val="clear" w:color="auto" w:fill="13F531"/>
        </w:rPr>
      </w:pPr>
      <w:r>
        <w:rPr>
          <w:rFonts w:ascii="DejaVu Sans" w:hAnsi="DejaVu Sans" w:cstheme="majorBidi"/>
          <w:b/>
          <w:bCs/>
          <w:shd w:val="clear" w:color="auto" w:fill="13F531"/>
        </w:rPr>
        <w:t>Wymogi dla Monitora hemodynamicznego (urządzenie dodatkowe alternatywne</w:t>
      </w:r>
      <w:r w:rsidR="00A053EC">
        <w:rPr>
          <w:rFonts w:ascii="DejaVu Sans" w:hAnsi="DejaVu Sans" w:cstheme="majorBidi"/>
          <w:b/>
          <w:bCs/>
          <w:shd w:val="clear" w:color="auto" w:fill="13F531"/>
        </w:rPr>
        <w:t>, niepunktowane</w:t>
      </w:r>
      <w:r>
        <w:rPr>
          <w:rFonts w:ascii="DejaVu Sans" w:hAnsi="DejaVu Sans" w:cstheme="majorBidi"/>
          <w:b/>
          <w:bCs/>
          <w:shd w:val="clear" w:color="auto" w:fill="13F531"/>
        </w:rPr>
        <w:t>):</w:t>
      </w:r>
    </w:p>
    <w:p w14:paraId="153DDDEC" w14:textId="77777777" w:rsidR="00510BA0" w:rsidRDefault="00510BA0">
      <w:pPr>
        <w:rPr>
          <w:rFonts w:asciiTheme="majorBidi" w:hAnsiTheme="majorBidi" w:cstheme="majorBidi"/>
          <w:b/>
          <w:bCs/>
          <w:shd w:val="clear" w:color="auto" w:fill="13F531"/>
        </w:rPr>
      </w:pPr>
    </w:p>
    <w:tbl>
      <w:tblPr>
        <w:tblW w:w="9471" w:type="dxa"/>
        <w:tblInd w:w="-2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27"/>
        <w:gridCol w:w="4104"/>
        <w:gridCol w:w="2299"/>
        <w:gridCol w:w="2441"/>
      </w:tblGrid>
      <w:tr w:rsidR="00510BA0" w14:paraId="26443E2D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5CB0" w14:textId="77777777" w:rsidR="00510BA0" w:rsidRDefault="00510BA0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7705" w14:textId="77777777" w:rsidR="00510BA0" w:rsidRDefault="00000000">
            <w:pPr>
              <w:widowControl w:val="0"/>
              <w:snapToGrid w:val="0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Monitor hemodynamiczny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E5AB" w14:textId="77777777" w:rsidR="00510BA0" w:rsidRDefault="00000000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Wymagania graniczne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90CF" w14:textId="77777777" w:rsidR="00510BA0" w:rsidRDefault="00000000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sz w:val="20"/>
                <w:szCs w:val="22"/>
              </w:rPr>
              <w:t>Potwierdzenie parametrów</w:t>
            </w:r>
          </w:p>
        </w:tc>
      </w:tr>
      <w:tr w:rsidR="00510BA0" w14:paraId="07247BBC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0A42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4B84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Ciągłe monitorowanie ciśnienia tętniczego metodą małoinwazyjną.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9A6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FC9A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D911BA7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A255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51D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Ciągłe monitorowanie ciśnienia tętniczego metodą nieinwazyjną - funkcja opcjonalna do rozbudowy.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C9CD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A64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554CD88" w14:textId="77777777">
        <w:trPr>
          <w:cantSplit/>
          <w:trHeight w:val="64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C0E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1F8" w14:textId="77777777" w:rsidR="00510BA0" w:rsidRDefault="00000000">
            <w:r>
              <w:rPr>
                <w:rFonts w:ascii="Calibri" w:hAnsi="Calibri" w:cs="Calibri"/>
                <w:sz w:val="20"/>
              </w:rPr>
              <w:t> Ciągłe monitorowanie głębokości znieczulenia metodą BIS (funkcja opcjonalna do rozbudowy)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2A86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31F1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7DC8D7E8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B239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0A0C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Wykorzystanie dotychczas stosowanych systemów i procedur pomiaru ciśnienia inwazyjnego.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A4A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8382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1220FF1E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DCA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2EB6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Bez konieczności stosowania dodatkowego przetwornikiem ciśnienia inwazyjnego.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B943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FB35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4A09FF4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D3BB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5864" w14:textId="77777777" w:rsidR="00510BA0" w:rsidRDefault="00000000">
            <w:r>
              <w:rPr>
                <w:rFonts w:ascii="Calibri" w:hAnsi="Calibri" w:cs="Calibri"/>
                <w:sz w:val="20"/>
              </w:rPr>
              <w:t xml:space="preserve">Współpraca z kardiomonitorem realizującym inwazyjny pomiar ciśnienia </w:t>
            </w:r>
            <w:r>
              <w:rPr>
                <w:rFonts w:ascii="Calibri" w:hAnsi="Calibri" w:cs="Calibri"/>
                <w:bCs/>
                <w:sz w:val="20"/>
              </w:rPr>
              <w:t>(poprzez wyjście analog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output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>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DBA8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8203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0A990593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3F0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3B1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Bez wymogu specjalnego dodatkowego dostęp tętniczego lub żylnego.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DBDD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91F4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3768F3D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9A4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EF95" w14:textId="77777777" w:rsidR="00510BA0" w:rsidRDefault="00000000">
            <w:r>
              <w:rPr>
                <w:rFonts w:ascii="Calibri" w:hAnsi="Calibri" w:cs="Calibri"/>
                <w:sz w:val="20"/>
              </w:rPr>
              <w:t>Wykorzystanie standardowego sygnału z kardiomonitora z dostępem tętniczym: tętnica promieniowa, udowa, grzbietowa stopy.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E88B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E5ED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BCF94D1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DE57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E0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 niekalibrowany z możliwością kalibracji.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C71A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EE1C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38DE650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FE4C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AAC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Monitorowane parametry:</w:t>
            </w:r>
          </w:p>
          <w:p w14:paraId="7718C08D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ciśnienie: średnie ciśnienie tętnicze (MAP), skurczowe (SYS) i rozkurczowe (DIA);</w:t>
            </w:r>
          </w:p>
          <w:p w14:paraId="0B9FD1C5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częstość akcji serca (HR);</w:t>
            </w:r>
          </w:p>
          <w:p w14:paraId="0D3F1F74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zmienność akcji serca (HRV);</w:t>
            </w:r>
          </w:p>
          <w:p w14:paraId="49A6510C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objętość wyrzutowa serca (SV; SVI);</w:t>
            </w:r>
          </w:p>
          <w:p w14:paraId="0C802423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pojemność minutowa serca (CO, CI);</w:t>
            </w:r>
          </w:p>
          <w:p w14:paraId="2AF6FFF9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układowy opór naczyniowy (SVR, SVRI);</w:t>
            </w:r>
          </w:p>
          <w:p w14:paraId="60C6C234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dynamiczne parametry obciążenia wstępnego serca: zmiany ciśnienia tętna (PPV) i objętości wyrzutowej (SVV)</w:t>
            </w:r>
          </w:p>
          <w:p w14:paraId="4415416C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Oxygen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Delivery (DO2) (Index)</w:t>
            </w:r>
          </w:p>
          <w:p w14:paraId="7E7BA1B9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Oxygen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Consumption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(VO2) (Index</w:t>
            </w:r>
          </w:p>
          <w:p w14:paraId="67F84013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Bispectral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Index (BIS)</w:t>
            </w:r>
          </w:p>
          <w:p w14:paraId="39BEFB22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Signal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Quality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Indicator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(SQI)</w:t>
            </w:r>
          </w:p>
          <w:p w14:paraId="6EB52635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EMG</w:t>
            </w:r>
          </w:p>
          <w:p w14:paraId="3687BDCF" w14:textId="77777777" w:rsidR="00510BA0" w:rsidRDefault="00000000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Suppression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Ratio (SR)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8019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0704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0B5D261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7E4D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37C0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Monitorowanie zmian parametrów hemodynamicznych po interwencji.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8A2E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E0DA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139A86A3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9C25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072B" w14:textId="77777777" w:rsidR="00510BA0" w:rsidRDefault="00000000">
            <w:r>
              <w:rPr>
                <w:rFonts w:ascii="Calibri" w:hAnsi="Calibri" w:cs="Calibri"/>
                <w:sz w:val="20"/>
              </w:rPr>
              <w:t>Monitorowanie parametrów w czasie rzeczywistym: w cyklu skurcz-skurcz, bez uśrednienia wartości i z możliwością uśrednienia.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BA49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6F2B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B11F3BD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CFAB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8C4A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Monitorowanie parametrów w postaci graficznej (trendy) i cyfrowej (tabelarycznej).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E36E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9FD8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FE93B97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8470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69F2" w14:textId="77777777" w:rsidR="00510BA0" w:rsidRDefault="00000000">
            <w:r>
              <w:rPr>
                <w:rFonts w:ascii="Calibri" w:hAnsi="Calibri" w:cs="Calibri"/>
                <w:sz w:val="20"/>
              </w:rPr>
              <w:t>Możliwość ustawienia znacznika wartości wyjściowych lub docelowych monitorowanych parametrów.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37A9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4AEE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5B96BDE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F35E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09A8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Jednoczesne wyświetlanie cyfrowych i graficznych parametrów na ekranie monitora.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47D3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42AA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9E0D76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0416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6AB3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Długoczasowa rejestracja monitorowanych parametrów w celu ich późniejszej analizy</w:t>
            </w:r>
          </w:p>
          <w:p w14:paraId="5B3B4365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(min. 6 miesięcy).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68F7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7516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01B06F0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B75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B423" w14:textId="77777777" w:rsidR="00510BA0" w:rsidRDefault="00000000">
            <w:r>
              <w:rPr>
                <w:rFonts w:ascii="Calibri" w:hAnsi="Calibri" w:cs="Calibri"/>
                <w:sz w:val="20"/>
              </w:rPr>
              <w:t>Możliwość przeglądania zarejestrowanych parametrów w postaci graficznej lub cyfrowej.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530B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ACE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2E11D707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0A1E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EE14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Możliwość przesyłania monitorowanych parametrów do zewnętrznego szpitalnego systemu informatycznego: Ethernet, USB, RS232C.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2C30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0CC0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7BBDA358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E0A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B6CA" w14:textId="77777777" w:rsidR="00510BA0" w:rsidRDefault="00000000">
            <w:r>
              <w:rPr>
                <w:rFonts w:ascii="Calibri" w:hAnsi="Calibri" w:cs="Calibri"/>
                <w:sz w:val="20"/>
              </w:rPr>
              <w:t>Oprogramowanie do przeglądania i analizy zarejestrowanych parametrów monitorowania do instalacji na komputerach.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AAC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C9C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E42731A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4ED2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9ED7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Możliwość dopasowania interfejsu do potrzeb Użytkownika, w tym konfiguracji skrótów lub przycisków ekranowych do szybkiego uruchamiania najczęściej wykorzystywanych funkcji.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5BB3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A15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2A960A40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86E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6F29" w14:textId="77777777" w:rsidR="00510BA0" w:rsidRDefault="00000000">
            <w:r>
              <w:rPr>
                <w:rFonts w:ascii="Calibri" w:hAnsi="Calibri" w:cs="Calibri"/>
                <w:sz w:val="20"/>
              </w:rPr>
              <w:t>Ekran monitora: dotykowy, kolorowy LCD, min. 15” (381 mm).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3050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64A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A0AA220" w14:textId="77777777">
        <w:trPr>
          <w:cantSplit/>
          <w:trHeight w:val="7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F9D6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769C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Zasilanie akumulatorowe monitora na min 6 godziny ciągłej pracy.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1FC8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FEB8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262622B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71D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A170" w14:textId="77777777" w:rsidR="00510BA0" w:rsidRDefault="00000000">
            <w:r>
              <w:rPr>
                <w:rFonts w:ascii="Calibri" w:hAnsi="Calibri" w:cs="Calibri"/>
                <w:sz w:val="20"/>
              </w:rPr>
              <w:t>Kompatybilność z kartami eksploatacyjnymi – czasowymi z chipowym mikroprocesorem (zgodna z ISO 7816-1) do identyfikacji pacjenta i zapisu danych demograficznych do monitora hemodynamicznego metodą małoinwazyjną wymóg opcjonalny.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3435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TAK/NIE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AC05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C36DB4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C93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8EC1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Pełna polska wersja językowa </w:t>
            </w:r>
            <w:proofErr w:type="spellStart"/>
            <w:r>
              <w:rPr>
                <w:rFonts w:ascii="Calibri" w:hAnsi="Calibri" w:cs="Calibri"/>
                <w:sz w:val="20"/>
              </w:rPr>
              <w:t>tj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oprogramowanie, menu, opisy na obudowie, instrukcja obsługi itp.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6B2A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F70F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17A03C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4088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54CE" w14:textId="77777777" w:rsidR="00510BA0" w:rsidRDefault="00000000">
            <w:r>
              <w:rPr>
                <w:rFonts w:ascii="Calibri" w:hAnsi="Calibri" w:cs="Calibri"/>
                <w:sz w:val="20"/>
              </w:rPr>
              <w:t xml:space="preserve">W zestawie przewód podłączeniowy do kardiomonitora z wyjściem analog </w:t>
            </w:r>
            <w:proofErr w:type="spellStart"/>
            <w:r>
              <w:rPr>
                <w:rFonts w:ascii="Calibri" w:hAnsi="Calibri" w:cs="Calibri"/>
                <w:sz w:val="20"/>
              </w:rPr>
              <w:t>output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53E6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A280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0F6F9FE8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FB9A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F96A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Licencja użytkowa do monitora metodą małoinwazyjną na nielimitowaną eksploatację na okres 365 dni.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59BC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5AD6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4125E0B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4ACB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1A7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Sprzęt fabrycznie nowy – rok produkcji min. 2023.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6DCC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FCC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5FAEC095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E1F063F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BF2D843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7D88098C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39341F81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4392AB85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3C9777C9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07D4A272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707"/>
        <w:gridCol w:w="6086"/>
      </w:tblGrid>
      <w:tr w:rsidR="008C76CE" w:rsidRPr="008C76CE" w14:paraId="3423657C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F243E4" w14:textId="5CC84D4F" w:rsidR="008C76CE" w:rsidRPr="008C76CE" w:rsidRDefault="008C76CE" w:rsidP="008C76CE">
            <w:pPr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lastRenderedPageBreak/>
              <w:t>Kardiomonitor do aparatu do znieczulania</w:t>
            </w:r>
            <w:r w:rsidR="00A053EC">
              <w:rPr>
                <w:rFonts w:asciiTheme="majorBidi" w:hAnsiTheme="majorBidi" w:cstheme="majorBidi"/>
                <w:b/>
                <w:bCs/>
              </w:rPr>
              <w:t xml:space="preserve"> (niepunktowane)</w:t>
            </w:r>
          </w:p>
        </w:tc>
      </w:tr>
      <w:tr w:rsidR="008C76CE" w:rsidRPr="008C76CE" w14:paraId="09E1F4D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F90FDA" w14:textId="77777777" w:rsidR="008C76CE" w:rsidRPr="008C76CE" w:rsidRDefault="008C76CE" w:rsidP="008C76CE">
            <w:pPr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Opis ogólny</w:t>
            </w:r>
          </w:p>
        </w:tc>
      </w:tr>
      <w:tr w:rsidR="008C76CE" w:rsidRPr="008C76CE" w14:paraId="5D37402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79A881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227A5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integracji z dostępnym klinicznym systemem informatycznym (CIS) producenta oferowanego systemu monitorowania pacjenta, w polskiej wersji językowej, umożliwiającym prowadzenie elektronicznej dokumentacji medycznej i jej ciągłość w zakresie opieki około-intensywnej i około- 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</w:r>
            <w:proofErr w:type="spellStart"/>
            <w:r w:rsidRPr="008C76CE">
              <w:rPr>
                <w:rFonts w:asciiTheme="majorBidi" w:hAnsiTheme="majorBidi" w:cstheme="majorBidi"/>
              </w:rPr>
              <w:t>skal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7A30E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8F5C0C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A5F45C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9C4A7C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System monitorowania pacjenta o budowie modułowej lub kompaktowo-modułowej, w technologii wymiennych modułów podłączanych podczas pracy przez użytkownika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24173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347B46F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F170A0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7A9E45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zapewnia monitorowanie pacjenta stacjonarnie i w transporcie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65F03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6C9119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E1BE99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59B6DE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we wbudowaną ramę na min. 1 moduł rozszerzeń oraz dodatkową ramę do podłączenia min. 2 dodatkowych modułów pomiarowych.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940D5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6435E94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B451AD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AE3DCE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Wszystkie elementy systemu monitorowania pacjenta chłodzone konwekcyjnie, pasywnie - bez użycia wentylatorów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5C726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B36804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4096A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29E433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45751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09CC42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E463C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D3F14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Komunikacja z użytkownikiem w języku polskim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140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</w:tbl>
    <w:p w14:paraId="76F3812A" w14:textId="77777777" w:rsidR="00510BA0" w:rsidRDefault="00510BA0" w:rsidP="00A053EC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5707"/>
        <w:gridCol w:w="6101"/>
      </w:tblGrid>
      <w:tr w:rsidR="008C76CE" w:rsidRPr="008C76CE" w14:paraId="53CCE02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5C480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lastRenderedPageBreak/>
              <w:t>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44541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 wyposażony w tryb "</w:t>
            </w:r>
            <w:proofErr w:type="spellStart"/>
            <w:r w:rsidRPr="008C76CE">
              <w:rPr>
                <w:rFonts w:asciiTheme="majorBidi" w:hAnsiTheme="majorBidi" w:cstheme="majorBidi"/>
                <w:b/>
                <w:bCs/>
              </w:rPr>
              <w:t>Standby</w:t>
            </w:r>
            <w:proofErr w:type="spellEnd"/>
            <w:r w:rsidRPr="008C76CE">
              <w:rPr>
                <w:rFonts w:asciiTheme="majorBidi" w:hAnsiTheme="majorBidi" w:cstheme="majorBidi"/>
                <w:b/>
                <w:bCs/>
              </w:rPr>
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9DF0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3EB2C6F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BF7B9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F51BF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 wyposażony w konfigurowalny tryb nocny: uruchamiany automatycznie w wybranych przez użytkownika godzinach.</w:t>
            </w:r>
          </w:p>
          <w:p w14:paraId="4F3F5B0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Przełączenie w tryb nocny zapewnia min. obniżenie jasności ekranu oraz poziomu głośności alarmów.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301A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19B8C9F4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88027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472E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 xml:space="preserve">Dostęp na ekranie monitora do kompletu dokumentacji: </w:t>
            </w:r>
            <w:proofErr w:type="spellStart"/>
            <w:r w:rsidRPr="008C76CE">
              <w:rPr>
                <w:rFonts w:asciiTheme="majorBidi" w:hAnsiTheme="majorBidi" w:cstheme="majorBidi"/>
                <w:b/>
                <w:bCs/>
              </w:rPr>
              <w:t>instruckji</w:t>
            </w:r>
            <w:proofErr w:type="spellEnd"/>
            <w:r w:rsidRPr="008C76CE">
              <w:rPr>
                <w:rFonts w:asciiTheme="majorBidi" w:hAnsiTheme="majorBidi" w:cstheme="majorBidi"/>
                <w:b/>
                <w:bCs/>
              </w:rPr>
              <w:t xml:space="preserve"> obsługi wraz 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5E7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62E8942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8524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Zasilanie</w:t>
            </w:r>
          </w:p>
        </w:tc>
      </w:tr>
      <w:tr w:rsidR="008C76CE" w:rsidRPr="008C76CE" w14:paraId="0E45F56C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88C15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6CDA6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Zasilanie sieciowe, zgodne z PN, dostosowane do 230V/50Hz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4628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3C16554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4F22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2B55D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 wyposażony w zasilanie akumulatorowe zapewniające przynajmniej 240 minut pracy na wypadek zaniku zasilania lub transportu.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889A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1548DD7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2CE8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Praca w sieci centralnego monitorowania</w:t>
            </w:r>
          </w:p>
        </w:tc>
      </w:tr>
      <w:tr w:rsidR="008C76CE" w:rsidRPr="008C76CE" w14:paraId="211CBC4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402D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CD637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Możliwość pracy w sieci centralnego monitorowania, zgodnej ze standardem Ethernet.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EC8D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7D5C3B9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708CA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16CE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287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</w:tbl>
    <w:p w14:paraId="6E59167F" w14:textId="77777777" w:rsidR="008C76CE" w:rsidRDefault="008C76CE" w:rsidP="00A053EC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707"/>
        <w:gridCol w:w="6086"/>
      </w:tblGrid>
      <w:tr w:rsidR="008C76CE" w:rsidRPr="008C76CE" w14:paraId="328DE994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4991C0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6978F3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fuli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disclosure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1C20B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D2BD16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46947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BAF19F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Monitory wyposażone w funkcję wysyłania parametrów życiowych monitorowanych pacjentów do zewnętrznych systemów, za pośrednictwem protokołu HL7. Funkcja realizowana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bezpośrenio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przez kardiomonitory lub dedykowany serwer komunikacyjny - ujęty w ofercie.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450C7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969814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0D914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8BD684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171D9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A29B464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9051E9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A3336E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8F05C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782013F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FA384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4E7886" w14:textId="77777777" w:rsidR="008C76CE" w:rsidRPr="008C76CE" w:rsidRDefault="008C76CE" w:rsidP="00A053EC">
            <w:pPr>
              <w:suppressAutoHyphens w:val="0"/>
              <w:spacing w:line="257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zapewniają automatyczne otwarcie ekranu zdalnego monitora w momencie wystąpienia zdarzenia alarmowego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2A072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ECE578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767A77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452A5A" w14:textId="77777777" w:rsidR="008C76CE" w:rsidRPr="008C76CE" w:rsidRDefault="008C76CE" w:rsidP="00A053EC">
            <w:pPr>
              <w:suppressAutoHyphens w:val="0"/>
              <w:spacing w:line="262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drukowania krzywych, trendów graficznych i numerycznych na podłączonej do sieci centralnego monitorowania tradycyjnej drukarce laserowej - bez konieczności pośredniczenia centrali monitorującej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6BA1B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B20993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FC474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Sposób montażu</w:t>
            </w:r>
          </w:p>
        </w:tc>
      </w:tr>
      <w:tr w:rsidR="008C76CE" w:rsidRPr="008C76CE" w14:paraId="66DF26A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A1BACD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827C2" w14:textId="77777777" w:rsidR="008C76CE" w:rsidRPr="008C76CE" w:rsidRDefault="008C76CE" w:rsidP="008C76CE">
            <w:pPr>
              <w:suppressAutoHyphens w:val="0"/>
              <w:spacing w:line="262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ofercie do każdego monitora uchwyt montażowy do aparatu do znieczulania.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A1CC9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BFCD6F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A7E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Wymogi funkcjonalne</w:t>
            </w:r>
          </w:p>
        </w:tc>
      </w:tr>
    </w:tbl>
    <w:p w14:paraId="37E3F1B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29"/>
        <w:gridCol w:w="9"/>
        <w:gridCol w:w="15"/>
        <w:gridCol w:w="7399"/>
        <w:gridCol w:w="4394"/>
      </w:tblGrid>
      <w:tr w:rsidR="008C76CE" w:rsidRPr="008C76CE" w14:paraId="47C28A2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4F324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22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49419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 dotykowy ekran panoramiczny o przekątnej min. 15,6" i rozdzielczości min. 1366 x 768 pikseli.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6D9E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40A80A5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39B63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10CFA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podłączenia dodatkowego ekranu powielającego o przekątnej min. 19". Ekran podłączany z wykorzystaniem złącza cyfrowego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AE17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8930E6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A268E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A02F7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Obsługa kardiomonitora poprzez ekran dotykowy lub ekran dotykowy i pokrętło funkcyjne. Możliwość podłączenia czytnika kodów kreskowych (standardowych i QR) do portu USB.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9497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545104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9D430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21AF8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zaprogramowania min. 7 różnych konfiguracji (profili) monitora, zawierających m.in. ustawienia monitorowanych parametrów oraz widoki ekranów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6855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14ED20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8F235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B20B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1CB3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634026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DD365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7A2D2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Dostępny tzw. ekran dużych liczb z możliwością podziału na 4 oraz 6 okien parametrów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2F59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2FFDE9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4C5EB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DA68A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przystosowany do warunków transportowych, odporny na upadek z wysokości przynajmniej 0,25m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D7DC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711DE94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0C0F4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B282A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odporny przeciwko zachlapaniu i wnikaniu ciał stałych. Klasa odporności nie gorsza niż IP22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A866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3FC4552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4951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28EF4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Masa monitora wraz z wbudowanym ekranem oraz akumulatorem nie przekracza 5,5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85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A4EA29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1B9E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597F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umożliwia kontynuację monitorowania w czasie transportu przynajmniej następujących parametrów (zgodnie z ich wymogami opisanymi w dalszej części specyfikacji): EKG, SpO2, NIBP, 2xTemp., 2x IBP, z możliwością rozbudowy o pomiar CO2 w strumieniu bocznym, w zależności od podłączonych modułów pomiarowych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40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512272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BFAB0E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Monitorowane parametry</w:t>
            </w:r>
          </w:p>
        </w:tc>
      </w:tr>
      <w:tr w:rsidR="008C76CE" w:rsidRPr="008C76CE" w14:paraId="7939619C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73FE2C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EAA804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3C669E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8E57526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28FF0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38C42D" w14:textId="77777777" w:rsidR="008C76CE" w:rsidRPr="008C76CE" w:rsidRDefault="008C76CE" w:rsidP="008C76CE">
            <w:pPr>
              <w:suppressAutoHyphens w:val="0"/>
              <w:spacing w:line="262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Monitorowanie przynajmniej 1 z 3, 7 i 12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odprowadzeń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 jakością diagnostyczną, w zależności od użytego przewodu EKG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AD1F5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F733D1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CC2824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2CD827" w14:textId="77777777" w:rsidR="008C76CE" w:rsidRPr="008C76CE" w:rsidRDefault="008C76CE" w:rsidP="008C76CE">
            <w:pPr>
              <w:suppressAutoHyphens w:val="0"/>
              <w:spacing w:line="259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D1960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D39B58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FC2EB8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9910B4" w14:textId="77777777" w:rsidR="008C76CE" w:rsidRPr="008C76CE" w:rsidRDefault="008C76CE" w:rsidP="008C76CE">
            <w:pPr>
              <w:suppressAutoHyphens w:val="0"/>
              <w:spacing w:line="266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częstości akcji serca w zakresie min. 20 - 300 ud/min. z dokładnością +/-1% lub +/- lud/min.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2844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6B8C67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F5706D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E6FFE1" w14:textId="77777777" w:rsidR="008C76CE" w:rsidRPr="008C76CE" w:rsidRDefault="008C76CE" w:rsidP="008C76CE">
            <w:pPr>
              <w:suppressAutoHyphens w:val="0"/>
              <w:spacing w:line="262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przewód do podłączenia 5- elektrod dla dorosłych i dzieci. Długość przewodów przynajmniej 3m.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3455C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A32DD1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A2C095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C30FEA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Analiza arytmii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463A2F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8C5CB8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578D4B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D47852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Wieloodprowadzeniowa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analiza arytmii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18C837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A88B4A7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1D18DC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4F9992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Analiza arytmii w przynajmniej 4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odprowadzeniach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EKG jednocześnie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5460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EBBD2B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8732F9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BB5F2A" w14:textId="77777777" w:rsidR="008C76CE" w:rsidRPr="008C76CE" w:rsidRDefault="008C76CE" w:rsidP="008C76CE">
            <w:pPr>
              <w:suppressAutoHyphens w:val="0"/>
              <w:spacing w:line="259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Zaawansowana analiza arytmii wg przynajmniej 12 definicji z rozpoznawaniem arytmii komorowych i przedsionkowych, w tym migotania przedsionków.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E868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6D8DA1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8EAE7C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C8B13F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Analiza 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4B4CC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1B26BE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327D7E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0510E9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Analiza odcinka ST w 12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odprowadzeniach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jednocześnie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666EB9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B992CD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E23556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251BE7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pomiarowy analizy odcinka ST min. -15,0 -(+) 15,0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C49D5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E9C596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5A4AB5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F105DB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Oddech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7A5F06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AB89E6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1F61F8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FE49EE" w14:textId="77777777" w:rsidR="008C76CE" w:rsidRPr="008C76CE" w:rsidRDefault="008C76CE" w:rsidP="008C76CE">
            <w:pPr>
              <w:suppressAutoHyphens w:val="0"/>
              <w:spacing w:line="257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 częstości oddechu metodą impedancyjną w zakresie min. 4- 120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/min.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6D2FB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8D2D05F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A1E79A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3EE766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Prezentacja częstości oddechu oraz krzywej oddechowej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3FEF7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054E21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909710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0036BF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Saturacja (SpO2)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39D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727BE1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9DB8FD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CEB4C7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TruSignal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Masimo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rainbow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SET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FB3B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CEBC55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B4EA13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84B3D8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saturacji w zakresie min. 70-100%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304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6600CF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FF70E1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9A3763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Prezentacja wartości saturacji, krzywej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pletyzmograficznej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wskaźnika perfuzji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AE07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8099AB2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DD87EA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B3FA58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Możliwość wyboru SP02 jako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źródta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częstości rytmu serca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CFB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9C063B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805D01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7CCE00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Modulacja dźwięku tętna przy zmianie wartości % SpO2.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994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6B0F83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BDD698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DE55C5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dwa przewody podłączeniowe dł. min. 3m, trzy wielorazowe czujniki na palec dla dorosłych oraz trzy wielorazowe czujniki na ucho. Oryginalne akcesoria pomiarowe producenta algorytmu pomiarowego.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2429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0846D8F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2EF5C0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96A130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metodą nieinwazyjną (NIBP)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917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21C683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6BD82D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50E5ED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</w:t>
            </w: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rzonej wartości ciśnienia skurczowego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9C0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</w:tr>
      <w:tr w:rsidR="008C76CE" w:rsidRPr="008C76CE" w14:paraId="731D45D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D75A2D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AB59C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tętniczego metodą oscylometryczną.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FCA3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2A0670F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C58B7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B42CA4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ręczny na żądanie, ciągły przez określony czas oraz automatyczny. Zakres przedziałów czasowych w trybie automatycznym przynajmniej 1 -120 minut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13FFB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1D4EA0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9E936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8A826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Funkcja staży żylnej.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A9AE3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F68B9D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2205A7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3F90B1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zaprogramowania własnych cykli pomiarowych NIBP, składających się z min. 4 kroków z możliwością indywidualnej konfiguracji liczby powtórzeń oraz interwału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928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DDDEDF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E0A5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CF0C5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w zakresie przynajmniej od 10 mmHg dla ciśnienia rozkurczowego do 250 mmHg dla ciśnienia skurczowego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092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2DAA60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813DE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311977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Prezentacja wartości: skurczowej, rozkurczowej oraz średniej.</w:t>
            </w:r>
          </w:p>
          <w:p w14:paraId="33AAD3C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wyświetlania listy ostatnich wyników pomiarów NIBP na ekranie głównym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5D0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32E6E7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20EA8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D24AE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komplecie do każdego monitora: wężyk z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szybkozłączką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dla dorosłych/dzieci oraz 3 mankiety wielorazowe dla dorosłych (w 3 różnych rozmiarach), 2 mankiety w rozmiarze 23-33 cm oraz 2 mankiety w rozmiarze 31-40 cm. Dodatkowo na całą instalację 20 szt. mankietów dla pacjentów otyłych.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940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699CF8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4FAAB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55C54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Mankiety dla pacjentów otyłych stożkowe, dedykowane i walidowane do pomiaru na przedramieniu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7D4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5EA7DC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BA9495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E2D041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Temperatura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02F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F789236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E8D13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AE866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temperatury w 2 kanałach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7823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D30DC3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8DDDA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7C7CA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Jednoczesna prezentacja w polu parametru temperatury na ekranie głównym monitora min. 2 wartości temperatury jednocześnie: obu zmierzonych lub jednej zmierzonej i różnicy temperatur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BC4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4C3EDE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7BD75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01BE9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ustawienia etykiet temperatur wg. miejsca pomiaru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8619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01D505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8AF59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FD4614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wielorazowy czujnik temperatury skóry dla dorosłych..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3008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A651DD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9EE9C1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7A38A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metodą inwazyjną (IBP)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D1B18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20E126F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35BA4F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394B4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metodą inwazyjną w 2 kanałach. Możliwość rozbudowy do przynajmniej 3 kanałów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CAA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DA879C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60005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9B958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w zakresie przynajmniej -20 do 320 mmHg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7AD1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1346F6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5557B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138BDB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321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CD408CD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A2BFB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A1047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parametru PPV: automatyczny lub ręczny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9CF9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AC22DA7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625C31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7794B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5DA3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8C149E7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5E332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DCACE4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 przewody do podłączenia przetworników ciśnienia (po jednym na każdy oferowany kanał)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853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A35989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D0D7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3A734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zwiotczenia mięśni (NMT)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78D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96EAB0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921A00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C34F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 zwiotczenia mięśni przez monitorowanie transmisji nerwowo- mięśniowej NMT z wykorzystaniem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mechanosensora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elektrosensora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 akcelerometru 3D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9903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C14F0E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A420F4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9122A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wyboru pomiędzy przynajmniej dwoma metodami pomiarowymi, wykorzystującymi czujniki w różnych technologiach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58B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862F5F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698D4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5DB6B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Dostępne tryby stymulacji min.: ST, DBS, TET,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ToF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166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70E80E7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82ACF9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326E6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Kardiomonitor wyposażony w funkcje:</w:t>
            </w:r>
          </w:p>
          <w:p w14:paraId="18C223C3" w14:textId="77777777" w:rsidR="008C76CE" w:rsidRPr="008C76CE" w:rsidRDefault="008C76CE" w:rsidP="00A053EC">
            <w:pPr>
              <w:numPr>
                <w:ilvl w:val="0"/>
                <w:numId w:val="23"/>
              </w:numPr>
              <w:tabs>
                <w:tab w:val="left" w:pos="106"/>
              </w:tabs>
              <w:suppressAutoHyphens w:val="0"/>
              <w:spacing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tzw.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Hookup-advisor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narzędzie ekranowe podpowiadające rozmieszczenie elektrod oraz umożliwiające weryfikację prawidłowego ich kontaktu ze skórą pacjenta,</w:t>
            </w:r>
          </w:p>
          <w:p w14:paraId="6AE2A81C" w14:textId="77777777" w:rsidR="008C76CE" w:rsidRPr="008C76CE" w:rsidRDefault="008C76CE" w:rsidP="00A053EC">
            <w:pPr>
              <w:numPr>
                <w:ilvl w:val="0"/>
                <w:numId w:val="23"/>
              </w:numPr>
              <w:tabs>
                <w:tab w:val="left" w:pos="106"/>
              </w:tabs>
              <w:suppressAutoHyphens w:val="0"/>
              <w:spacing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dźwiękową sygnalizację stymulacji,</w:t>
            </w:r>
          </w:p>
          <w:p w14:paraId="145823D3" w14:textId="77777777" w:rsidR="008C76CE" w:rsidRPr="008C76CE" w:rsidRDefault="008C76CE" w:rsidP="00A053EC">
            <w:pPr>
              <w:numPr>
                <w:ilvl w:val="0"/>
                <w:numId w:val="23"/>
              </w:numPr>
              <w:tabs>
                <w:tab w:val="left" w:pos="106"/>
              </w:tabs>
              <w:suppressAutoHyphens w:val="0"/>
              <w:spacing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dźwiękową sygnalizację ustępowania blokady.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0DA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525530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73E639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3FD68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83C7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78175F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EEA5AF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56ED4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przewód i czujnik do stosowania na dłoni dla pacjentów dorosłych oraz min. 30 elektrod do stymulacji.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F02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E8F7E3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9732E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88041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głębokości uśpienia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713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6237F6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EAC9D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4E3B9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głębokości uśpienia metodą BIS lub Entropii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B459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374F16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DBF17A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CBCBB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B84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A376E1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5E0CA7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1855C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CD5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831E9B4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8775B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BACA2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 komplecie do każdego monitora: przewód i 25 czujników na czoło dla pacjentów dorosłych.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97B7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AD1D55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DF930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1952C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Pomiar głębokości analgezji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8A970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BCB11B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F261F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A5282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Pomiar reakcji hemodynamicznej pacjenta na bodźce </w:t>
            </w:r>
            <w:proofErr w:type="spellStart"/>
            <w:r w:rsidRPr="008C76CE">
              <w:rPr>
                <w:rFonts w:asciiTheme="majorBidi" w:hAnsiTheme="majorBidi" w:cstheme="majorBidi"/>
              </w:rPr>
              <w:t>nocyceptywne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i środki przeciwbólowe metodą SPI lub ANI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16D4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8B74BAA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73852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81AA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4308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6AE5A726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DEACA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31C4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Pomiar realizowany za pośrednictwem czujnika saturacji - bez konieczności stosowania dodatkowych akcesoriów zużywalnych.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F8DF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284E617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4A510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12FC2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Wynik pomiaru prezentowany na wspólnym wykresie z pomiarem głębokości uśpienia, w sposób ułatwiający prowadzenie znieczulenia i optymalizację zużycia środków znieczulających.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0BEC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4D52693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7BC09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91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976E1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 komplecie do każdego kardiomonitora komplet akcesoriów do pomiaru u min. 300 pacjentów. W przypadku urządzenia zewnętrznego w komplecie: 2-przegubowy uchwyt montażowy zapewniający bezpieczne mocowanie na stanowisku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6518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EA056C2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D75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Możliwości rozbudowy</w:t>
            </w:r>
          </w:p>
        </w:tc>
      </w:tr>
      <w:tr w:rsidR="008C76CE" w:rsidRPr="008C76CE" w14:paraId="745D0C24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6C607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4BCB3A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rozbudowy o monitorowanie gazowe w strumieniu bocznym, min.: C02, 02, N20 i anestetyków z </w:t>
            </w:r>
            <w:proofErr w:type="spellStart"/>
            <w:r w:rsidRPr="008C76CE">
              <w:rPr>
                <w:rFonts w:asciiTheme="majorBidi" w:hAnsiTheme="majorBidi" w:cstheme="majorBidi"/>
              </w:rPr>
              <w:t>automatyczą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identyfikacją środka znieczulającego oraz prezentacją MAC/ </w:t>
            </w:r>
            <w:proofErr w:type="spellStart"/>
            <w:r w:rsidRPr="008C76CE">
              <w:rPr>
                <w:rFonts w:asciiTheme="majorBidi" w:hAnsiTheme="majorBidi" w:cstheme="majorBidi"/>
              </w:rPr>
              <w:t>MACage</w:t>
            </w:r>
            <w:proofErr w:type="spellEnd"/>
            <w:r w:rsidRPr="008C76CE">
              <w:rPr>
                <w:rFonts w:asciiTheme="majorBidi" w:hAnsiTheme="majorBidi" w:cstheme="majorBidi"/>
              </w:rPr>
              <w:t>. Pomiary możliwe u pacjentów zaintubowanych i niezaintubowanych.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5F1E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72B96D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A7C55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49F1E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rozbudowy o pomiar rzutu minutowego serca z wykorzystaniem cewnika </w:t>
            </w:r>
            <w:proofErr w:type="spellStart"/>
            <w:r w:rsidRPr="008C76CE">
              <w:rPr>
                <w:rFonts w:asciiTheme="majorBidi" w:hAnsiTheme="majorBidi" w:cstheme="majorBidi"/>
              </w:rPr>
              <w:t>Swana-Ganza</w:t>
            </w:r>
            <w:proofErr w:type="spellEnd"/>
            <w:r w:rsidRPr="008C76CE">
              <w:rPr>
                <w:rFonts w:asciiTheme="majorBidi" w:hAnsiTheme="majorBidi" w:cstheme="majorBidi"/>
              </w:rPr>
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2AC5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8BB7A51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46D09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BDB8F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rozbudowy o podłączenie aparatu do znieczulania, zapewniające prezentację na ekranie kardiomonitora wartości parametrów i krzywych dynamicznych oraz sygnalizację alarmów. Dane przesyłane dalej do systemu centralnego monitorowania.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E338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F9C7C4C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5038B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Alarmy</w:t>
            </w:r>
          </w:p>
        </w:tc>
      </w:tr>
      <w:tr w:rsidR="008C76CE" w:rsidRPr="008C76CE" w14:paraId="26795637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597C4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007AD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570E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F066AD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ED3EF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95726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zmiany priorytetu alarmów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52D01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B370016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3E459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00E9F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Alarmy techniczne z podaniem przyczyny.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1C1AA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0D66EC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0B252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9D4F3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C92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E297B50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5BC2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F05D5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Granice regulowane indywidualnie - w oknach poszczególnych parametrów - oraz zbiorczo, w oknie ustawień alarmów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FF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10D25F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BFE98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100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6EE80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wyciszenia alarmów. Czas wyciszenia alarmów przynajmniej: 2 minuty oraz bez limitu czasowego.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8951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40339E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7669E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A398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bezdotykowego wyciszania alarmów gestem - poprzez odpowiedni ruch dłonią przed ekranem kardiomonitora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D019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C5DF1C6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D20FC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B4984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33BE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F0A0CB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10FF4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1E82D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rozbudowy kardiomonitora o funkcję zaawansowanych alarmów ułatwiających diagnozowanie </w:t>
            </w:r>
            <w:proofErr w:type="spellStart"/>
            <w:r w:rsidRPr="008C76CE">
              <w:rPr>
                <w:rFonts w:asciiTheme="majorBidi" w:hAnsiTheme="majorBidi" w:cstheme="majorBidi"/>
              </w:rPr>
              <w:t>trudnch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stanów klinicznych poprzez informowanie personelu o jednoczasowym zajściu kilku warunków brzegowych - konfigurowanych przez użytkownika - związanych z wartościami różnych mierzonych parametrów.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F2EF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64FD0DB5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97289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Analiza danych</w:t>
            </w:r>
          </w:p>
        </w:tc>
      </w:tr>
      <w:tr w:rsidR="008C76CE" w:rsidRPr="008C76CE" w14:paraId="132D6BAB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03C57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BBA24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 pamięć przynajmniej 168 godzin trendów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E3AA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CC8F47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8845C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E9C82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wyświetlania trendów w formie graficznej i tabelarycznej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0200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482CE129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588B1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DC10C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Monitor z możliwością rozbudowy o funkcje wczesnego ostrzegania wg skali NEWS2 i MEWS oraz funkcję </w:t>
            </w:r>
            <w:proofErr w:type="spellStart"/>
            <w:r w:rsidRPr="008C76CE">
              <w:rPr>
                <w:rFonts w:asciiTheme="majorBidi" w:hAnsiTheme="majorBidi" w:cstheme="majorBidi"/>
              </w:rPr>
              <w:t>OxyCRG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oraz wbudowaną pamięć pełnych przebiegów dynamicznych Fuli </w:t>
            </w:r>
            <w:proofErr w:type="spellStart"/>
            <w:r w:rsidRPr="008C76CE">
              <w:rPr>
                <w:rFonts w:asciiTheme="majorBidi" w:hAnsiTheme="majorBidi" w:cstheme="majorBidi"/>
              </w:rPr>
              <w:t>Disclosure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z min. 72 godzin dla przynajmniej: wszystkich przebiegów EKG, SpO2, Oddechu i 2x IBP.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C509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C16501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C6CB2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6D125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Monitor wyposażony w funkcję przenoszenia konfiguracji oraz trendów parametrów życiowych pacjenta za pośrednictwem pamięci USB. Funkcja eksportu trendów zabezpieczona przed niepowołanym dostępem, trendy eksportowane w formie zanonimizowanej, zaszyfrowanej w formacie umożliwiającym odczyt z wykorzystaniem pakietu MS Excel lub </w:t>
            </w:r>
            <w:proofErr w:type="spellStart"/>
            <w:r w:rsidRPr="008C76CE">
              <w:rPr>
                <w:rFonts w:asciiTheme="majorBidi" w:hAnsiTheme="majorBidi" w:cstheme="majorBidi"/>
              </w:rPr>
              <w:t>Acrobat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Reader.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4F4F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98E210E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651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Pozostałe</w:t>
            </w:r>
          </w:p>
        </w:tc>
      </w:tr>
      <w:tr w:rsidR="008C76CE" w:rsidRPr="008C76CE" w14:paraId="1B3D6438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83B5E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E757E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Ze względów serwisowych, obsługowych i przyszłej rozbudowy - aparat do znieczulania i kardiomonitor tego samego producenta.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34C9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BD28313" w14:textId="77777777" w:rsidTr="008C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A706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F6811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zamiennego stosowania modułu gazowego pomiędzy </w:t>
            </w:r>
            <w:r w:rsidRPr="008C76CE">
              <w:rPr>
                <w:rFonts w:asciiTheme="majorBidi" w:hAnsiTheme="majorBidi" w:cstheme="majorBidi"/>
              </w:rPr>
              <w:lastRenderedPageBreak/>
              <w:t>monitorem i aparatem do znieczulania.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A1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TAK</w:t>
            </w:r>
          </w:p>
        </w:tc>
      </w:tr>
    </w:tbl>
    <w:p w14:paraId="3EBD115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64FD760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0067FB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45ED42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4FE481F" w14:textId="77777777" w:rsidR="00510BA0" w:rsidRDefault="000000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4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Załącznik nr 1.1 d</w:t>
      </w:r>
    </w:p>
    <w:p w14:paraId="2A21803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240853C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0444508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Wanna Do Kontenera 1/1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3B7C63D6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35E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906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1BA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9A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06A9A20F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D1E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3CA5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373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334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9E315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DCD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D659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1CC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CF4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70745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6A58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763A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7B1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04E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22D40E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514C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8C7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03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D47FA6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D67C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0BC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Wanna Do Kontenera o wymiarach min. 300x270x85mm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4B4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8E6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9B532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7014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724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Wykonana Ze Stopu Aluminium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E9E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F97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F97BE38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ED17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50B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ergonomicznymi uchwytami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blokujacymi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się pod katem 90 stopni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442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FEF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1E8A1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5EC8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02D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Wyposażona w uchwyty na tabliczki identyfikacyjne po obu stronach kontenera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9FF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808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312146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604D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57A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1/2 pokrywa srebrna kompatybilna z oferowanym kontenerem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11F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F83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79A20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4C5F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9EA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 stalowy perforowany z uchwytami i nóżkami o wymiarach 243x253x56mm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FA6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3E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5049DE21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CDB6DEE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2.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Wanna Do Kontenera 1/2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596E6F22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A6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EE0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CA3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C99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4B232278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5DE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CFCC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8D4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407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687CA7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3E7F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4D0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E20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98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32DF16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EAF6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B921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180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AE9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D00CD5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FE9A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142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E4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95D03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10F5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6F1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Wanna Do Kontenera o wymiarach min. 580x270x850mm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37A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859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8CC72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6F5B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BCB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Wykonana Ze Stopu Aluminium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9D5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B27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1DC7D4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3502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6CE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Ergonomicznymi Uchwytami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Blokujacymi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Się Pod 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Katem 90 Stopni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0E2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48F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557B46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EE47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E09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Wyposażona W Uchwyty Na Tabliczki Identyfikacyjne Po Obu Stronach Kontenera.</w:t>
            </w:r>
          </w:p>
          <w:p w14:paraId="2CD1406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1/1 Pokrywa Srebrna Kompatybilna Z Oferowanym Kontenerem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60D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FA4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79FC03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D77D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9F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 Stalowy Perforowany Z Uchwytami I Nóżkami O Wymiarach  540x253x56mm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F56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F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369EDDC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7AEA0D7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15D1C8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C1BC79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0C42127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5</w:t>
      </w:r>
    </w:p>
    <w:p w14:paraId="0F38AB6A" w14:textId="77777777" w:rsidR="00510BA0" w:rsidRDefault="000000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Zadanie nr 1.1 e</w:t>
      </w:r>
    </w:p>
    <w:p w14:paraId="0C14B79C" w14:textId="77777777" w:rsidR="00510BA0" w:rsidRDefault="00000000"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1. Kardiomonitor 15” – Oddział Pediatrii</w:t>
      </w:r>
    </w:p>
    <w:tbl>
      <w:tblPr>
        <w:tblW w:w="15404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645"/>
        <w:gridCol w:w="4387"/>
        <w:gridCol w:w="2918"/>
        <w:gridCol w:w="2917"/>
        <w:gridCol w:w="4537"/>
      </w:tblGrid>
      <w:tr w:rsidR="00510BA0" w14:paraId="57A7BA56" w14:textId="77777777">
        <w:trPr>
          <w:trHeight w:val="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94B2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CE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9B9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E65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Parametry oceniane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B80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106DB77A" w14:textId="77777777">
        <w:trPr>
          <w:trHeight w:val="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4E41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0BB9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989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BCC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0C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F40E1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8F99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B6FA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958D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A0B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E1D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A225E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1EB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247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450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74B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43E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9AE7989" w14:textId="77777777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C3E5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EBC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04F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33A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A7429A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52A2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173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Kolorowy pojedynczy ekran w postaci płaskiego panelu LCD TFT o przekątnej minimum 15.5", rozdzielczości co najmniej 1300x700 pikseli i dużym kącie widzenia (powyżej 160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CD3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11C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9B6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91A2B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2C89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4C1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Opisy i komunikaty ekranowe w języku polskim. Obsługa poprzez ekran dotykowy z funkcją obsługi gestów. Fabrycznie skonfigurowane co najmniej trzy układy ekranu: normalny (krzywe dynamiczne i wartości parametrów), </w:t>
            </w:r>
            <w:proofErr w:type="spellStart"/>
            <w:r>
              <w:rPr>
                <w:rFonts w:ascii="Times New Roman" w:hAnsi="Times New Roman" w:cs="Times New Roman"/>
              </w:rPr>
              <w:t>minitrendów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(krótkie trendy, krzywe dynamiczne i wartości parametrów), duże odczyty. Szybkie przełączanie między ekranami, bez wchodzenia do menu, za pomocą </w:t>
            </w:r>
            <w:r>
              <w:rPr>
                <w:rFonts w:ascii="Times New Roman" w:hAnsi="Times New Roman" w:cs="Times New Roman"/>
              </w:rPr>
              <w:lastRenderedPageBreak/>
              <w:t>gestów np. przesunięcie w lewo lub w prawo dwoma palcami po ekranie.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599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DF1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A03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A7AB4B" w14:textId="77777777">
        <w:trPr>
          <w:trHeight w:val="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0666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283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Do 12 krzywych dynamicznych wyświetlanych jednocześnie na ekranie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591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870C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99F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C0775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1AD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6AB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sieciowe dostosowane do 230V / 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. Wewnętrzny akumulator, wymienialny przez użytkownika, pozwalający na minimum 120 minut pracy w konfiguracji EKG, NIBP, SpO2.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B1F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704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63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122CD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4861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5E92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Cicha praca urządzenia – chłodzenie konwekcyjne bez stosowania wentylatorów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DCC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D086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A8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B1AC4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2819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017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Wyposażenie w interfejsy wejścia/wyjścia: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85B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E819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AB20" w14:textId="77777777" w:rsidR="00510BA0" w:rsidRDefault="00510BA0">
            <w:pPr>
              <w:widowControl w:val="0"/>
            </w:pPr>
          </w:p>
        </w:tc>
      </w:tr>
      <w:tr w:rsidR="00510BA0" w14:paraId="517475F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64AD" w14:textId="77777777" w:rsidR="00510BA0" w:rsidRDefault="00510BA0">
            <w:pPr>
              <w:widowControl w:val="0"/>
              <w:numPr>
                <w:ilvl w:val="0"/>
                <w:numId w:val="16"/>
              </w:numPr>
              <w:ind w:left="850" w:hanging="567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0E9F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co najmniej 2 gniazda USB do podłączenia klawiatury, myszki komputerowej, skanera kodów paskowych, gniazdo do podłączenia ekranu kopiującego,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D86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D8A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D065" w14:textId="77777777" w:rsidR="00510BA0" w:rsidRDefault="00510BA0">
            <w:pPr>
              <w:widowControl w:val="0"/>
            </w:pPr>
          </w:p>
        </w:tc>
      </w:tr>
      <w:tr w:rsidR="00510BA0" w14:paraId="7DA5530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D600" w14:textId="77777777" w:rsidR="00510BA0" w:rsidRDefault="00510BA0">
            <w:pPr>
              <w:widowControl w:val="0"/>
              <w:numPr>
                <w:ilvl w:val="0"/>
                <w:numId w:val="16"/>
              </w:numPr>
              <w:ind w:left="850" w:hanging="567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CA9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do podłączenia monitora kopiującego,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ED3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87A9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4412" w14:textId="77777777" w:rsidR="00510BA0" w:rsidRDefault="00510BA0">
            <w:pPr>
              <w:widowControl w:val="0"/>
            </w:pPr>
          </w:p>
        </w:tc>
      </w:tr>
      <w:tr w:rsidR="00510BA0" w14:paraId="3179DF8C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5AB5" w14:textId="77777777" w:rsidR="00510BA0" w:rsidRDefault="00510BA0">
            <w:pPr>
              <w:widowControl w:val="0"/>
              <w:numPr>
                <w:ilvl w:val="0"/>
                <w:numId w:val="16"/>
              </w:numPr>
              <w:ind w:left="850" w:hanging="567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B4E3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RJ-45 do połączenia z siecią monitorowania.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27D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C9A8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2EB6" w14:textId="77777777" w:rsidR="00510BA0" w:rsidRDefault="00510BA0">
            <w:pPr>
              <w:widowControl w:val="0"/>
            </w:pPr>
          </w:p>
        </w:tc>
      </w:tr>
      <w:tr w:rsidR="00510BA0" w14:paraId="6D3BF0C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D92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5D3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EKG</w:t>
            </w:r>
            <w:r>
              <w:rPr>
                <w:rFonts w:ascii="Times New Roman" w:hAnsi="Times New Roman" w:cs="Times New Roman"/>
              </w:rPr>
              <w:t xml:space="preserve"> - pomiar częstości akcji serca. Zakres minimum 30 - 300/min. Ustawianie prędkości przesuwu krzywej EKG do wyboru co najmniej: 6.25; 12.5; 25; 50 mm/s. Ustawianie wzmocnienia krzywej EKG do wyboru co najmniej: x0.125; x0.25; 0.5; x1; x2; x4; auto. Wykorzystywanie do analizy EKG 4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jednocześnie, z możliwością ich wyboru.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EB5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3DF4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68E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AFCF7D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35B4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01A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Monitorowanie do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jednocześnie.</w:t>
            </w:r>
          </w:p>
          <w:p w14:paraId="35030D2E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 komplecie z monitorem:</w:t>
            </w:r>
          </w:p>
          <w:p w14:paraId="511D695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kompletem 5 końcówek dla dorosłych</w:t>
            </w:r>
          </w:p>
          <w:p w14:paraId="705E067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przewód EKG z kompletem 3 końcówek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dla dzieci</w:t>
            </w:r>
          </w:p>
          <w:p w14:paraId="622AEC5A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gniazdami DIN do podłączenia elektrod jednorazowych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32E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AB9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F03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186C6F2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FEF4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A16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Analiza arytmii – wykrywanie co najmniej 25 kategorii zaburzeń rytmu w tym VF, ASYS, BRADY, TACHY, AF.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6A5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C86E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CD4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5218C0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22AF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53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analizy zmian częstości akcji serca z ostatnich 24 godzin informacje o wartościach HR, ST, QT i arytmii: statystyka dot. częstości akcji serca, statystyka zdarzeń arytmii, statystyka pomiarów QT/</w:t>
            </w:r>
            <w:proofErr w:type="spellStart"/>
            <w:r>
              <w:rPr>
                <w:rFonts w:ascii="Times New Roman" w:hAnsi="Times New Roman"/>
              </w:rPr>
              <w:t>QTc</w:t>
            </w:r>
            <w:proofErr w:type="spellEnd"/>
            <w:r>
              <w:rPr>
                <w:rFonts w:ascii="Times New Roman" w:hAnsi="Times New Roman"/>
              </w:rPr>
              <w:t xml:space="preserve">, statystyka maksymalnych i minimalnych wartości odcinka ST dla poszczególnych </w:t>
            </w:r>
            <w:proofErr w:type="spellStart"/>
            <w:r>
              <w:rPr>
                <w:rFonts w:ascii="Times New Roman" w:hAnsi="Times New Roman"/>
              </w:rPr>
              <w:t>odprowadzeń</w:t>
            </w:r>
            <w:proofErr w:type="spellEnd"/>
            <w:r>
              <w:rPr>
                <w:rFonts w:ascii="Times New Roman" w:hAnsi="Times New Roman"/>
              </w:rPr>
              <w:t>, statystyka dot. danych stymulatora.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D6F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1C6A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FD2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9C07C6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AD5B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65B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odcinka ST – jednoczesny pomiar odchylenia odcinka ST w siedmiu </w:t>
            </w:r>
            <w:proofErr w:type="spellStart"/>
            <w:r>
              <w:rPr>
                <w:rFonts w:ascii="Times New Roman" w:hAnsi="Times New Roman" w:cs="Times New Roman"/>
              </w:rPr>
              <w:t>odprowadzeniach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zakresie co najmniej od -2,5 do +2,5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  <w:r>
              <w:rPr>
                <w:rFonts w:ascii="Times New Roman" w:hAnsi="Times New Roman" w:cs="Times New Roman"/>
              </w:rPr>
              <w:t>. Prezentacja zmian odchylenia ST w postaci wzorcowych odcinków ST z nanoszonymi na nie bieżącymi odcinkami.  Tryb alarmowania ST w oparciu wartości bezwzględne oraz względne w stosunku do linii odniesienia. W przypadku trybu alarmowania w oparciu o wartości bezwzględne możliwość ustawienia granic alarmowych dla pojedynczego ST oraz dla dwóch ST.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AEF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136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B3E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3665B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681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163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zmian odcinka QT oraz obliczanie wartości </w:t>
            </w:r>
            <w:proofErr w:type="spellStart"/>
            <w:r>
              <w:rPr>
                <w:rFonts w:ascii="Times New Roman" w:hAnsi="Times New Roman" w:cs="Times New Roman"/>
              </w:rPr>
              <w:t>QTc</w:t>
            </w:r>
            <w:proofErr w:type="spellEnd"/>
            <w:r>
              <w:rPr>
                <w:rFonts w:ascii="Times New Roman" w:hAnsi="Times New Roman" w:cs="Times New Roman"/>
              </w:rPr>
              <w:t xml:space="preserve"> wg. co najmniej 4 wzorów.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A0A3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18C9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  <w:sz w:val="22"/>
                <w:szCs w:val="22"/>
              </w:rPr>
              <w:t>OTc</w:t>
            </w:r>
            <w:proofErr w:type="spellEnd"/>
            <w:r>
              <w:rPr>
                <w:rFonts w:ascii="Cambria" w:hAnsi="Cambria" w:cstheme="majorBidi"/>
                <w:sz w:val="22"/>
                <w:szCs w:val="22"/>
              </w:rPr>
              <w:t>:</w:t>
            </w:r>
          </w:p>
          <w:p w14:paraId="671BA145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&gt;3 – 2 pkt.</w:t>
            </w:r>
          </w:p>
          <w:p w14:paraId="2A06D47F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&lt;3 – 0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CC5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685A4E5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398F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E42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</w:rPr>
              <w:t xml:space="preserve"> – pomiar częstości oddechu metodą impedancyjną. Zakres pomiarowy częstości oddechu co najmniej od 0 do 200 R/min. Możliwość wyboru odprowadzeni do monitorowania respiracji. Wybór prędkości przesuwu krzywych co </w:t>
            </w:r>
            <w:r>
              <w:rPr>
                <w:rFonts w:ascii="Times New Roman" w:hAnsi="Times New Roman" w:cs="Times New Roman"/>
              </w:rPr>
              <w:lastRenderedPageBreak/>
              <w:t>najmniej: 3 mm/s; 6.2 mm/s 5; 12,5 mm/s; 25 mm/s.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ED9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1373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4 prędkości przesuwu krzywej respiracji – 0 pkt.</w:t>
            </w:r>
          </w:p>
          <w:p w14:paraId="78AFE8D5" w14:textId="77777777" w:rsidR="00510BA0" w:rsidRDefault="00510BA0">
            <w:pPr>
              <w:widowControl w:val="0"/>
              <w:rPr>
                <w:rFonts w:ascii="Cambria" w:hAnsi="Cambria" w:cstheme="majorBidi"/>
                <w:sz w:val="22"/>
                <w:szCs w:val="22"/>
              </w:rPr>
            </w:pPr>
          </w:p>
          <w:p w14:paraId="0F842D3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5 i więcej prędkości przesuw krzywej respiracji – 4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57F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CF5D2C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D80F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7C6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Saturacja (</w:t>
            </w:r>
            <w:r>
              <w:rPr>
                <w:rFonts w:ascii="Times New Roman" w:hAnsi="Times New Roman" w:cs="Times New Roman"/>
                <w:b/>
              </w:rPr>
              <w:t>SpO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Pomiar w technologii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Oximax</w:t>
            </w:r>
            <w:proofErr w:type="spellEnd"/>
            <w:r>
              <w:rPr>
                <w:rFonts w:ascii="Times New Roman" w:hAnsi="Times New Roman" w:cs="Times New Roman"/>
              </w:rPr>
              <w:t>. Zakres pomiarowy %SpO2</w:t>
            </w:r>
          </w:p>
          <w:p w14:paraId="383499A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0-100%. Zakres pomiarowy częstości pulsu co najmniej od 20 do 300 P/min. Jednoczesne wyświetlanie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wartości % saturacji i częstości pulsu. Alarm </w:t>
            </w:r>
            <w:proofErr w:type="spellStart"/>
            <w:r>
              <w:rPr>
                <w:rFonts w:ascii="Times New Roman" w:hAnsi="Times New Roman" w:cs="Times New Roman"/>
              </w:rPr>
              <w:t>desaturacji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F6DA7B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komplecie z każdym monitorem  przewód interfejsowy oraz czujniki SpO2:</w:t>
            </w:r>
          </w:p>
          <w:p w14:paraId="1D28797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czujnik na palec typu klips dla dorosłych, technologia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  <w:r>
              <w:rPr>
                <w:rFonts w:ascii="Times New Roman" w:hAnsi="Times New Roman" w:cs="Times New Roman"/>
              </w:rPr>
              <w:t xml:space="preserve"> (2szt.)</w:t>
            </w:r>
          </w:p>
          <w:p w14:paraId="34C8FA2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Czujnik dla niemowląt i dzieci 3-40kg mocowany na opasce, </w:t>
            </w:r>
            <w:r>
              <w:rPr>
                <w:rFonts w:ascii="Times New Roman" w:hAnsi="Times New Roman" w:cs="Times New Roman"/>
              </w:rPr>
              <w:t xml:space="preserve">technologia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</w:p>
          <w:p w14:paraId="1D31E39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Czujnik SpO2 dla niemowląt &lt;3kg i dorosłych &gt;40kg mocowany na opasce, </w:t>
            </w:r>
            <w:r>
              <w:rPr>
                <w:rFonts w:ascii="Times New Roman" w:hAnsi="Times New Roman" w:cs="Times New Roman"/>
              </w:rPr>
              <w:t xml:space="preserve">technologia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ED6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78E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225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1C63C66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1F8C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316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Nieinwazyjny pomiar ciśnienia </w:t>
            </w:r>
            <w:r>
              <w:rPr>
                <w:rFonts w:ascii="Times New Roman" w:hAnsi="Times New Roman" w:cs="Times New Roman"/>
                <w:b/>
                <w:bCs/>
              </w:rPr>
              <w:t>(NIPC)</w:t>
            </w:r>
            <w:r>
              <w:rPr>
                <w:rFonts w:ascii="Times New Roman" w:hAnsi="Times New Roman" w:cs="Times New Roman"/>
              </w:rPr>
              <w:t xml:space="preserve"> metoda oscylometryczna. Zakres pomiarowy ciśnienia skurczowego co najmniej od 30 do 290 mmHg.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>
              <w:rPr>
                <w:rFonts w:ascii="Times New Roman" w:hAnsi="Times New Roman" w:cs="Times New Roman"/>
              </w:rPr>
              <w:t>stazy</w:t>
            </w:r>
            <w:proofErr w:type="spellEnd"/>
            <w:r>
              <w:rPr>
                <w:rFonts w:ascii="Times New Roman" w:hAnsi="Times New Roman" w:cs="Times New Roman"/>
              </w:rPr>
              <w:t xml:space="preserve">. Funkcja wstępnego ustawiania ciśnienia pompowania mankietu. Możliwość pomiaru ciśnienia metodą nieinwazyjną na tej samej kończynie co pomiar SpO2 bez wywoływania alarmu SpO2. Pomiar </w:t>
            </w:r>
            <w:r>
              <w:rPr>
                <w:rFonts w:ascii="Times New Roman" w:hAnsi="Times New Roman" w:cs="Times New Roman"/>
              </w:rPr>
              <w:lastRenderedPageBreak/>
              <w:t>częstości pulsu wraz z nieinwazyjnym ciśnieniem co najmniej w zakresie od 30 do 300 P/min.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F35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2FE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FFA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ED0FEE6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FEA1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3DB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z monitorem:</w:t>
            </w:r>
          </w:p>
          <w:p w14:paraId="480C0CB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przewód wielorazowy do podłączenia mankietów wielorazowych oraz jednorazowych</w:t>
            </w:r>
          </w:p>
          <w:p w14:paraId="115098B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mankiety wielorazowe w 4 rozmiarach od niemowlęcego po pacjentów dorosłych</w:t>
            </w:r>
          </w:p>
          <w:p w14:paraId="5C00060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mankiety jednorazowe noworodkowe w trzech rozmiarach – co najmniej 20 szt.  mankietów każdego rozmiaru.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3974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5D40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226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AB59306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6E7D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55F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Pomiar temperatury, dwa tory pomiarowe. Zakres pomiarowy co najmniej od 0 do 50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C. Wyświetlanie </w:t>
            </w:r>
            <w:r>
              <w:rPr>
                <w:rFonts w:ascii="Times New Roman" w:hAnsi="Times New Roman" w:cs="Times New Roman"/>
                <w:b/>
                <w:bCs/>
              </w:rPr>
              <w:t>T1, T2</w:t>
            </w:r>
            <w:r>
              <w:rPr>
                <w:rFonts w:ascii="Times New Roman" w:hAnsi="Times New Roman" w:cs="Times New Roman"/>
              </w:rPr>
              <w:t xml:space="preserve"> oraz różnicy między nimi. Wybór etykiety temperatury zgodnie z miejscem pomiaru z listy co najmniej 10 etykiet zapisanych w pamięci monitora. W komplecie z monitorem czujnik temperatury powierzchniowej dla dorosłych oraz czujnik temperatury powierzchniowej dla dzieci/noworodków.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23E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20DE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ABF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2B410B7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3B07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39F5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3519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8CD5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2 wzorce alarmu do wyboru – 0 pkt.</w:t>
            </w:r>
          </w:p>
          <w:p w14:paraId="0FBDCC4E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i więcej wzorców do wyboru – 3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88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606E0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1A38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92B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Przynajmniej 120-godzinne trendy wszystkich mierzonych parametrów, w postaci tabel i wykresów  z rozdzielczością od 1 minuty.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1F9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05BF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44D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509D189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DE48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702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krzywych dynamicznych w czasie rzeczywistym (funkcja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dislosure</w:t>
            </w:r>
            <w:proofErr w:type="spellEnd"/>
            <w:r>
              <w:rPr>
                <w:rFonts w:ascii="Times New Roman" w:hAnsi="Times New Roman" w:cs="Times New Roman"/>
              </w:rPr>
              <w:t>) – pamięć co najmniej 24 godzin.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AB7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7382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3CB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743F55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5B8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F21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Zapamiętywanie co najmniej 1000 zdarzeń alarmowych (krzywe i odpowiadające im wartości parametrów).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968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878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38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75760B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032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B2B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Monitor wyposażony w funkcje obliczeń dawki (lekowych), hemodynamicznych,  natlenienia, nerkowych i wentylacji.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B0D8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5919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F8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D68DAB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3A5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BE0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wprowadzania danych i obliczania punktacji wczesnego ostrzegania EWS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F6C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A54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A1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7136B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4D56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E3C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2867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3589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TAK – 3 pkt.</w:t>
            </w:r>
          </w:p>
          <w:p w14:paraId="3468B79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2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EE3FFE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016D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636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przystosowany do pracy w sieci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3D3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D4B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CAA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81AD6A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FFF6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6A8B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Możliwość współpracy ze stacją centralnego nadzoru przystosowanej również do obsługi monitorów modułowych oraz nadajników telemetrycznych,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18B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DA7" w14:textId="77777777" w:rsidR="00510BA0" w:rsidRDefault="00510BA0">
            <w:pPr>
              <w:widowControl w:val="0"/>
              <w:rPr>
                <w:rFonts w:cstheme="majorBidi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B2D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37FB51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5DAC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8918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301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C78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621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D41E5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128B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45C0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„</w:t>
            </w:r>
            <w:proofErr w:type="spellStart"/>
            <w:r>
              <w:rPr>
                <w:rFonts w:ascii="Times New Roman" w:hAnsi="Times New Roman"/>
              </w:rPr>
              <w:t>standby</w:t>
            </w:r>
            <w:proofErr w:type="spellEnd"/>
            <w:r>
              <w:rPr>
                <w:rFonts w:ascii="Times New Roman" w:hAnsi="Times New Roman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95E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1092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D5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741470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BB9D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4A1A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Funkcja „tryb prywatny” pozwalająca - w przypadku podłączenia urządzenia do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centrali - na ukrycie danych przed pacjentem i wyświetlanie ich tylko na stanowisku centralnym.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C00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CA3F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8B3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55079E0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97C9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E098" w14:textId="77777777" w:rsidR="00510BA0" w:rsidRDefault="0000000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14:paraId="647B1AAE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rzut minutowy metodami: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termodylucji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ICG,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PiCCO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14:paraId="61BB81F7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BIS;</w:t>
            </w:r>
          </w:p>
          <w:p w14:paraId="7175CB20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NMT;</w:t>
            </w:r>
          </w:p>
          <w:p w14:paraId="4EFE8821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EEG;</w:t>
            </w:r>
          </w:p>
          <w:p w14:paraId="15B93D6C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FloTrac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0D2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B456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F8C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F08CDD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7E3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BC00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Każdy kardiomonitor wyposażony w wózek jezdny z półką na monitor i koszykiem na akcesoria.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073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CFA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D06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1FCE9E6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49EDC2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D71D4F5" w14:textId="77777777" w:rsidR="00510BA0" w:rsidRDefault="00000000"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2. Kardiomonitor 15” – Oddział Geriatrii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1"/>
        <w:gridCol w:w="4323"/>
        <w:gridCol w:w="2872"/>
        <w:gridCol w:w="3102"/>
        <w:gridCol w:w="1371"/>
        <w:gridCol w:w="3101"/>
      </w:tblGrid>
      <w:tr w:rsidR="00510BA0" w14:paraId="2A2DEB39" w14:textId="77777777">
        <w:trPr>
          <w:trHeight w:val="3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ABB2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ACB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0B1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71D0" w14:textId="77777777" w:rsidR="00510BA0" w:rsidRDefault="00000000">
            <w:pPr>
              <w:widowControl w:val="0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  <w:b/>
                <w:bCs/>
              </w:rPr>
              <w:t>Parametry oceniane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125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534E78BA" w14:textId="77777777">
        <w:trPr>
          <w:trHeight w:val="3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A0E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9F47" w14:textId="77777777" w:rsidR="00510BA0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Producent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585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AFBB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7B6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E963FAD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69C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30C9" w14:textId="77777777" w:rsidR="00510BA0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Model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6BC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AC8D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6F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577FB90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A79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1A3B" w14:textId="77777777" w:rsidR="00510BA0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Rok produkcji min. 2023 (produkt</w:t>
            </w:r>
            <w:r>
              <w:rPr>
                <w:rFonts w:ascii="Times New Roman" w:hAnsi="Times New Roman" w:cstheme="majorBidi"/>
                <w:bCs/>
              </w:rPr>
              <w:t xml:space="preserve"> fabrycznie nowy, </w:t>
            </w:r>
            <w:proofErr w:type="spellStart"/>
            <w:r>
              <w:rPr>
                <w:rFonts w:ascii="Times New Roman" w:hAnsi="Times New Roman" w:cstheme="majorBidi"/>
                <w:bCs/>
              </w:rPr>
              <w:t>nierekondycjonowany</w:t>
            </w:r>
            <w:proofErr w:type="spellEnd"/>
            <w:r>
              <w:rPr>
                <w:rFonts w:ascii="Times New Roman" w:hAnsi="Times New Roman" w:cstheme="majorBidi"/>
                <w:bCs/>
              </w:rPr>
              <w:t>, nie powystawowy)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231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465C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190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6BBE696" w14:textId="77777777"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9642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3EB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AD8F" w14:textId="77777777" w:rsidR="00510BA0" w:rsidRDefault="00510BA0">
            <w:pPr>
              <w:widowControl w:val="0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2B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554E28B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0ACB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E2C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Kolorowy pojedynczy ekran w postaci płaskiego panelu LCD TFT o przekątnej minimum 15.5", rozdzielczości co najmniej 1300x700 pikseli i dużym kącie widzenia (powyżej 160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3F7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A6A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E48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DBB68F8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C8D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7C02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Opisy i komunikaty ekranowe w języku polskim. Obsługa poprzez ekran dotykowy z funkcją obsługi gestów. Fabrycznie skonfigurowane co najmniej trzy układy ekranu: normalny (krzywe </w:t>
            </w:r>
            <w:r>
              <w:rPr>
                <w:rFonts w:ascii="Times New Roman" w:hAnsi="Times New Roman" w:cs="Times New Roman"/>
              </w:rPr>
              <w:lastRenderedPageBreak/>
              <w:t xml:space="preserve">dynamiczne i wartości parametrów), </w:t>
            </w:r>
            <w:proofErr w:type="spellStart"/>
            <w:r>
              <w:rPr>
                <w:rFonts w:ascii="Times New Roman" w:hAnsi="Times New Roman" w:cs="Times New Roman"/>
              </w:rPr>
              <w:t>minitrendów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(krótkie trendy, krzywe dynamiczne i wartości parametrów), duże odczyty. Szybkie przełączanie między ekranami, bez wchodzenia do menu, za pomocą gestów np. przesunięcie w lewo lub w prawo dwoma palcami po ekranie.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3BA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86B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5A7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42105E9" w14:textId="77777777">
        <w:trPr>
          <w:trHeight w:val="3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9C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C0CB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Do 12 krzywych dynamicznych wyświetlanych jednocześnie na ekranie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B04F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1E3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5E8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675B78D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7D36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19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sieciowe dostosowane do 230V / 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. Wewnętrzny akumulator, wymienialny przez użytkownika, pozwalający na minimum 120 minut pracy w konfiguracji EKG, NIBP, SpO2.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72A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9C55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1A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3A08B6A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5D90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1FC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Cicha praca urządzenia – chłodzenie konwekcyjne bez stosowania wentylatorów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CD3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979B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081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93474EA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1D4E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EAD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Wyposażenie w interfejsy wejścia/wyjścia: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FC9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4B08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3665" w14:textId="77777777" w:rsidR="00510BA0" w:rsidRDefault="00510BA0">
            <w:pPr>
              <w:widowControl w:val="0"/>
            </w:pPr>
          </w:p>
        </w:tc>
      </w:tr>
      <w:tr w:rsidR="00510BA0" w14:paraId="4A0B85B7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2600" w14:textId="77777777" w:rsidR="00510BA0" w:rsidRDefault="00510BA0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A48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co najmniej 2 gniazda USB do podłączenia klawiatury, myszki komputerowej, skanera kodów paskowych, gniazdo do podłączenia ekranu kopiującego,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3A7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DCA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71B2" w14:textId="77777777" w:rsidR="00510BA0" w:rsidRDefault="00510BA0">
            <w:pPr>
              <w:widowControl w:val="0"/>
            </w:pPr>
          </w:p>
        </w:tc>
      </w:tr>
      <w:tr w:rsidR="00510BA0" w14:paraId="45E8236C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A555" w14:textId="77777777" w:rsidR="00510BA0" w:rsidRDefault="00510BA0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7E4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do podłączenia monitora kopiującego,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3FD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D61F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28A5" w14:textId="77777777" w:rsidR="00510BA0" w:rsidRDefault="00510BA0">
            <w:pPr>
              <w:widowControl w:val="0"/>
            </w:pPr>
          </w:p>
        </w:tc>
      </w:tr>
      <w:tr w:rsidR="00510BA0" w14:paraId="72891EBB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CC22" w14:textId="77777777" w:rsidR="00510BA0" w:rsidRDefault="00510BA0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35C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RJ-45 do połączenia z siecią monitorowania.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FB4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247C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9F81" w14:textId="77777777" w:rsidR="00510BA0" w:rsidRDefault="00510BA0">
            <w:pPr>
              <w:widowControl w:val="0"/>
            </w:pPr>
          </w:p>
        </w:tc>
      </w:tr>
      <w:tr w:rsidR="00510BA0" w14:paraId="7535BDD9" w14:textId="77777777">
        <w:tc>
          <w:tcPr>
            <w:tcW w:w="1234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EA5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MIERZONE PARAMETRY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CF91" w14:textId="77777777" w:rsidR="00510BA0" w:rsidRDefault="00510BA0">
            <w:pPr>
              <w:widowControl w:val="0"/>
              <w:rPr>
                <w:rFonts w:ascii="Times New Roman" w:hAnsi="Times New Roman"/>
                <w:b/>
                <w:bCs/>
              </w:rPr>
            </w:pPr>
          </w:p>
        </w:tc>
      </w:tr>
      <w:tr w:rsidR="00510BA0" w14:paraId="28EEC795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154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4BB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EKG</w:t>
            </w:r>
            <w:r>
              <w:rPr>
                <w:rFonts w:ascii="Times New Roman" w:hAnsi="Times New Roman" w:cs="Times New Roman"/>
              </w:rPr>
              <w:t xml:space="preserve"> - pomiar częstości akcji serca. Zakres minimum 30 - 300/min. Ustawianie prędkości przesuwu krzywej EKG do wyboru co najmniej: 6.25; 12.5; 25; 50 mm/s. Ustawianie wzmocnienia krzywej EKG do wyboru co najmniej: x0.125; x0.25; 0.5; x1; x2; x4; auto. Wykorzystywanie do analizy EKG 4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odprowadzeń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jednocześnie, z możliwością ich wyboru.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B6E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30C2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337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CD9740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670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92A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Monitorowanie do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jednocześnie.</w:t>
            </w:r>
          </w:p>
          <w:p w14:paraId="2AD0C3C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 komplecie z monitorem:</w:t>
            </w:r>
          </w:p>
          <w:p w14:paraId="25F457DB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kompletem 5 końcówek dla dorosłych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31D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EC29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CAE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79D6A37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4ED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6D1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Analiza arytmii – wykrywanie co najmniej 25 kategorii zaburzeń rytmu w tym VF, ASYS, BRADY, TACHY, AF.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1DE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58D8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25F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6BC34D0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B8F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A93C" w14:textId="77777777" w:rsidR="00510BA0" w:rsidRDefault="00000000">
            <w:pPr>
              <w:pStyle w:val="Style10"/>
              <w:jc w:val="left"/>
            </w:pPr>
            <w:r>
              <w:rPr>
                <w:rFonts w:ascii="Times New Roman" w:hAnsi="Times New Roman" w:cs="Times New Roman"/>
              </w:rPr>
              <w:t xml:space="preserve">Monitory wyposażony w funkcję analizującą jednocześnie sygnał EKG oraz sygnał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celu uzyskania dokładniejszych wyników analizy arytmii i pomiarów częstości tętna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4F3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EAD0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14E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9D280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C11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3D1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analizy zmian częstości akcji serca z ostatnich 24 godzin informacje o wartościach HR, ST, QT i arytmii: statystyka dot. częstości akcji serca, statystyka zdarzeń arytmii, statystyka pomiarów QT/</w:t>
            </w:r>
            <w:proofErr w:type="spellStart"/>
            <w:r>
              <w:rPr>
                <w:rFonts w:ascii="Times New Roman" w:hAnsi="Times New Roman"/>
              </w:rPr>
              <w:t>QTc</w:t>
            </w:r>
            <w:proofErr w:type="spellEnd"/>
            <w:r>
              <w:rPr>
                <w:rFonts w:ascii="Times New Roman" w:hAnsi="Times New Roman"/>
              </w:rPr>
              <w:t xml:space="preserve">, statystyka maksymalnych i minimalnych wartości odcinka ST dla poszczególnych </w:t>
            </w:r>
            <w:proofErr w:type="spellStart"/>
            <w:r>
              <w:rPr>
                <w:rFonts w:ascii="Times New Roman" w:hAnsi="Times New Roman"/>
              </w:rPr>
              <w:t>odprowadzeń</w:t>
            </w:r>
            <w:proofErr w:type="spellEnd"/>
            <w:r>
              <w:rPr>
                <w:rFonts w:ascii="Times New Roman" w:hAnsi="Times New Roman"/>
              </w:rPr>
              <w:t>, statystyka dot. danych stymulatora.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393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7E85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8D1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71B9C3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E7D0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DF8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odcinka ST – jednoczesny pomiar odchylenia odcinka ST w siedmiu </w:t>
            </w:r>
            <w:proofErr w:type="spellStart"/>
            <w:r>
              <w:rPr>
                <w:rFonts w:ascii="Times New Roman" w:hAnsi="Times New Roman" w:cs="Times New Roman"/>
              </w:rPr>
              <w:t>odprowadzeniach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zakresie co najmniej od -2,5 do +2,5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  <w:r>
              <w:rPr>
                <w:rFonts w:ascii="Times New Roman" w:hAnsi="Times New Roman" w:cs="Times New Roman"/>
              </w:rPr>
              <w:t>. Prezentacja zmian odchylenia ST w postaci wzorcowych odcinków ST z nanoszonymi na nie bieżącymi odcinkami.  Tryb alarmowania ST w oparciu wartości bezwzględne oraz względne w stosunku do linii odniesienia. W przypadku trybu alarmowania w oparciu o wartości bezwzględne możliwość ustawienia granic alarmowych dla pojedynczego ST oraz dla dwóch ST.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AE3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4758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E7F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45E902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A8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0F4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zmian odcinka QT oraz obliczanie wartości </w:t>
            </w:r>
            <w:proofErr w:type="spellStart"/>
            <w:r>
              <w:rPr>
                <w:rFonts w:ascii="Times New Roman" w:hAnsi="Times New Roman" w:cs="Times New Roman"/>
              </w:rPr>
              <w:t>QTc</w:t>
            </w:r>
            <w:proofErr w:type="spellEnd"/>
            <w:r>
              <w:rPr>
                <w:rFonts w:ascii="Times New Roman" w:hAnsi="Times New Roman" w:cs="Times New Roman"/>
              </w:rPr>
              <w:t xml:space="preserve"> wg. co najmniej 4 wzorów.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871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44D6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  <w:sz w:val="22"/>
                <w:szCs w:val="22"/>
              </w:rPr>
              <w:t>OTc</w:t>
            </w:r>
            <w:proofErr w:type="spellEnd"/>
            <w:r>
              <w:rPr>
                <w:rFonts w:ascii="Cambria" w:hAnsi="Cambria" w:cstheme="majorBidi"/>
                <w:sz w:val="22"/>
                <w:szCs w:val="22"/>
              </w:rPr>
              <w:t>:</w:t>
            </w:r>
          </w:p>
          <w:p w14:paraId="59F6AA85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&gt;3 – 2 pkt.</w:t>
            </w:r>
          </w:p>
          <w:p w14:paraId="66F895FE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&lt;3 – 0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1DC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8752C6A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AE6B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1DA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</w:rPr>
              <w:t xml:space="preserve"> – pomiar częstości oddechu metodą impedancyjną. Zakres pomiarowy częstości oddechu co najmniej od 0 do 200 R/min. Możliwość wyboru odprowadzeni do monitorowania respiracji. Wybór prędkości przesuwu krzywych co najmniej: 3 mm/s; 6.2 mm/s 5; 12,5 mm/s; 25 mm/s.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874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9E8E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4 prędkości przesuwu krzywej respiracji – 0 pkt.</w:t>
            </w:r>
          </w:p>
          <w:p w14:paraId="4EA2949D" w14:textId="77777777" w:rsidR="00510BA0" w:rsidRDefault="00510BA0">
            <w:pPr>
              <w:widowControl w:val="0"/>
              <w:rPr>
                <w:rFonts w:ascii="Cambria" w:hAnsi="Cambria" w:cstheme="majorBidi"/>
                <w:sz w:val="22"/>
                <w:szCs w:val="22"/>
              </w:rPr>
            </w:pPr>
          </w:p>
          <w:p w14:paraId="4E2C1B82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5 i więcej prędkości przesuw krzywej respiracji – 4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273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DAD311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CAA2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6074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Saturacja (</w:t>
            </w:r>
            <w:r>
              <w:rPr>
                <w:rFonts w:ascii="Times New Roman" w:hAnsi="Times New Roman" w:cs="Times New Roman"/>
                <w:b/>
              </w:rPr>
              <w:t>SpO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). Zakres pomiarowy %SpO2</w:t>
            </w:r>
          </w:p>
          <w:p w14:paraId="3D9FED1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0-100%. Zakres pomiarowy częstości pulsu co najmniej od 20 do 300 P/min. Jednoczesne wyświetlanie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wartości % saturacji i częstości pulsu. Alarm </w:t>
            </w:r>
            <w:proofErr w:type="spellStart"/>
            <w:r>
              <w:rPr>
                <w:rFonts w:ascii="Times New Roman" w:hAnsi="Times New Roman" w:cs="Times New Roman"/>
              </w:rPr>
              <w:t>desaturacji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B56CED0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komplecie z każdym monitorem  przewód interfejsowy oraz czujniki SpO2:</w:t>
            </w:r>
          </w:p>
          <w:p w14:paraId="0C48E465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czujnik na palec typu klips dla dorosłych (2szt.)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C09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7EA0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94F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84E1605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1421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37D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Nieinwazyjny pomiar ciśnienia </w:t>
            </w:r>
            <w:r>
              <w:rPr>
                <w:rFonts w:ascii="Times New Roman" w:hAnsi="Times New Roman" w:cs="Times New Roman"/>
                <w:b/>
                <w:bCs/>
              </w:rPr>
              <w:t>(NIPC)</w:t>
            </w:r>
            <w:r>
              <w:rPr>
                <w:rFonts w:ascii="Times New Roman" w:hAnsi="Times New Roman" w:cs="Times New Roman"/>
              </w:rPr>
              <w:t xml:space="preserve"> metoda oscylometryczna. Zakres pomiarowy ciśnienia skurczowego co najmniej od 30 do 290 mmHg.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>
              <w:rPr>
                <w:rFonts w:ascii="Times New Roman" w:hAnsi="Times New Roman" w:cs="Times New Roman"/>
              </w:rPr>
              <w:t>stazy</w:t>
            </w:r>
            <w:proofErr w:type="spellEnd"/>
            <w:r>
              <w:rPr>
                <w:rFonts w:ascii="Times New Roman" w:hAnsi="Times New Roman" w:cs="Times New Roman"/>
              </w:rPr>
              <w:t xml:space="preserve">. Funkcja wstępnego ustawiania ciśnienia pompowania mankietu. Możliwość </w:t>
            </w:r>
            <w:r>
              <w:rPr>
                <w:rFonts w:ascii="Times New Roman" w:hAnsi="Times New Roman" w:cs="Times New Roman"/>
              </w:rPr>
              <w:lastRenderedPageBreak/>
              <w:t>pomiaru ciśnienia metodą nieinwazyjną na tej samej kończynie co pomiar SpO2 bez wywoływania alarmu SpO2. Pomiar częstości pulsu wraz z nieinwazyjnym ciśnieniem co najmniej w zakresie od 30 do 300 P/min.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04B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3FD0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E0E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7C13DC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B3AE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E95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z monitorem:</w:t>
            </w:r>
          </w:p>
          <w:p w14:paraId="01E05AE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przewód wielorazowy do podłączenia mankietów wielorazowych oraz jednorazowych</w:t>
            </w:r>
          </w:p>
          <w:p w14:paraId="170B9DB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mankiety wielorazowe w 4 rozmiarach od dziecięcego po pacjentów dorosłych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5AD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918C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89B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8728CB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CBB8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21C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Pomiar temperatury, dwa tory pomiarowe. Zakres pomiarowy co najmniej od 0 do 50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C. Wyświetlanie </w:t>
            </w:r>
            <w:r>
              <w:rPr>
                <w:rFonts w:ascii="Times New Roman" w:hAnsi="Times New Roman" w:cs="Times New Roman"/>
                <w:b/>
                <w:bCs/>
              </w:rPr>
              <w:t>T1, T2</w:t>
            </w:r>
            <w:r>
              <w:rPr>
                <w:rFonts w:ascii="Times New Roman" w:hAnsi="Times New Roman" w:cs="Times New Roman"/>
              </w:rPr>
              <w:t xml:space="preserve"> oraz różnicy między nimi. Wybór etykiety temperatury zgodnie z miejscem pomiaru z listy co najmniej 10 etykiet zapisanych w pamięci monitora. W komplecie z monitorem czujnik temperatury powierzchniowej dla dorosłych.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3B5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72DB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32F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5E69F7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CA83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EA78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2 wzorce do wyboru).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C02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9738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2 wzorce alarmu do wyboru – 0 pkt.</w:t>
            </w:r>
          </w:p>
          <w:p w14:paraId="0F25021C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i więcej wzorców do wyboru – 3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999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31C940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F312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A96C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Przynajmniej 120-godzinne trendy wszystkich mierzonych parametrów, w postaci tabel i wykresów  z rozdzielczością od 1 minuty.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4A5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7E43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B2F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E05D2F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8632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263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krzywych dynamicznych w czasie rzeczywistym (funkcja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dislosure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pamięć co najmniej 24 </w:t>
            </w:r>
            <w:r>
              <w:rPr>
                <w:rFonts w:ascii="Times New Roman" w:hAnsi="Times New Roman" w:cs="Times New Roman"/>
              </w:rPr>
              <w:lastRenderedPageBreak/>
              <w:t>godzin.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2E6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DDA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D8D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4B34E3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A1B4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30C3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Zapamiętywanie co najmniej 1000 zdarzeń alarmowych (krzywe i odpowiadające im wartości parametrów).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6F6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601E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4F9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CFFA5D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CAE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8D24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Monitor wyposażony w funkcje obliczeń dawki (lekowych), hemodynamicznych,  natlenienia, nerkowych i wentylacji.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438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FE71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28D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9B39A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8FE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761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wprowadzania danych i obliczania punktacji wczesnego ostrzegania EWS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98B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7315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B4D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9F1E367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C4C9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3C4C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EAF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671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TAK – 3 pkt.</w:t>
            </w:r>
          </w:p>
          <w:p w14:paraId="3CD785AB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C05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CBD282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C98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E59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przystosowany do pracy w sieci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852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6609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245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0EC63B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81D8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1348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Możliwość współpracy ze stacją centralnego nadzoru przystosowanej również do obsługi monitorów modułowych oraz nadajników telemetrycznych,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ACD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6FDB" w14:textId="77777777" w:rsidR="00510BA0" w:rsidRDefault="00510BA0">
            <w:pPr>
              <w:widowControl w:val="0"/>
              <w:rPr>
                <w:rFonts w:cstheme="majorBidi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E8A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48A212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A4A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08CA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10F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9691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36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D7F8950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8134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7A9D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„</w:t>
            </w:r>
            <w:proofErr w:type="spellStart"/>
            <w:r>
              <w:rPr>
                <w:rFonts w:ascii="Times New Roman" w:hAnsi="Times New Roman"/>
              </w:rPr>
              <w:t>standby</w:t>
            </w:r>
            <w:proofErr w:type="spellEnd"/>
            <w:r>
              <w:rPr>
                <w:rFonts w:ascii="Times New Roman" w:hAnsi="Times New Roman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A0E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2C1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18F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23DF9F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8F04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54D5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Funkcja „tryb prywatny” pozwalająca - w przypadku podłączenia urządzenia do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centrali - na ukrycie danych przed pacjentem i wyświetlanie ich tylko na stanowisku centralnym.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5B0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DC3D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D3D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EFED6C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D73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1195" w14:textId="77777777" w:rsidR="00510BA0" w:rsidRDefault="0000000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14:paraId="727F5379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rzut minutowy metodami: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termodylucji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ICG,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PiCCO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14:paraId="19B23AB3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BIS;</w:t>
            </w:r>
          </w:p>
          <w:p w14:paraId="6582B4AD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NMT;</w:t>
            </w:r>
          </w:p>
          <w:p w14:paraId="625A2DE8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EEG;</w:t>
            </w:r>
          </w:p>
          <w:p w14:paraId="38A00E0D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FloTrac</w:t>
            </w:r>
            <w:proofErr w:type="spellEnd"/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CA5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09C2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255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F1A616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E41E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198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Każdy kardiomonitor wyposażony w wózek jezdny z półką na monitor i koszykiem na akcesoria.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417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524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8F7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0217ADD3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1741F5D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2.</w:t>
      </w:r>
      <w:r>
        <w:rPr>
          <w:rFonts w:ascii="Times New Roman" w:eastAsia="DengXia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Kardiomonitor 12”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0"/>
        <w:gridCol w:w="4263"/>
        <w:gridCol w:w="2827"/>
        <w:gridCol w:w="3283"/>
        <w:gridCol w:w="4407"/>
      </w:tblGrid>
      <w:tr w:rsidR="00510BA0" w14:paraId="3E837C80" w14:textId="77777777">
        <w:trPr>
          <w:trHeight w:val="3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16F8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ECF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23B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B32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DejaVu Sans" w:hAnsi="DejaVu Sans" w:cstheme="majorBidi"/>
                <w:b/>
                <w:bCs/>
              </w:rPr>
              <w:t>Parametry Oceniane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447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5BDA994B" w14:textId="77777777">
        <w:trPr>
          <w:trHeight w:val="3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1576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3D56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F48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4C5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894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A61D3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B6C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A72C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0E9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4E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5E5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017C4B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E3D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F032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8B6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BA37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AFB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0731AC8" w14:textId="77777777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9A1E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6B1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CE89" w14:textId="77777777" w:rsidR="00510BA0" w:rsidRDefault="00510BA0">
            <w:pPr>
              <w:widowControl w:val="0"/>
              <w:rPr>
                <w:rFonts w:ascii="Cambria" w:hAnsi="Cambria" w:cstheme="majorBid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54E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8A0FF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1D9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B0E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 pojedynczy ekran w postaci płaskiego panelu LCD TFT o przekątnej minimum 12", rozdzielczości co najmniej 1200x800 pikseli.</w:t>
            </w:r>
          </w:p>
          <w:p w14:paraId="1B6B75C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obudowie monitora miejsce na akcesoria pomiarowe.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2FD1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FC26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ED2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D609B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666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F6D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Opisy i komunikaty ekranowe w języku polskim. Obsługa poprzez ekran dotykowy z funkcją obsługi gestów, przyciski funkcyjne oraz pokrętło. </w:t>
            </w:r>
            <w:r>
              <w:rPr>
                <w:rFonts w:ascii="Times New Roman" w:hAnsi="Times New Roman" w:cs="Times New Roman"/>
              </w:rPr>
              <w:lastRenderedPageBreak/>
              <w:t xml:space="preserve">Fabrycznie skonfigurowane co najmniej trzy układy ekranu: normalny (krzywe dynamiczne i wartości parametrów), </w:t>
            </w:r>
            <w:proofErr w:type="spellStart"/>
            <w:r>
              <w:rPr>
                <w:rFonts w:ascii="Times New Roman" w:hAnsi="Times New Roman" w:cs="Times New Roman"/>
              </w:rPr>
              <w:t>minitrendów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(krótkie trendy, krzywe dynamiczne i wartości parametrów), duże odczyty. Szybkie przełączanie między ekranami, bez wchodzenia do menu, za pomocą gestów np. przesunięcie w lewo lub w prawo dwoma palcami po ekranie. Monitor wyposażony w funkcje demo oraz tryb szkoleniowy zawierający podstawowe instrukcje dotyczące korzystania z monitora.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FD3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4CE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CFC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B5CA4D" w14:textId="77777777">
        <w:trPr>
          <w:trHeight w:val="3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A392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CA7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krzywych dynamicznych wyświetlanych jednocześnie na ekranie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1A7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10B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F25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D9F822C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A584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A5F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sieciowe dostosowane do 230V / 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. Wewnętrzny akumulator, pozwalający na minimum 250 minut pracy w konfiguracji EKG, NIBP, SpO2.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266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7123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4F5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12E0235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8E4D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024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Cicha praca urządzenia – chłodzenie konwekcyjne bez stosowania wentylatorów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439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FED5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039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5007AD8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82F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3F04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 ochrony przed zalaniem wodą co najmniej IPX1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2FC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CF65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10F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E472E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834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9688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w złącza wejścia/wyjścia: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0962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3415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ED8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A96205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B7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681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najmniej 2 gniazda USB do podłączenia klawiatury, myszki komputerowej, skanera kodów paskowych, gniazdo do podłączenia ekranu kopiującego,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071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B08F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3A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E31E86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3BAC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17DE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RJ-45 do połączenia z siecią monitorowania.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661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0394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175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F3631D0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E42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88F5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kardiomonitor wyposażony w pokrywę zabezpieczającą złącza w przypadku ich nieużywania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0D7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C494" w14:textId="77777777" w:rsidR="00510BA0" w:rsidRDefault="00000000">
            <w:pPr>
              <w:pStyle w:val="Style10"/>
              <w:jc w:val="left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TAK – 4 pkt.</w:t>
            </w:r>
          </w:p>
          <w:p w14:paraId="26E92667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NIE – 0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1695" w14:textId="77777777" w:rsidR="00510BA0" w:rsidRDefault="00510BA0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BA0" w14:paraId="254F6E11" w14:textId="77777777">
        <w:tc>
          <w:tcPr>
            <w:tcW w:w="15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D0AD" w14:textId="77777777" w:rsidR="00510BA0" w:rsidRDefault="00000000">
            <w:pPr>
              <w:pStyle w:val="Style10"/>
              <w:jc w:val="left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</w:rPr>
              <w:t>SYSTEM ALARMOWY</w:t>
            </w:r>
          </w:p>
        </w:tc>
      </w:tr>
      <w:tr w:rsidR="00510BA0" w14:paraId="1507FFD4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4742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9AF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System alarmowy generujący dwa </w:t>
            </w:r>
            <w:r>
              <w:rPr>
                <w:rFonts w:ascii="Times New Roman" w:hAnsi="Times New Roman" w:cs="Times New Roman"/>
              </w:rPr>
              <w:lastRenderedPageBreak/>
              <w:t>rodzaje sygnalizacji alarmowej: alarmy fizjologiczne oraz techniczne. Alarmy klasyfikowane według czterech priorytetów w zależności od stopnia zagrożenia alarmu. Ustawianie granic alarmowych przez użytkownika oraz funkcja automatycznego ustawiania granic alarmowych na podstawie bieżących wartości parametrów. Ustawianie głośności alarmowania (co najmniej 9 poziomów do wyboru).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2C6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3F62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6AA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4E2A17B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315E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DCA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zawieszenia sygnalizacji alarmowej na czas wybrany przez użytkownika (do wyboru co najmniej wstrzymanie alarmów na 1, 2, 5, 10 i 15 minut) oraz możliwość zawieszenia alarmów na stałe (zabezpieczone hasłem).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F10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7002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EE3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A9A97C8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C72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B482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celu ułatwienia identyfikacji alarmującego monitora możliwość ustawienia oddzielnego wzorca dźwiękowego sygnalizacji alarmowej.</w:t>
            </w:r>
          </w:p>
          <w:p w14:paraId="372BAAAE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najmniej 2 wzorce do wyboru.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ABA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FD37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2 wzorce alarmu do wyboru – 0 pkt.</w:t>
            </w:r>
          </w:p>
          <w:p w14:paraId="6E63FA00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3 i więcej wzorców do wyboru – 3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B5B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2A75375" w14:textId="77777777">
        <w:tc>
          <w:tcPr>
            <w:tcW w:w="15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AD1E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MIERZONE PARAMETRY</w:t>
            </w:r>
          </w:p>
        </w:tc>
      </w:tr>
      <w:tr w:rsidR="00510BA0" w14:paraId="1CA17C1E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7736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25F0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EKG</w:t>
            </w:r>
            <w:r>
              <w:rPr>
                <w:rFonts w:ascii="Times New Roman" w:hAnsi="Times New Roman" w:cs="Times New Roman"/>
              </w:rPr>
              <w:t xml:space="preserve"> - pomiar częstości akcji serca. Zakres minimum 10 - 300/min. Ustawianie prędkości przesuwu krzywej EKG do wyboru co najmniej: 6.25; 12.5; 25; 50 mm/s. Ustawianie wzmocnienia krzywej EKG do wyboru co najmniej: x0.125; x0.25; 0.5; x1; x2; x4; auto. W komplecie z monitorem przewód EKG z kompletem 5 końcówek.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416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D940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403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BCF6B2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4C75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223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Analiza arytmii – wykrywanie co najmniej 27 kategorii zaburzeń rytmu w tym VF, ASYS, BRADY, TACHY, AF (we wszystkich monitorach).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29D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1957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D83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C2B1B8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EB66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6EA2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 wyposażony w funkcję </w:t>
            </w:r>
            <w:r>
              <w:rPr>
                <w:rFonts w:ascii="Times New Roman" w:hAnsi="Times New Roman" w:cs="Times New Roman"/>
              </w:rPr>
              <w:lastRenderedPageBreak/>
              <w:t xml:space="preserve">analizującą jednocześnie sygnał EKG oraz sygnał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celu uzyskania dokładniejszych wyników analizy arytmii i pomiarów częstości tętna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411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4CDA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08D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B8289A1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94EA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97B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analizy zmian częstości akcji serca z ostatnich 24 godzin informacje o wartościach HR, ST, QT i arytmii: statystyka dot. częstości akcji serca, statystyka zdarzeń arytmii, statystyka pomiarów QT/</w:t>
            </w:r>
            <w:proofErr w:type="spellStart"/>
            <w:r>
              <w:rPr>
                <w:rFonts w:ascii="Times New Roman" w:hAnsi="Times New Roman"/>
              </w:rPr>
              <w:t>QTc</w:t>
            </w:r>
            <w:proofErr w:type="spellEnd"/>
            <w:r>
              <w:rPr>
                <w:rFonts w:ascii="Times New Roman" w:hAnsi="Times New Roman"/>
              </w:rPr>
              <w:t xml:space="preserve">, statystyka maksymalnych i minimalnych wartości odcinka ST dla poszczególnych </w:t>
            </w:r>
            <w:proofErr w:type="spellStart"/>
            <w:r>
              <w:rPr>
                <w:rFonts w:ascii="Times New Roman" w:hAnsi="Times New Roman"/>
              </w:rPr>
              <w:t>odprowadzeń</w:t>
            </w:r>
            <w:proofErr w:type="spellEnd"/>
            <w:r>
              <w:rPr>
                <w:rFonts w:ascii="Times New Roman" w:hAnsi="Times New Roman"/>
              </w:rPr>
              <w:t>, statystyka dot. danych stymulatora.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0C6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1C8A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D8C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5837114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C8B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1B05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odcinka ST – jednoczesny pomiar odchylenia odcinka ST w siedmiu </w:t>
            </w:r>
            <w:proofErr w:type="spellStart"/>
            <w:r>
              <w:rPr>
                <w:rFonts w:ascii="Times New Roman" w:hAnsi="Times New Roman" w:cs="Times New Roman"/>
              </w:rPr>
              <w:t>odprowadzeniach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zakresie co najmniej od -2,5 do +2,5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  <w:r>
              <w:rPr>
                <w:rFonts w:ascii="Times New Roman" w:hAnsi="Times New Roman" w:cs="Times New Roman"/>
              </w:rPr>
              <w:t>. Prezentacja zmian odchylenia ST w postaci wzorcowych odcinków ST z nanoszonymi na nie bieżącymi odcinkami.  Tryb alarmowania ST w oparciu wartości bezwzględne oraz względne w stosunku do linii odniesienia. Możliwość ustawienia granic alarmowych dla pojedynczego ST oraz dla dwóch ST.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7E2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196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776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1CB1898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CAC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3AB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zmian odcinka QT oraz obliczanie wartości </w:t>
            </w:r>
            <w:proofErr w:type="spellStart"/>
            <w:r>
              <w:rPr>
                <w:rFonts w:ascii="Times New Roman" w:hAnsi="Times New Roman" w:cs="Times New Roman"/>
              </w:rPr>
              <w:t>QTc</w:t>
            </w:r>
            <w:proofErr w:type="spellEnd"/>
            <w:r>
              <w:rPr>
                <w:rFonts w:ascii="Times New Roman" w:hAnsi="Times New Roman" w:cs="Times New Roman"/>
              </w:rPr>
              <w:t xml:space="preserve"> wg. co najmniej 3 wzorów.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2D0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57FD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</w:rPr>
              <w:t>OTc</w:t>
            </w:r>
            <w:proofErr w:type="spellEnd"/>
            <w:r>
              <w:rPr>
                <w:rFonts w:ascii="Cambria" w:hAnsi="Cambria" w:cstheme="majorBidi"/>
              </w:rPr>
              <w:t>:</w:t>
            </w:r>
          </w:p>
          <w:p w14:paraId="0C1D5FF4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&gt;3 – 2 pkt.</w:t>
            </w:r>
          </w:p>
          <w:p w14:paraId="5DF6BB5A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&lt;3 – 0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4FD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7FB5FFD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5F59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DB42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</w:rPr>
              <w:t xml:space="preserve"> – pomiar częstości oddechu metodą impedancyjną. Zakres pomiarowy częstości oddechu co najmniej od 0 do 200 R/min. Możliwość wyboru odprowadzeni do monitorowania respiracji. Wybór prędkości przesuwu krzywych co najmniej: 3; 6.25; 12,5; 25 mm/s.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4B9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C1AB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4 prędkości przesuwu krzywej respiracji – 0 pkt.</w:t>
            </w:r>
          </w:p>
          <w:p w14:paraId="67908BB8" w14:textId="77777777" w:rsidR="00510BA0" w:rsidRDefault="00510BA0">
            <w:pPr>
              <w:widowControl w:val="0"/>
              <w:rPr>
                <w:rFonts w:ascii="Cambria" w:hAnsi="Cambria" w:cstheme="majorBidi"/>
              </w:rPr>
            </w:pPr>
          </w:p>
          <w:p w14:paraId="2F4D0070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5 i więcej prędkości przesuw krzywej respiracji – 4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A6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A24B7C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562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2AC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Saturacja (</w:t>
            </w:r>
            <w:r>
              <w:rPr>
                <w:rFonts w:ascii="Times New Roman" w:hAnsi="Times New Roman" w:cs="Times New Roman"/>
                <w:b/>
              </w:rPr>
              <w:t>SpO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Zakres pomiarowy %SpO2 0-100%. Zakres pomiarowy częstości pulsu co najmniej 20-300 P/min. Jednoczesne wyświetlanie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wartości % saturacji, częstości pulsu i wskaźnika perfuzji. Alarm </w:t>
            </w:r>
            <w:proofErr w:type="spellStart"/>
            <w:r>
              <w:rPr>
                <w:rFonts w:ascii="Times New Roman" w:hAnsi="Times New Roman" w:cs="Times New Roman"/>
              </w:rPr>
              <w:t>desaturacji</w:t>
            </w:r>
            <w:proofErr w:type="spellEnd"/>
            <w:r>
              <w:rPr>
                <w:rFonts w:ascii="Times New Roman" w:hAnsi="Times New Roman" w:cs="Times New Roman"/>
              </w:rPr>
              <w:t xml:space="preserve">. W komplecie z monitorem  przewód interfejsowy oraz czujnik SpO2 typu klips na palec dla dorosłych (2 szt.) oraz czujnik SpO2 typu </w:t>
            </w:r>
            <w:proofErr w:type="spellStart"/>
            <w:r>
              <w:rPr>
                <w:rFonts w:ascii="Times New Roman" w:hAnsi="Times New Roman" w:cs="Times New Roman"/>
              </w:rPr>
              <w:t>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palec dla dzieci (1 szt.)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0F1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271E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9F7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FA3C75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90D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615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Pomiar częstości oddechu na podstawie SpO2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2D8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6A5D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2ED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3DE4E0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37A2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279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Nieinwazyjny pomiar ciśnienia </w:t>
            </w:r>
            <w:r>
              <w:rPr>
                <w:rFonts w:ascii="Times New Roman" w:hAnsi="Times New Roman" w:cs="Times New Roman"/>
                <w:b/>
                <w:bCs/>
              </w:rPr>
              <w:t>(NIPC)</w:t>
            </w:r>
            <w:r>
              <w:rPr>
                <w:rFonts w:ascii="Times New Roman" w:hAnsi="Times New Roman" w:cs="Times New Roman"/>
              </w:rPr>
              <w:t xml:space="preserve"> metoda oscylometryczna. Zakres pomiarowy ciśnienia skurczowego co najmniej od 30 do 290 mmHg.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>
              <w:rPr>
                <w:rFonts w:ascii="Times New Roman" w:hAnsi="Times New Roman" w:cs="Times New Roman"/>
              </w:rPr>
              <w:t>stazy</w:t>
            </w:r>
            <w:proofErr w:type="spellEnd"/>
            <w:r>
              <w:rPr>
                <w:rFonts w:ascii="Times New Roman" w:hAnsi="Times New Roman" w:cs="Times New Roman"/>
              </w:rPr>
              <w:t>. Funkcja wstępnego ustawiania ciśnienia pompowania mankietu. Możliwość pomiaru ciśnienia metodą nieinwazyjną na tej samej kończynie co pomiar SpO2 bez wywoływania alarmu SpO2. Pomiar częstości pulsu wraz z nieinwazyjnym ciśnieniem co najmniej w zakresie od 30 do 300 P/min. W komplecie z monitorem przewód oraz mankiety wielorazowe w 5 rozmiarach od dziecięcego po pacjentów dorosłych.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1326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BC77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DE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F4F169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21F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E51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Pomiar temperatury, dwa tory pomiarowe. Zakres pomiarowy co najmniej od 0 do 50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C. Wyświetlanie </w:t>
            </w:r>
            <w:r>
              <w:rPr>
                <w:rFonts w:ascii="Times New Roman" w:hAnsi="Times New Roman" w:cs="Times New Roman"/>
                <w:b/>
                <w:bCs/>
              </w:rPr>
              <w:t>T1, T2</w:t>
            </w:r>
            <w:r>
              <w:rPr>
                <w:rFonts w:ascii="Times New Roman" w:hAnsi="Times New Roman" w:cs="Times New Roman"/>
              </w:rPr>
              <w:t xml:space="preserve"> oraz różnicy między nimi. Wybór etykiety  temperatury zgodnie z miejscem pomiaru z listy co najmniej 10 etykiet zapisanych w pamięci monitora. W komplecie z monitorem czujnik temperatury powierzchniowej dla dorosłych oraz czujnik temperatury powierzchniowej dla dzieci/noworodków.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78B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4099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F1B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BE3991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286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E5E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Przynajmniej 120-godzinne trendy wszystkich mierzonych parametrów, w postaci tabel i wykresów  z rozdzielczością od 1 minuty oraz 1200-godzinne trendy wszystkich mierzonych parametrów, w postaci tabel i wykresów  z rozdzielczością od 10 minuty.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D8D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591F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D50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87B4B2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3DF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728B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krzywych dynamicznych w czasie rzeczywistym (funkcja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dislosure</w:t>
            </w:r>
            <w:proofErr w:type="spellEnd"/>
            <w:r>
              <w:rPr>
                <w:rFonts w:ascii="Times New Roman" w:hAnsi="Times New Roman" w:cs="Times New Roman"/>
              </w:rPr>
              <w:t>) – pamięć co najmniej 24 godzin.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065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8BF3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E0A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CD454BA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BE39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54F8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Zapamiętywanie co najmniej 1000 zdarzeń alarmowych (krzywe i odpowiadające im wartości parametrów).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73C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7048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75F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17A8CB3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238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037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funkcje obliczeń dawki (lekowych), hemodynamicznych,  natlenienia, nerkowych i wentylacji.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950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0B2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7D9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2D348AD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AB7D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82A5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wprowadzania danych i obliczania punktacji wczesnego ostrzegania EWS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E28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7F82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5A9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0AD891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D03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BC3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 wyposażony w funkcję oceny stanu świadomości wg. skali Glasgow (GCS) – wprowadzanie danych, wyświetlanie punktacji łącznej i podrzędnej oraz ustawianie odstępu czasowego w jakim mają być </w:t>
            </w:r>
            <w:r>
              <w:rPr>
                <w:rFonts w:ascii="Times New Roman" w:hAnsi="Times New Roman" w:cs="Times New Roman"/>
              </w:rPr>
              <w:lastRenderedPageBreak/>
              <w:t>wprowadzane dane.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48B8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E283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TAK – 3 pkt.</w:t>
            </w:r>
          </w:p>
          <w:p w14:paraId="0FB09535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NIE – 0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F0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654DD36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2623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0966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„</w:t>
            </w:r>
            <w:proofErr w:type="spellStart"/>
            <w:r>
              <w:rPr>
                <w:rFonts w:ascii="Times New Roman" w:hAnsi="Times New Roman"/>
              </w:rPr>
              <w:t>standby</w:t>
            </w:r>
            <w:proofErr w:type="spellEnd"/>
            <w:r>
              <w:rPr>
                <w:rFonts w:ascii="Times New Roman" w:hAnsi="Times New Roman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4B1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BF87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AA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7950EF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35F6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F3EF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024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FBB9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A11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11AD39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C468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8C9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współpracy ze stacją centralnego nadzoru przystosowanej również do obsługi monitorów modułowych oraz nadajników telemetrycznych,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642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6B48" w14:textId="77777777" w:rsidR="00510BA0" w:rsidRDefault="00510BA0">
            <w:pPr>
              <w:widowControl w:val="0"/>
              <w:rPr>
                <w:rFonts w:cstheme="majorBidi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777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5120DB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6F4C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9FB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Każdy kardiomonitor wyposażony w wózek jezdny z półką na monitor i koszykiem na akcesoria.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C31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3FD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CF3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6666746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38BB324" w14:textId="77777777" w:rsidR="00510BA0" w:rsidRDefault="00000000">
      <w:pPr>
        <w:rPr>
          <w:b/>
          <w:bCs/>
        </w:rPr>
      </w:pP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 xml:space="preserve">3. System ogrzewania pacjenta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4B345F82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0FE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974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B63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4EF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4BE61DA7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D40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9CD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692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D0F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2FCB6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5BCB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6991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ABF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860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330210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265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0392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A65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618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63FD39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172F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650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A5D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8367ED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335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B2C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Urządzenie fabrycznie nowe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061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785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DEFC3A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165D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A4D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Urządzenie ogrzewające pacjenta ciepłym powietrzem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52C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7C3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D8ADBA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4D1C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FF8A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Podstawa jezdna do aparatu na 5 kołach, z uchwytem oraz koszykiem na koce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3F3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814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F52AC3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9B1A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08D1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Wszystkie koła z blokadą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01A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772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4F3AF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ED5B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B66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Regulowana wysokość uchwytu podstawy jezdnej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F22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70E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B8903B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A7E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C7A6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Mocowanie aparatu za pomocą zacisku typu imadło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DB7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F60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18633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84E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A02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Możliwość zamocowania aparatu zarówno na pionowych jak i poziomych uchwytach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C2A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491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62B850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7AC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5F82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Uchwyt do przenoszenia, ciężar urządzenia nie więcej niż 5.5 kg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E1C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850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7CF5CD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764A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E98B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Niewielkie wymiary urządzenia: max. 20x35x40cm ± 5cm (Gł. x Szer. x Wys.)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729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85F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2CE92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B0FC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8285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Giętki, łatwy do przemycia i dezynfekcji przewód grzewczy, łączący urządzenie z kocem - przewód grzewczy na stałe zamocowany do urządzenia bez możliwości jego przypadkowego odłączenia.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136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AC7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A840F0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50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A839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Uchwyt przewodu grzewczego w celu zabezpieczenia przed ściąganiem koca z pacjenta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708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61A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3A15D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551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D78E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Duża wydajność – przepływ powietrza minimum 1400 l/min – podać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1CA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2A1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C125DF3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BBC2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CA3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Szybkie osiągnięcie pożądanej temperatury powyżej temp. otoczenia – max. 30 sek. – podać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219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D6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3FB0B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22B2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E467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Min. 4 zakresy temperatury: 43°C, 38°C, 32°C, temp. Otoczenia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C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917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8727FD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1E12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8975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Panel sterujący na przedniej ścianie urządzenia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1D2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3E3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3837E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E47C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3F23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Uruchomienie procesu ogrzewania poprzez włączenie urządzenia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169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F99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B357B4B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2E93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83D7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Wskaźnik zbyt wysokiej temperatury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78B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F0D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2FB4C7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D5BF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D0A4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Antywirusowy i antybakteryjny filtr powietrza o wysokiej skuteczności filtracji HEPA H13 99,99%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C54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C46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62B23C9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1ED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20AE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Podwójny układ zabezpieczający przed przegrzaniem z alarmem dźwiękowym i wizualnym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642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840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762EBC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8E7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5646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Wbudowany licznik przepracowanych godzin automatycznie informujący o konieczności dokonania przeglądu urządzenia bez konieczności śledzenia czasu pracy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915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D07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4C9711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C367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2FD8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Cicha praca urządzenia – poziom hałasu max. 49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3AC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A3F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4FA53C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2F55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A6A4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Zasilanie sieciowe 230 V, 50/60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Hz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EED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B0E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294B39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D1AE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CD64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Średni pobór mocy poniżej 650W – podać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2C4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2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772AC4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0F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33DA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Dostępne koce ogrzewające wykonane z tkaniny nie zawierającej lateksu. Materiał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radioprzezierny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, bez konieczności usuwania koca z ciała pacjenta przy wykonywaniu badań obrazowych RTG. Materiał perforowany umożliwiający równomierny przepływ powietrza.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096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EB7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64FB9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88D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0EE0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Dostępne koce ogrzewające pacjenta min. w 10 rozmiarach, dostosowane do różnego rodzaju potrzeb (koce na dolną część ciała; koce na górną część ciała; koce </w:t>
            </w: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lastRenderedPageBreak/>
              <w:t>na całe ciało; koce pediatryczne; koce pod pacjenta)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636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E02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23D0D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8F9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2FD2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Dostępne koce specjalne, posiadające dodatkowe właściwości termoizolacyjne, utrzymujące ciepło pacjenta również po odłączeniu urządzenia ogrzewającego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4C6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DF5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0896DB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9A5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85DE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 zestawie jednorazowe koce ogrzewające (do każdego urządzenia):</w:t>
            </w:r>
          </w:p>
          <w:p w14:paraId="77059180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- koc na całe ciało dla dorosłych (230cm x 130cm (± 3cm)) - 10 szt.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E57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095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14904A5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E81C6E5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3B83BB9" w14:textId="77777777" w:rsidR="00510BA0" w:rsidRDefault="0000000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UWAGI do Zadania 1, 2, 3, 4, 5:</w:t>
      </w:r>
    </w:p>
    <w:p w14:paraId="5DD7FDD9" w14:textId="77777777" w:rsidR="00510BA0" w:rsidRDefault="0000000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Każde urządzenie powinno spełniać także poniższe wymagania.</w:t>
      </w:r>
      <w:r>
        <w:rPr>
          <w:rFonts w:asciiTheme="majorBidi" w:eastAsia="Calibri" w:hAnsiTheme="majorBidi" w:cstheme="majorBidi"/>
          <w:b/>
          <w:lang w:eastAsia="en-US"/>
        </w:rPr>
        <w:tab/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0"/>
        <w:gridCol w:w="8679"/>
        <w:gridCol w:w="2273"/>
        <w:gridCol w:w="3888"/>
      </w:tblGrid>
      <w:tr w:rsidR="00510BA0" w14:paraId="79A0076D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25F46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</w:tcBorders>
          </w:tcPr>
          <w:p w14:paraId="217DDA6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</w:tcPr>
          <w:p w14:paraId="74311A7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B1D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Parametry oferowane/ TAK/NIE</w:t>
            </w:r>
          </w:p>
        </w:tc>
      </w:tr>
      <w:tr w:rsidR="00510BA0" w14:paraId="6B10F0B9" w14:textId="7777777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0B49D2A4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2A22A2BD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0DC9F93E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186B6511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10BA0" w14:paraId="30F9F6B8" w14:textId="7777777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03EFE837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25AC34F6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oraz wszystkie elementy składowe - fabrycznie nowe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5A7896EF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5F43394C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10BA0" w14:paraId="6075E84A" w14:textId="7777777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007AD015" w14:textId="77777777" w:rsidR="00510BA0" w:rsidRDefault="00510BA0">
            <w:pPr>
              <w:widowControl w:val="0"/>
              <w:numPr>
                <w:ilvl w:val="0"/>
                <w:numId w:val="20"/>
              </w:numPr>
              <w:snapToGrid w:val="0"/>
              <w:ind w:left="737" w:hanging="624"/>
              <w:jc w:val="both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028D63F0" w14:textId="77777777" w:rsidR="00510BA0" w:rsidRDefault="00000000">
            <w:pPr>
              <w:widowControl w:val="0"/>
              <w:snapToGrid w:val="0"/>
              <w:ind w:left="283" w:right="340" w:hanging="283"/>
              <w:jc w:val="both"/>
            </w:pPr>
            <w:r>
              <w:rPr>
                <w:rFonts w:ascii="Times New Roman" w:hAnsi="Times New Roman"/>
              </w:rPr>
              <w:t>Oferowane termometry muszą być dopuszczone do obrotu i stosowania na terytorium Rzeczpospolitej Polskiej zgodnie z prawem, a w szczególności z przepisami o wyrobach medycznych.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053FAB69" w14:textId="77777777" w:rsidR="00510BA0" w:rsidRDefault="00510BA0">
            <w:pPr>
              <w:widowControl w:val="0"/>
              <w:snapToGrid w:val="0"/>
              <w:ind w:left="283" w:right="340" w:hanging="283"/>
              <w:jc w:val="both"/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769F831D" w14:textId="77777777" w:rsidR="00510BA0" w:rsidRDefault="00510BA0">
            <w:pPr>
              <w:widowControl w:val="0"/>
              <w:snapToGrid w:val="0"/>
              <w:ind w:left="283" w:right="340" w:hanging="283"/>
              <w:jc w:val="both"/>
            </w:pPr>
          </w:p>
        </w:tc>
      </w:tr>
      <w:tr w:rsidR="00510BA0" w14:paraId="612A36BF" w14:textId="77777777">
        <w:trPr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265D5040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64DC7A45" w14:textId="77777777" w:rsidR="00510BA0" w:rsidRDefault="00000000">
            <w:pPr>
              <w:widowControl w:val="0"/>
              <w:ind w:left="227" w:right="227" w:hanging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794B8CCB" w14:textId="77777777" w:rsidR="00510BA0" w:rsidRDefault="00510BA0">
            <w:pPr>
              <w:widowControl w:val="0"/>
              <w:ind w:left="227" w:right="227" w:hanging="340"/>
              <w:rPr>
                <w:rFonts w:ascii="Times New Roman" w:hAnsi="Times New Roman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62653EE1" w14:textId="77777777" w:rsidR="00510BA0" w:rsidRDefault="00510BA0">
            <w:pPr>
              <w:widowControl w:val="0"/>
              <w:ind w:left="227" w:right="227" w:hanging="340"/>
              <w:rPr>
                <w:rFonts w:ascii="Times New Roman" w:hAnsi="Times New Roman"/>
              </w:rPr>
            </w:pPr>
          </w:p>
        </w:tc>
      </w:tr>
      <w:tr w:rsidR="00510BA0" w14:paraId="7B693219" w14:textId="77777777">
        <w:trPr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2B8324A4" w14:textId="77777777" w:rsidR="00510BA0" w:rsidRDefault="00510BA0">
            <w:pPr>
              <w:pStyle w:val="Teksttreci0"/>
              <w:numPr>
                <w:ilvl w:val="0"/>
                <w:numId w:val="20"/>
              </w:numPr>
              <w:tabs>
                <w:tab w:val="clear" w:pos="720"/>
                <w:tab w:val="left" w:pos="1537"/>
              </w:tabs>
              <w:suppressAutoHyphens w:val="0"/>
              <w:spacing w:after="0"/>
              <w:ind w:left="737" w:hanging="624"/>
              <w:jc w:val="both"/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61216697" w14:textId="77777777" w:rsidR="00510BA0" w:rsidRDefault="0000000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  <w:r>
              <w:rPr>
                <w:rStyle w:val="Teksttreci"/>
                <w:rFonts w:ascii="Cambria;serif" w:hAnsi="Cambria;serif"/>
                <w:color w:val="000000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5969A5D7" w14:textId="77777777" w:rsidR="00510BA0" w:rsidRDefault="00510BA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450C1407" w14:textId="77777777" w:rsidR="00510BA0" w:rsidRDefault="00510BA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</w:p>
        </w:tc>
      </w:tr>
    </w:tbl>
    <w:p w14:paraId="0DB3D5F5" w14:textId="77777777" w:rsidR="00510BA0" w:rsidRDefault="00510BA0"/>
    <w:p w14:paraId="4723C8A2" w14:textId="77777777" w:rsidR="00510BA0" w:rsidRDefault="00000000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Fonts w:asciiTheme="majorBidi" w:eastAsia="Calibri" w:hAnsiTheme="majorBidi" w:cstheme="majorBidi"/>
          <w:b/>
          <w:sz w:val="22"/>
          <w:szCs w:val="22"/>
          <w:lang w:eastAsia="en-US"/>
        </w:rPr>
        <w:t xml:space="preserve">Niespełnienie wymaganych parametrów i warunków spowoduje odrzucenie oferty. </w:t>
      </w:r>
    </w:p>
    <w:p w14:paraId="42D4C445" w14:textId="77777777" w:rsidR="00510BA0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777A679A" w14:textId="77777777" w:rsidR="00510BA0" w:rsidRDefault="00510BA0">
      <w:pPr>
        <w:rPr>
          <w:rFonts w:asciiTheme="majorBidi" w:hAnsiTheme="majorBidi" w:cstheme="majorBidi"/>
          <w:b/>
          <w:sz w:val="22"/>
          <w:szCs w:val="22"/>
        </w:rPr>
      </w:pPr>
    </w:p>
    <w:p w14:paraId="2DE5654C" w14:textId="77777777" w:rsidR="00510BA0" w:rsidRDefault="00000000">
      <w:pPr>
        <w:numPr>
          <w:ilvl w:val="0"/>
          <w:numId w:val="1"/>
        </w:numPr>
        <w:spacing w:after="200" w:line="276" w:lineRule="auto"/>
        <w:ind w:right="125"/>
        <w:rPr>
          <w:sz w:val="22"/>
          <w:szCs w:val="22"/>
        </w:rPr>
      </w:pPr>
      <w:r>
        <w:rPr>
          <w:rFonts w:asciiTheme="majorBidi" w:eastAsia="Calibri" w:hAnsiTheme="majorBidi" w:cstheme="majorBidi"/>
          <w:b/>
          <w:sz w:val="22"/>
          <w:szCs w:val="22"/>
          <w:lang w:eastAsia="en-US"/>
        </w:rPr>
        <w:lastRenderedPageBreak/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>
        <w:rPr>
          <w:rFonts w:asciiTheme="majorBidi" w:eastAsia="Calibri" w:hAnsiTheme="majorBidi" w:cstheme="majorBidi"/>
          <w:b/>
          <w:bCs/>
          <w:sz w:val="22"/>
          <w:szCs w:val="22"/>
          <w:lang w:eastAsia="en-US"/>
        </w:rPr>
        <w:t>gwarantuje</w:t>
      </w:r>
      <w:r>
        <w:rPr>
          <w:rFonts w:asciiTheme="majorBidi" w:eastAsia="Calibri" w:hAnsiTheme="majorBidi" w:cstheme="majorBidi"/>
          <w:b/>
          <w:sz w:val="22"/>
          <w:szCs w:val="22"/>
          <w:lang w:eastAsia="en-US"/>
        </w:rPr>
        <w:t xml:space="preserve"> bezpieczeństwo pacjentów i personelu medycznego i zapewnia wymagany poziom usług medycznych.</w:t>
      </w:r>
    </w:p>
    <w:p w14:paraId="546BF33E" w14:textId="77777777" w:rsidR="00510BA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</w:p>
    <w:p w14:paraId="4C5F7B2C" w14:textId="77777777" w:rsidR="00510BA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……………………………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                                                                                                                                                                 miejscowość i data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podpis i pieczęć osoby uprawnionej do reprezentowania Wykonawcy</w:t>
      </w:r>
    </w:p>
    <w:p w14:paraId="0605252C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E6FC8D4" w14:textId="77777777" w:rsidR="00510BA0" w:rsidRDefault="00510BA0">
      <w:pPr>
        <w:jc w:val="both"/>
        <w:rPr>
          <w:rFonts w:asciiTheme="majorBidi" w:hAnsiTheme="majorBidi" w:cstheme="majorBidi"/>
        </w:rPr>
      </w:pPr>
    </w:p>
    <w:sectPr w:rsidR="00510BA0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;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8C64CD6"/>
    <w:multiLevelType w:val="multilevel"/>
    <w:tmpl w:val="04A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493D16"/>
    <w:multiLevelType w:val="multilevel"/>
    <w:tmpl w:val="63EA67C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15312F66"/>
    <w:multiLevelType w:val="multilevel"/>
    <w:tmpl w:val="0B38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5203B8"/>
    <w:multiLevelType w:val="multilevel"/>
    <w:tmpl w:val="C35EA8BA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5" w15:restartNumberingAfterBreak="0">
    <w:nsid w:val="1B1E71BD"/>
    <w:multiLevelType w:val="multilevel"/>
    <w:tmpl w:val="6FF69F5E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 w15:restartNumberingAfterBreak="0">
    <w:nsid w:val="265309C8"/>
    <w:multiLevelType w:val="multilevel"/>
    <w:tmpl w:val="E1F4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B62E84"/>
    <w:multiLevelType w:val="multilevel"/>
    <w:tmpl w:val="5D5C1BD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4B39A1"/>
    <w:multiLevelType w:val="multilevel"/>
    <w:tmpl w:val="0A8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D10FB8"/>
    <w:multiLevelType w:val="multilevel"/>
    <w:tmpl w:val="60203B6C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0" w15:restartNumberingAfterBreak="0">
    <w:nsid w:val="30A9072C"/>
    <w:multiLevelType w:val="multilevel"/>
    <w:tmpl w:val="BADC277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1" w15:restartNumberingAfterBreak="0">
    <w:nsid w:val="38FF3EF6"/>
    <w:multiLevelType w:val="multilevel"/>
    <w:tmpl w:val="61709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A04709C"/>
    <w:multiLevelType w:val="multilevel"/>
    <w:tmpl w:val="DC2616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A6C1B43"/>
    <w:multiLevelType w:val="multilevel"/>
    <w:tmpl w:val="1B3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C8D62A5"/>
    <w:multiLevelType w:val="multilevel"/>
    <w:tmpl w:val="2288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DDB617D"/>
    <w:multiLevelType w:val="multilevel"/>
    <w:tmpl w:val="7D42E7F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6" w15:restartNumberingAfterBreak="0">
    <w:nsid w:val="60253ACE"/>
    <w:multiLevelType w:val="multilevel"/>
    <w:tmpl w:val="833877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AF3E05"/>
    <w:multiLevelType w:val="multilevel"/>
    <w:tmpl w:val="EC44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05B1AED"/>
    <w:multiLevelType w:val="multilevel"/>
    <w:tmpl w:val="53A09CF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9" w15:restartNumberingAfterBreak="0">
    <w:nsid w:val="760D3510"/>
    <w:multiLevelType w:val="multilevel"/>
    <w:tmpl w:val="CC185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6CE0B52"/>
    <w:multiLevelType w:val="multilevel"/>
    <w:tmpl w:val="0500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9C681F"/>
    <w:multiLevelType w:val="multilevel"/>
    <w:tmpl w:val="829ACF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22" w15:restartNumberingAfterBreak="0">
    <w:nsid w:val="78C61866"/>
    <w:multiLevelType w:val="multilevel"/>
    <w:tmpl w:val="51ACC0A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num w:numId="1" w16cid:durableId="962689573">
    <w:abstractNumId w:val="11"/>
  </w:num>
  <w:num w:numId="2" w16cid:durableId="856578087">
    <w:abstractNumId w:val="6"/>
  </w:num>
  <w:num w:numId="3" w16cid:durableId="1181896709">
    <w:abstractNumId w:val="8"/>
  </w:num>
  <w:num w:numId="4" w16cid:durableId="1626081694">
    <w:abstractNumId w:val="9"/>
  </w:num>
  <w:num w:numId="5" w16cid:durableId="2056469896">
    <w:abstractNumId w:val="17"/>
  </w:num>
  <w:num w:numId="6" w16cid:durableId="1440297297">
    <w:abstractNumId w:val="13"/>
  </w:num>
  <w:num w:numId="7" w16cid:durableId="190143219">
    <w:abstractNumId w:val="20"/>
  </w:num>
  <w:num w:numId="8" w16cid:durableId="287662451">
    <w:abstractNumId w:val="15"/>
  </w:num>
  <w:num w:numId="9" w16cid:durableId="583101935">
    <w:abstractNumId w:val="18"/>
  </w:num>
  <w:num w:numId="10" w16cid:durableId="2009477668">
    <w:abstractNumId w:val="10"/>
  </w:num>
  <w:num w:numId="11" w16cid:durableId="1575512711">
    <w:abstractNumId w:val="2"/>
  </w:num>
  <w:num w:numId="12" w16cid:durableId="211309631">
    <w:abstractNumId w:val="21"/>
  </w:num>
  <w:num w:numId="13" w16cid:durableId="1445075809">
    <w:abstractNumId w:val="7"/>
  </w:num>
  <w:num w:numId="14" w16cid:durableId="205261655">
    <w:abstractNumId w:val="5"/>
  </w:num>
  <w:num w:numId="15" w16cid:durableId="1182278655">
    <w:abstractNumId w:val="22"/>
  </w:num>
  <w:num w:numId="16" w16cid:durableId="699355370">
    <w:abstractNumId w:val="4"/>
  </w:num>
  <w:num w:numId="17" w16cid:durableId="113987731">
    <w:abstractNumId w:val="14"/>
  </w:num>
  <w:num w:numId="18" w16cid:durableId="2008707303">
    <w:abstractNumId w:val="3"/>
  </w:num>
  <w:num w:numId="19" w16cid:durableId="783236036">
    <w:abstractNumId w:val="12"/>
  </w:num>
  <w:num w:numId="20" w16cid:durableId="505479734">
    <w:abstractNumId w:val="1"/>
  </w:num>
  <w:num w:numId="21" w16cid:durableId="2030452223">
    <w:abstractNumId w:val="16"/>
  </w:num>
  <w:num w:numId="22" w16cid:durableId="1664507372">
    <w:abstractNumId w:val="19"/>
  </w:num>
  <w:num w:numId="23" w16cid:durableId="18711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BA0"/>
    <w:rsid w:val="00510BA0"/>
    <w:rsid w:val="008C76CE"/>
    <w:rsid w:val="00A053EC"/>
    <w:rsid w:val="00C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B82"/>
  <w15:docId w15:val="{E1C5D43C-83E2-4E9C-8145-03332164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699"/>
        <w:tab w:val="right" w:pos="1539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2">
    <w:name w:val="caption1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uiPriority w:val="99"/>
    <w:rsid w:val="008C76CE"/>
    <w:rPr>
      <w:rFonts w:ascii="Calibri" w:hAnsi="Calibri" w:cs="Calibri"/>
      <w:color w:val="000000"/>
      <w:sz w:val="20"/>
      <w:szCs w:val="20"/>
    </w:rPr>
  </w:style>
  <w:style w:type="paragraph" w:customStyle="1" w:styleId="Inne0">
    <w:name w:val="Inne"/>
    <w:basedOn w:val="Normalny"/>
    <w:link w:val="Inne"/>
    <w:uiPriority w:val="99"/>
    <w:rsid w:val="008C76CE"/>
    <w:pPr>
      <w:suppressAutoHyphens w:val="0"/>
      <w:spacing w:line="259" w:lineRule="auto"/>
    </w:pPr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15014</Words>
  <Characters>90088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Bolewska</cp:lastModifiedBy>
  <cp:revision>16</cp:revision>
  <cp:lastPrinted>2024-07-16T14:05:00Z</cp:lastPrinted>
  <dcterms:created xsi:type="dcterms:W3CDTF">2024-07-11T11:52:00Z</dcterms:created>
  <dcterms:modified xsi:type="dcterms:W3CDTF">2024-08-30T10:55:00Z</dcterms:modified>
  <dc:language>pl-PL</dc:language>
</cp:coreProperties>
</file>