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507D0CA9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 w:rsidR="00A02F28" w:rsidRPr="00A02F28">
        <w:rPr>
          <w:rFonts w:eastAsia="Tahoma"/>
          <w:bCs/>
          <w:sz w:val="24"/>
          <w:szCs w:val="24"/>
          <w:lang w:eastAsia="ja-JP" w:bidi="fa-IR"/>
        </w:rPr>
        <w:t>3</w:t>
      </w:r>
      <w:r w:rsidRPr="00A02F28">
        <w:rPr>
          <w:rFonts w:eastAsia="Tahoma"/>
          <w:bCs/>
          <w:sz w:val="24"/>
          <w:szCs w:val="24"/>
          <w:lang w:eastAsia="ja-JP" w:bidi="fa-IR"/>
        </w:rPr>
        <w:t>.202</w:t>
      </w:r>
      <w:r w:rsidR="00BA25EE" w:rsidRPr="00A02F28">
        <w:rPr>
          <w:rFonts w:eastAsia="Tahoma"/>
          <w:bCs/>
          <w:sz w:val="24"/>
          <w:szCs w:val="24"/>
          <w:lang w:eastAsia="ja-JP" w:bidi="fa-IR"/>
        </w:rPr>
        <w:t>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1"/>
        <w:gridCol w:w="4129"/>
      </w:tblGrid>
      <w:tr w:rsidR="003254C7" w:rsidRPr="00D16518" w14:paraId="3B17C22E" w14:textId="77777777" w:rsidTr="00BA25EE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BA25EE">
        <w:trPr>
          <w:trHeight w:val="28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3254C7" w:rsidRPr="00D16518" w14:paraId="477F1DBA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60661E2D" w14:textId="79F69488" w:rsidR="003254C7" w:rsidRPr="001D44AF" w:rsidRDefault="00BA25EE" w:rsidP="004E65B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48A07B60" w14:textId="3E682E7B" w:rsidR="003254C7" w:rsidRPr="001D44AF" w:rsidRDefault="00EE6CE7" w:rsidP="004E65B5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1D44AF">
              <w:rPr>
                <w:rFonts w:eastAsia="Times New Roman"/>
                <w:b/>
                <w:sz w:val="24"/>
                <w:szCs w:val="24"/>
                <w:lang w:eastAsia="ja-JP" w:bidi="fa-IR"/>
              </w:rPr>
              <w:t>Prace</w:t>
            </w:r>
            <w:r w:rsidR="003254C7" w:rsidRPr="001D44AF">
              <w:rPr>
                <w:rFonts w:eastAsia="Times New Roman"/>
                <w:b/>
                <w:sz w:val="24"/>
                <w:szCs w:val="24"/>
                <w:lang w:eastAsia="ja-JP" w:bidi="fa-IR"/>
              </w:rPr>
              <w:t xml:space="preserve">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16AC028A0EDF46D68E625692863C319F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A9FDEC" w14:textId="12DE1481" w:rsidR="003254C7" w:rsidRPr="00D16518" w:rsidRDefault="001D3346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A25EE" w:rsidRPr="00D16518" w14:paraId="4D3BF38F" w14:textId="77777777" w:rsidTr="00BA25EE">
        <w:trPr>
          <w:trHeight w:val="397"/>
        </w:trPr>
        <w:tc>
          <w:tcPr>
            <w:tcW w:w="9374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4CF0CED7" w14:textId="232F6837" w:rsidR="00BA25EE" w:rsidRPr="00BA25EE" w:rsidRDefault="00BA25EE" w:rsidP="00BA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44AF">
              <w:rPr>
                <w:b/>
                <w:bCs/>
                <w:sz w:val="24"/>
                <w:szCs w:val="24"/>
              </w:rPr>
              <w:t xml:space="preserve">Prace </w:t>
            </w:r>
            <w:r w:rsidRPr="001D44A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nawierzchniowe</w:t>
            </w:r>
          </w:p>
        </w:tc>
      </w:tr>
      <w:tr w:rsidR="00B21EF9" w:rsidRPr="00D16518" w14:paraId="260842AD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73DFC6" w14:textId="1CB7551F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5CB5DF" w14:textId="11229B0E" w:rsidR="00B21EF9" w:rsidRDefault="00B21EF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Poszerzenie jezdni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89087533"/>
            <w:placeholder>
              <w:docPart w:val="D4DFD828A46745D89FDB3235A418743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4BA3175" w14:textId="12C4B069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676599A4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404955E9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527C7609" w:rsidR="00B21EF9" w:rsidRDefault="00B21EF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Pobocze utwardzone betonem asfaltowym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3385396A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5871A8B4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0918265A" w:rsidR="00B21EF9" w:rsidRDefault="00B21EF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Pobocze z kruszywa łamanego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A25EE" w:rsidRPr="00D16518" w14:paraId="3844ABD8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666DA0" w14:textId="66FBD5DD" w:rsidR="00BA25EE" w:rsidRPr="001D44AF" w:rsidRDefault="00BA25EE" w:rsidP="004E65B5">
            <w:pPr>
              <w:snapToGrid w:val="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II. Prace nawierzchniowe (suma od 1. do 3.)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871695438"/>
            <w:placeholder>
              <w:docPart w:val="A0586FF1173A4ADC816052E83C2B542F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7887030" w14:textId="657AFD24" w:rsidR="00BA25EE" w:rsidRDefault="00BA25EE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wpisz sumę od 1. do 3.</w:t>
                </w:r>
              </w:p>
            </w:tc>
          </w:sdtContent>
        </w:sdt>
      </w:tr>
      <w:tr w:rsidR="00B21EF9" w:rsidRPr="00D16518" w14:paraId="00A3AA24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18F87146" w14:textId="32874781" w:rsidR="00B21EF9" w:rsidRPr="001D44AF" w:rsidRDefault="00BA25EE" w:rsidP="004E65B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0E1E5523" w14:textId="6D65BDF2" w:rsidR="00B21EF9" w:rsidRPr="001D44AF" w:rsidRDefault="00B21EF9" w:rsidP="004E65B5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1D44AF">
              <w:rPr>
                <w:b/>
                <w:sz w:val="24"/>
                <w:szCs w:val="24"/>
              </w:rPr>
              <w:t>Organizacja ruchu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04795599"/>
            <w:placeholder>
              <w:docPart w:val="5378EBC624B24C0081AE89E07B5865C2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1892996352"/>
                <w:placeholder>
                  <w:docPart w:val="EF1AD34355524EBBB8B1136BA6AB72D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4129" w:type="dxa"/>
                    <w:tcBorders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</w:tcPr>
                  <w:p w14:paraId="3CB4D6DD" w14:textId="6BDB9039" w:rsidR="00B21EF9" w:rsidRDefault="00BA25EE" w:rsidP="00C14480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</w:tr>
      <w:tr w:rsidR="00B21EF9" w:rsidRPr="00D16518" w14:paraId="6A90E55F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35757FE5" w14:textId="6290CB6E" w:rsidR="00B21EF9" w:rsidRPr="001D44AF" w:rsidRDefault="00BA25EE" w:rsidP="004E65B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IV.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77B84DE1" w14:textId="3F53112A" w:rsidR="00B21EF9" w:rsidRPr="001D44AF" w:rsidRDefault="00B21EF9" w:rsidP="004E65B5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1D44AF">
              <w:rPr>
                <w:b/>
                <w:sz w:val="24"/>
                <w:szCs w:val="24"/>
              </w:rPr>
              <w:t xml:space="preserve">Prace towarzyszące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F13458CEEB8A49639B3B405415E8975B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4909AD5" w14:textId="50B9790F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44001DEA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BA25E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 do </w:t>
            </w:r>
            <w:r w:rsidR="00BA25E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IV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7D378B63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IV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D16518" w14:paraId="7521DE9A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1D3346"/>
    <w:rsid w:val="001D44AF"/>
    <w:rsid w:val="00323422"/>
    <w:rsid w:val="003254C7"/>
    <w:rsid w:val="003A4B30"/>
    <w:rsid w:val="004A6ACF"/>
    <w:rsid w:val="00524D01"/>
    <w:rsid w:val="00535511"/>
    <w:rsid w:val="005D582D"/>
    <w:rsid w:val="006D125B"/>
    <w:rsid w:val="007026B2"/>
    <w:rsid w:val="00731DEB"/>
    <w:rsid w:val="00744FCE"/>
    <w:rsid w:val="00755B8A"/>
    <w:rsid w:val="00806DF3"/>
    <w:rsid w:val="0088626F"/>
    <w:rsid w:val="00920739"/>
    <w:rsid w:val="00A02F28"/>
    <w:rsid w:val="00A17E4B"/>
    <w:rsid w:val="00A63C25"/>
    <w:rsid w:val="00AF4484"/>
    <w:rsid w:val="00B21EF9"/>
    <w:rsid w:val="00BA25EE"/>
    <w:rsid w:val="00BD35B2"/>
    <w:rsid w:val="00BD7E3A"/>
    <w:rsid w:val="00C14480"/>
    <w:rsid w:val="00D16518"/>
    <w:rsid w:val="00D44283"/>
    <w:rsid w:val="00EE6CE7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C028A0EDF46D68E625692863C3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AFE21-1345-430D-BAC2-31C8BF31A959}"/>
      </w:docPartPr>
      <w:docPartBody>
        <w:p w:rsidR="00A460FB" w:rsidRDefault="00C13F0C" w:rsidP="00C13F0C">
          <w:pPr>
            <w:pStyle w:val="16AC028A0EDF46D68E625692863C319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C13F0C" w:rsidP="00C13F0C">
          <w:pPr>
            <w:pStyle w:val="0380632B4EE74026978781553E8DBBCC1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C13F0C" w:rsidP="00C13F0C">
          <w:pPr>
            <w:pStyle w:val="A5C76AE194704F8A944009171C8781C5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IV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D4DFD828A46745D89FDB3235A4187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02211-A3E0-4A8A-896C-2E4C11C5DDC1}"/>
      </w:docPartPr>
      <w:docPartBody>
        <w:p w:rsidR="00C2062F" w:rsidRDefault="00C13F0C" w:rsidP="00C13F0C">
          <w:pPr>
            <w:pStyle w:val="D4DFD828A46745D89FDB3235A418743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C13F0C" w:rsidP="00C13F0C">
          <w:pPr>
            <w:pStyle w:val="314CF7AD2A6740239CB06497EC27D07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C13F0C" w:rsidP="00C13F0C">
          <w:pPr>
            <w:pStyle w:val="78CDE06299B34E81ADD2FC5700173764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378EBC624B24C0081AE89E07B586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32C4C-D366-4F43-A109-6915CB714B7E}"/>
      </w:docPartPr>
      <w:docPartBody>
        <w:p w:rsidR="00C2062F" w:rsidRDefault="00C13F0C" w:rsidP="00C13F0C">
          <w:pPr>
            <w:pStyle w:val="5378EBC624B24C0081AE89E07B5865C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13458CEEB8A49639B3B405415E89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8CD5E-B195-4151-946F-3BBC58DBFA96}"/>
      </w:docPartPr>
      <w:docPartBody>
        <w:p w:rsidR="00C2062F" w:rsidRDefault="00C13F0C" w:rsidP="00C13F0C">
          <w:pPr>
            <w:pStyle w:val="F13458CEEB8A49639B3B405415E8975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0586FF1173A4ADC816052E83C2B5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45DD2-9AEF-404E-90E4-12A412778FE1}"/>
      </w:docPartPr>
      <w:docPartBody>
        <w:p w:rsidR="00C45FCB" w:rsidRDefault="00C13F0C" w:rsidP="00C13F0C">
          <w:pPr>
            <w:pStyle w:val="A0586FF1173A4ADC816052E83C2B542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od 1. do 3.</w:t>
          </w:r>
        </w:p>
      </w:docPartBody>
    </w:docPart>
    <w:docPart>
      <w:docPartPr>
        <w:name w:val="EF1AD34355524EBBB8B1136BA6AB7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38147-9643-4277-BCF7-19B7274E4D7D}"/>
      </w:docPartPr>
      <w:docPartBody>
        <w:p w:rsidR="00C45FCB" w:rsidRDefault="00C13F0C" w:rsidP="00C13F0C">
          <w:pPr>
            <w:pStyle w:val="EF1AD34355524EBBB8B1136BA6AB72D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353F0B"/>
    <w:rsid w:val="00483948"/>
    <w:rsid w:val="00585FCA"/>
    <w:rsid w:val="007221A6"/>
    <w:rsid w:val="007B1827"/>
    <w:rsid w:val="00A460FB"/>
    <w:rsid w:val="00C13F0C"/>
    <w:rsid w:val="00C2062F"/>
    <w:rsid w:val="00C21C2F"/>
    <w:rsid w:val="00C45FCB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3F0C"/>
    <w:rPr>
      <w:color w:val="808080"/>
    </w:rPr>
  </w:style>
  <w:style w:type="paragraph" w:customStyle="1" w:styleId="16AC028A0EDF46D68E625692863C319F1">
    <w:name w:val="16AC028A0EDF46D68E625692863C319F1"/>
    <w:rsid w:val="00C13F0C"/>
    <w:rPr>
      <w:rFonts w:eastAsiaTheme="minorHAnsi"/>
      <w:lang w:eastAsia="en-US"/>
    </w:rPr>
  </w:style>
  <w:style w:type="paragraph" w:customStyle="1" w:styleId="D4DFD828A46745D89FDB3235A418743C1">
    <w:name w:val="D4DFD828A46745D89FDB3235A418743C1"/>
    <w:rsid w:val="00C13F0C"/>
    <w:rPr>
      <w:rFonts w:eastAsiaTheme="minorHAnsi"/>
      <w:lang w:eastAsia="en-US"/>
    </w:rPr>
  </w:style>
  <w:style w:type="paragraph" w:customStyle="1" w:styleId="314CF7AD2A6740239CB06497EC27D0771">
    <w:name w:val="314CF7AD2A6740239CB06497EC27D0771"/>
    <w:rsid w:val="00C13F0C"/>
    <w:rPr>
      <w:rFonts w:eastAsiaTheme="minorHAnsi"/>
      <w:lang w:eastAsia="en-US"/>
    </w:rPr>
  </w:style>
  <w:style w:type="paragraph" w:customStyle="1" w:styleId="78CDE06299B34E81ADD2FC57001737641">
    <w:name w:val="78CDE06299B34E81ADD2FC57001737641"/>
    <w:rsid w:val="00C13F0C"/>
    <w:rPr>
      <w:rFonts w:eastAsiaTheme="minorHAnsi"/>
      <w:lang w:eastAsia="en-US"/>
    </w:rPr>
  </w:style>
  <w:style w:type="paragraph" w:customStyle="1" w:styleId="A0586FF1173A4ADC816052E83C2B542F1">
    <w:name w:val="A0586FF1173A4ADC816052E83C2B542F1"/>
    <w:rsid w:val="00C13F0C"/>
    <w:rPr>
      <w:rFonts w:eastAsiaTheme="minorHAnsi"/>
      <w:lang w:eastAsia="en-US"/>
    </w:rPr>
  </w:style>
  <w:style w:type="paragraph" w:customStyle="1" w:styleId="5378EBC624B24C0081AE89E07B5865C21">
    <w:name w:val="5378EBC624B24C0081AE89E07B5865C21"/>
    <w:rsid w:val="00C13F0C"/>
    <w:rPr>
      <w:rFonts w:eastAsiaTheme="minorHAnsi"/>
      <w:lang w:eastAsia="en-US"/>
    </w:rPr>
  </w:style>
  <w:style w:type="paragraph" w:customStyle="1" w:styleId="F13458CEEB8A49639B3B405415E8975B1">
    <w:name w:val="F13458CEEB8A49639B3B405415E8975B1"/>
    <w:rsid w:val="00C13F0C"/>
    <w:rPr>
      <w:rFonts w:eastAsiaTheme="minorHAnsi"/>
      <w:lang w:eastAsia="en-US"/>
    </w:rPr>
  </w:style>
  <w:style w:type="paragraph" w:customStyle="1" w:styleId="A5C76AE194704F8A944009171C8781C51">
    <w:name w:val="A5C76AE194704F8A944009171C8781C51"/>
    <w:rsid w:val="00C13F0C"/>
    <w:rPr>
      <w:rFonts w:eastAsiaTheme="minorHAnsi"/>
      <w:lang w:eastAsia="en-US"/>
    </w:rPr>
  </w:style>
  <w:style w:type="paragraph" w:customStyle="1" w:styleId="0380632B4EE74026978781553E8DBBCC1">
    <w:name w:val="0380632B4EE74026978781553E8DBBCC1"/>
    <w:rsid w:val="00C13F0C"/>
    <w:rPr>
      <w:rFonts w:eastAsiaTheme="minorHAnsi"/>
      <w:lang w:eastAsia="en-US"/>
    </w:rPr>
  </w:style>
  <w:style w:type="paragraph" w:customStyle="1" w:styleId="EF1AD34355524EBBB8B1136BA6AB72DA">
    <w:name w:val="EF1AD34355524EBBB8B1136BA6AB72DA"/>
    <w:rsid w:val="00C13F0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21</cp:revision>
  <cp:lastPrinted>2022-07-28T08:44:00Z</cp:lastPrinted>
  <dcterms:created xsi:type="dcterms:W3CDTF">2022-03-14T13:33:00Z</dcterms:created>
  <dcterms:modified xsi:type="dcterms:W3CDTF">2023-05-09T09:30:00Z</dcterms:modified>
</cp:coreProperties>
</file>