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12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.2022.MJ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14.09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bookmarkStart w:id="5" w:name="OLE_LINK17"/>
      <w:bookmarkStart w:id="6" w:name="OLE_LINK18"/>
      <w:bookmarkStart w:id="7" w:name="OLE_LINK19"/>
      <w:bookmarkStart w:id="8" w:name="OLE_LINK56"/>
      <w:bookmarkStart w:id="9" w:name="OLE_LINK90"/>
      <w:bookmarkEnd w:id="5"/>
      <w:bookmarkEnd w:id="6"/>
      <w:bookmarkEnd w:id="7"/>
      <w:bookmarkEnd w:id="8"/>
      <w:bookmarkEnd w:id="9"/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bidi w:val="0"/>
        <w:spacing w:lineRule="auto" w:line="240"/>
        <w:ind w:left="735" w:right="0" w:hanging="0"/>
        <w:jc w:val="center"/>
        <w:rPr>
          <w:rFonts w:ascii="Cambria" w:hAnsi="Cambria" w:cs="Arial"/>
          <w:b/>
          <w:b/>
          <w:bCs/>
          <w:color w:val="000000"/>
          <w:kern w:val="2"/>
          <w:sz w:val="28"/>
          <w:szCs w:val="28"/>
          <w:lang w:val="pl-PL"/>
        </w:rPr>
      </w:pP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Budowa skate parku z infrastrukturą towarzyszącą przy Szkole Podstawowej Nr 3 we Włodawie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”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202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2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 poz. 1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710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98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/2022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z dnia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24.08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.2022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14.09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.202 r., zgodnie z art 222 ust 4  ustawy pzp przed otwarciem ofert udostępniono na stronie internetowej prowadzonego postępowania kwotę jaką Zamawiający zamierza przeznaczyć na sfinansowanie zamówienia wynoszącą: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2 2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00 000,00 zł brutto,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w tym 400 000,00 w roku 2022 i 1 800 000,00 w roku 2023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Play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&amp;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Skate Parks Ltd, 31 Longmead Road Burton Upon Tremt DE130TÓ Wielka Brytania Company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</w:rPr>
      </w:pPr>
      <w:bookmarkStart w:id="10" w:name="__DdeLink__3309_2113758372"/>
      <w:bookmarkEnd w:id="10"/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1 300 000,00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zł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2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Przedsiębiorstwo Inżynieryjno Budowlane INŻ-WOD-BUD Sp. z o .o. , ul. Nowickiego 8, 20-817 Lublin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</w:rPr>
      </w:pPr>
      <w:bookmarkStart w:id="11" w:name="__DdeLink__3309_21137583722"/>
      <w:bookmarkEnd w:id="11"/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1 529 100,00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zł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OFERTA NR 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3</w:t>
      </w: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 xml:space="preserve">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Techramps Spółka z ograniczoną odpowiedzialnością sp. k., ul. Organki 2, 31-990 Kraków.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</w:rPr>
      </w:pPr>
      <w:bookmarkStart w:id="12" w:name="__DdeLink__3309_21137583723"/>
      <w:bookmarkEnd w:id="12"/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cena oferty brutto – 2 188 916,79 zł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 60 miesięcy.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right"/>
        <w:rPr>
          <w:rFonts w:ascii="Times New Roman" w:hAnsi="Times New Roman" w:eastAsia="Tahoma" w:cs="Arial"/>
          <w:b/>
          <w:b/>
          <w:bCs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bookmarkStart w:id="13" w:name="__DdeLink__3309_211375837212"/>
      <w:bookmarkEnd w:id="13"/>
      <w:r>
        <w:rPr>
          <w:rFonts w:eastAsia="Tahoma" w:cs="Arial" w:ascii="Times New Roman" w:hAnsi="Times New Roman"/>
          <w:b/>
          <w:bCs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  <w:t>BURMISTRZ WŁODAWY</w:t>
      </w:r>
    </w:p>
    <w:p>
      <w:pPr>
        <w:pStyle w:val="Normal"/>
        <w:tabs>
          <w:tab w:val="clear" w:pos="709"/>
        </w:tabs>
        <w:bidi w:val="0"/>
        <w:spacing w:lineRule="auto" w:line="360" w:before="0" w:after="0"/>
        <w:ind w:right="0" w:hanging="0"/>
        <w:jc w:val="righ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u w:val="none"/>
          <w:lang w:val="pl-PL" w:eastAsia="zxx" w:bidi="zxx"/>
        </w:rPr>
        <w:t xml:space="preserve">( - ) Wiesław Muszyński  </w:t>
      </w:r>
    </w:p>
    <w:p>
      <w:pPr>
        <w:pStyle w:val="Normal"/>
        <w:bidi w:val="0"/>
        <w:spacing w:lineRule="auto" w:line="360" w:before="0" w:after="0"/>
        <w:jc w:val="right"/>
        <w:rPr/>
      </w:pPr>
      <w:r>
        <w:rPr/>
      </w:r>
    </w:p>
    <w:p>
      <w:pPr>
        <w:pStyle w:val="Normal"/>
        <w:bidi w:val="0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LibreOffice/7.0.0.3$Windows_X86_64 LibreOffice_project/8061b3e9204bef6b321a21033174034a5e2ea88e</Application>
  <Pages>2</Pages>
  <Words>269</Words>
  <Characters>1396</Characters>
  <CharactersWithSpaces>1722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2022-09-14T10:58:08Z</cp:lastPrinted>
  <dcterms:modified xsi:type="dcterms:W3CDTF">2022-09-14T11:26:41Z</dcterms:modified>
  <cp:revision>25</cp:revision>
  <dc:subject/>
  <dc:title/>
</cp:coreProperties>
</file>