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3B668BAF"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1409A3">
        <w:rPr>
          <w:rFonts w:asciiTheme="minorHAnsi" w:hAnsiTheme="minorHAnsi" w:cstheme="minorHAnsi"/>
          <w:kern w:val="0"/>
          <w:sz w:val="20"/>
          <w:szCs w:val="20"/>
        </w:rPr>
        <w:t xml:space="preserve">ul. </w:t>
      </w:r>
      <w:r w:rsidR="00522826">
        <w:rPr>
          <w:rFonts w:asciiTheme="minorHAnsi" w:hAnsiTheme="minorHAnsi" w:cstheme="minorHAnsi"/>
          <w:kern w:val="0"/>
          <w:sz w:val="20"/>
          <w:szCs w:val="20"/>
        </w:rPr>
        <w:t xml:space="preserve">Grunwaldzkiej 21/7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14A84632"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1409A3">
        <w:rPr>
          <w:rFonts w:asciiTheme="minorHAnsi" w:hAnsiTheme="minorHAnsi" w:cstheme="minorHAnsi"/>
          <w:b/>
          <w:bCs/>
        </w:rPr>
        <w:t xml:space="preserve">ul. </w:t>
      </w:r>
      <w:r w:rsidR="00522826">
        <w:rPr>
          <w:rFonts w:asciiTheme="minorHAnsi" w:hAnsiTheme="minorHAnsi" w:cstheme="minorHAnsi"/>
          <w:b/>
          <w:bCs/>
        </w:rPr>
        <w:t xml:space="preserve">Grunwaldzkiej 21/7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1D669F2B"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1409A3">
        <w:rPr>
          <w:rFonts w:asciiTheme="minorHAnsi" w:hAnsiTheme="minorHAnsi" w:cstheme="minorHAnsi"/>
          <w:bCs/>
        </w:rPr>
        <w:t xml:space="preserve">ul. </w:t>
      </w:r>
      <w:r w:rsidR="00522826">
        <w:rPr>
          <w:rFonts w:asciiTheme="minorHAnsi" w:hAnsiTheme="minorHAnsi" w:cstheme="minorHAnsi"/>
          <w:bCs/>
        </w:rPr>
        <w:t xml:space="preserve">Grunwaldzkiej 21/7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DA2B1A">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DA2B1A">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DA2B1A">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DA2B1A">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DA2B1A">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DA2B1A">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DA2B1A">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DA2B1A">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DA2B1A">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DA2B1A">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DA2B1A">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DA2B1A">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wykonanych przez Wykonawcę zgodnie ze STWiORB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z późn.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53DE0CF1"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1409A3">
        <w:rPr>
          <w:rFonts w:asciiTheme="minorHAnsi" w:hAnsiTheme="minorHAnsi" w:cstheme="minorHAnsi"/>
        </w:rPr>
        <w:t xml:space="preserve">ul. </w:t>
      </w:r>
      <w:r w:rsidR="00522826">
        <w:rPr>
          <w:rFonts w:asciiTheme="minorHAnsi" w:hAnsiTheme="minorHAnsi" w:cstheme="minorHAnsi"/>
        </w:rPr>
        <w:t xml:space="preserve">Grunwaldzkiej 21/7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zgodnie z dokumentacją projektową i STWiORB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257F762E"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1409A3">
        <w:rPr>
          <w:rFonts w:asciiTheme="minorHAnsi" w:hAnsiTheme="minorHAnsi" w:cstheme="minorHAnsi"/>
        </w:rPr>
        <w:t>ul.</w:t>
      </w:r>
      <w:r w:rsidR="00522826">
        <w:rPr>
          <w:rFonts w:asciiTheme="minorHAnsi" w:hAnsiTheme="minorHAnsi" w:cstheme="minorHAnsi"/>
        </w:rPr>
        <w:t xml:space="preserve"> Grunwaldzkiej 21/7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r w:rsidRPr="00080A56">
        <w:rPr>
          <w:rFonts w:asciiTheme="minorHAnsi" w:hAnsiTheme="minorHAnsi" w:cstheme="minorHAnsi"/>
        </w:rPr>
        <w:t xml:space="preserve">STWiORB.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wynika wprost z dokumentacji projektowej lub STWiORB</w:t>
      </w:r>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i STWiORB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Zamawiającemu projekt umowy o podwykonawstwo wraz z odpowiednią częścią dokumentacji projektowej oraz STWiORB.</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STWiORB,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III. STWiORB,</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Zamawiający dopuszcza zmiany Umowy z zachowaniem postanowień SWZ, a w przypadku zmian postanowień zawartej Umowy o jakich mowa w art. 455 ust. 1 pkt 1 ustawy Pzp,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2469D44A"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1409A3">
        <w:rPr>
          <w:rFonts w:asciiTheme="minorHAnsi" w:eastAsia="Times New Roman" w:hAnsiTheme="minorHAnsi" w:cstheme="minorHAnsi"/>
          <w:kern w:val="0"/>
          <w:sz w:val="20"/>
          <w:szCs w:val="20"/>
        </w:rPr>
        <w:t xml:space="preserve">ul. </w:t>
      </w:r>
      <w:r w:rsidR="00522826">
        <w:rPr>
          <w:rFonts w:asciiTheme="minorHAnsi" w:eastAsia="Times New Roman" w:hAnsiTheme="minorHAnsi" w:cstheme="minorHAnsi"/>
          <w:kern w:val="0"/>
          <w:sz w:val="20"/>
          <w:szCs w:val="20"/>
        </w:rPr>
        <w:t xml:space="preserve">Grunwaldzkiej 21/7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080A56" w:rsidRPr="00080A56" w14:paraId="2261A695" w14:textId="77777777" w:rsidTr="007A1F72">
        <w:tc>
          <w:tcPr>
            <w:tcW w:w="562" w:type="dxa"/>
            <w:shd w:val="clear" w:color="auto" w:fill="auto"/>
            <w:vAlign w:val="center"/>
          </w:tcPr>
          <w:p w14:paraId="7A9434D1" w14:textId="43709ED4"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2</w:t>
            </w:r>
          </w:p>
        </w:tc>
        <w:tc>
          <w:tcPr>
            <w:tcW w:w="4962" w:type="dxa"/>
            <w:shd w:val="clear" w:color="auto" w:fill="auto"/>
            <w:vAlign w:val="center"/>
          </w:tcPr>
          <w:p w14:paraId="22BB2007" w14:textId="6E77E8C8" w:rsidR="00313713" w:rsidRPr="00DA2B1A" w:rsidRDefault="00313713" w:rsidP="00E24802">
            <w:pPr>
              <w:jc w:val="both"/>
              <w:rPr>
                <w:rFonts w:ascii="Calibri" w:hAnsi="Calibri" w:cs="Calibri"/>
              </w:rPr>
            </w:pPr>
            <w:r w:rsidRPr="00DA2B1A">
              <w:rPr>
                <w:rFonts w:ascii="Calibri" w:hAnsi="Calibri" w:cs="Calibri"/>
              </w:rPr>
              <w:t xml:space="preserve">Czynności w zakresie robót </w:t>
            </w:r>
            <w:r w:rsidR="00E24802" w:rsidRPr="00DA2B1A">
              <w:rPr>
                <w:rFonts w:ascii="Calibri" w:hAnsi="Calibri" w:cs="Calibri"/>
              </w:rPr>
              <w:t>elektrycznych</w:t>
            </w:r>
          </w:p>
        </w:tc>
        <w:tc>
          <w:tcPr>
            <w:tcW w:w="2268" w:type="dxa"/>
            <w:shd w:val="clear" w:color="auto" w:fill="auto"/>
            <w:vAlign w:val="center"/>
          </w:tcPr>
          <w:p w14:paraId="7FC867CF"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313713" w:rsidRPr="00080A56" w14:paraId="3FA80398" w14:textId="77777777" w:rsidTr="007A1F72">
        <w:tc>
          <w:tcPr>
            <w:tcW w:w="562" w:type="dxa"/>
            <w:shd w:val="clear" w:color="auto" w:fill="auto"/>
            <w:vAlign w:val="center"/>
          </w:tcPr>
          <w:p w14:paraId="073A03AC" w14:textId="528A1018"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3</w:t>
            </w:r>
          </w:p>
        </w:tc>
        <w:tc>
          <w:tcPr>
            <w:tcW w:w="4962" w:type="dxa"/>
            <w:shd w:val="clear" w:color="auto" w:fill="auto"/>
            <w:vAlign w:val="center"/>
          </w:tcPr>
          <w:p w14:paraId="57AB8066" w14:textId="40D60B2F" w:rsidR="00313713" w:rsidRPr="00DA2B1A" w:rsidRDefault="00313713" w:rsidP="00E24802">
            <w:pPr>
              <w:jc w:val="both"/>
              <w:rPr>
                <w:rFonts w:ascii="Calibri" w:hAnsi="Calibri" w:cs="Calibri"/>
                <w:b/>
              </w:rPr>
            </w:pPr>
            <w:r w:rsidRPr="00DA2B1A">
              <w:rPr>
                <w:rFonts w:ascii="Calibri" w:hAnsi="Calibri" w:cs="Calibri"/>
              </w:rPr>
              <w:t xml:space="preserve">Czynności w zakresie robót </w:t>
            </w:r>
            <w:r w:rsidR="00E24802" w:rsidRPr="00DA2B1A">
              <w:rPr>
                <w:rFonts w:ascii="Calibri" w:hAnsi="Calibri" w:cs="Calibri"/>
              </w:rPr>
              <w:t>sanitarnych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463960958">
    <w:abstractNumId w:val="29"/>
  </w:num>
  <w:num w:numId="2" w16cid:durableId="114106703">
    <w:abstractNumId w:val="1"/>
  </w:num>
  <w:num w:numId="3" w16cid:durableId="925459062">
    <w:abstractNumId w:val="32"/>
  </w:num>
  <w:num w:numId="4" w16cid:durableId="1466048905">
    <w:abstractNumId w:val="40"/>
  </w:num>
  <w:num w:numId="5" w16cid:durableId="285089836">
    <w:abstractNumId w:val="7"/>
  </w:num>
  <w:num w:numId="6" w16cid:durableId="402525623">
    <w:abstractNumId w:val="13"/>
  </w:num>
  <w:num w:numId="7" w16cid:durableId="303900800">
    <w:abstractNumId w:val="2"/>
  </w:num>
  <w:num w:numId="8" w16cid:durableId="857541588">
    <w:abstractNumId w:val="28"/>
  </w:num>
  <w:num w:numId="9" w16cid:durableId="1874265051">
    <w:abstractNumId w:val="35"/>
  </w:num>
  <w:num w:numId="10" w16cid:durableId="339351580">
    <w:abstractNumId w:val="34"/>
  </w:num>
  <w:num w:numId="11" w16cid:durableId="2104061303">
    <w:abstractNumId w:val="10"/>
  </w:num>
  <w:num w:numId="12" w16cid:durableId="2036613487">
    <w:abstractNumId w:val="25"/>
  </w:num>
  <w:num w:numId="13" w16cid:durableId="859706725">
    <w:abstractNumId w:val="30"/>
  </w:num>
  <w:num w:numId="14" w16cid:durableId="1170873220">
    <w:abstractNumId w:val="36"/>
  </w:num>
  <w:num w:numId="15" w16cid:durableId="1994724390">
    <w:abstractNumId w:val="15"/>
  </w:num>
  <w:num w:numId="16" w16cid:durableId="167529210">
    <w:abstractNumId w:val="14"/>
  </w:num>
  <w:num w:numId="17" w16cid:durableId="476412886">
    <w:abstractNumId w:val="9"/>
  </w:num>
  <w:num w:numId="18" w16cid:durableId="271017078">
    <w:abstractNumId w:val="39"/>
  </w:num>
  <w:num w:numId="19" w16cid:durableId="1116677302">
    <w:abstractNumId w:val="6"/>
  </w:num>
  <w:num w:numId="20" w16cid:durableId="1298412730">
    <w:abstractNumId w:val="17"/>
  </w:num>
  <w:num w:numId="21" w16cid:durableId="1887524358">
    <w:abstractNumId w:val="24"/>
  </w:num>
  <w:num w:numId="22" w16cid:durableId="716509599">
    <w:abstractNumId w:val="31"/>
  </w:num>
  <w:num w:numId="23" w16cid:durableId="693730125">
    <w:abstractNumId w:val="16"/>
  </w:num>
  <w:num w:numId="24" w16cid:durableId="959726242">
    <w:abstractNumId w:val="37"/>
  </w:num>
  <w:num w:numId="25" w16cid:durableId="1781022463">
    <w:abstractNumId w:val="11"/>
  </w:num>
  <w:num w:numId="26" w16cid:durableId="1394694336">
    <w:abstractNumId w:val="27"/>
  </w:num>
  <w:num w:numId="27" w16cid:durableId="597635688">
    <w:abstractNumId w:val="33"/>
  </w:num>
  <w:num w:numId="28" w16cid:durableId="1323045765">
    <w:abstractNumId w:val="20"/>
  </w:num>
  <w:num w:numId="29" w16cid:durableId="2133404776">
    <w:abstractNumId w:val="4"/>
  </w:num>
  <w:num w:numId="30" w16cid:durableId="316610021">
    <w:abstractNumId w:val="12"/>
  </w:num>
  <w:num w:numId="31" w16cid:durableId="618073540">
    <w:abstractNumId w:val="23"/>
  </w:num>
  <w:num w:numId="32" w16cid:durableId="255747455">
    <w:abstractNumId w:val="42"/>
  </w:num>
  <w:num w:numId="33" w16cid:durableId="908156555">
    <w:abstractNumId w:val="19"/>
  </w:num>
  <w:num w:numId="34" w16cid:durableId="516696036">
    <w:abstractNumId w:val="26"/>
  </w:num>
  <w:num w:numId="35" w16cid:durableId="5790982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0326838">
    <w:abstractNumId w:val="3"/>
  </w:num>
  <w:num w:numId="37" w16cid:durableId="2002925723">
    <w:abstractNumId w:val="22"/>
  </w:num>
  <w:num w:numId="38" w16cid:durableId="320431418">
    <w:abstractNumId w:val="8"/>
  </w:num>
  <w:num w:numId="39" w16cid:durableId="147138305">
    <w:abstractNumId w:val="5"/>
  </w:num>
  <w:num w:numId="40" w16cid:durableId="1476265677">
    <w:abstractNumId w:val="18"/>
  </w:num>
  <w:num w:numId="41" w16cid:durableId="802112210">
    <w:abstractNumId w:val="38"/>
  </w:num>
  <w:num w:numId="42" w16cid:durableId="606158016">
    <w:abstractNumId w:val="21"/>
  </w:num>
  <w:num w:numId="43" w16cid:durableId="708527778">
    <w:abstractNumId w:val="41"/>
  </w:num>
  <w:num w:numId="44" w16cid:durableId="1164247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593"/>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16BE1"/>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4EF"/>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826"/>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620"/>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09A"/>
    <w:rsid w:val="009337ED"/>
    <w:rsid w:val="0093519D"/>
    <w:rsid w:val="0093522E"/>
    <w:rsid w:val="009373C0"/>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2B1A"/>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4E2B"/>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7156</Words>
  <Characters>47667</Characters>
  <Application>Microsoft Office Word</Application>
  <DocSecurity>0</DocSecurity>
  <Lines>397</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54714</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20</cp:revision>
  <cp:lastPrinted>2022-06-15T08:16:00Z</cp:lastPrinted>
  <dcterms:created xsi:type="dcterms:W3CDTF">2024-02-02T12:45:00Z</dcterms:created>
  <dcterms:modified xsi:type="dcterms:W3CDTF">2024-07-22T09:50:00Z</dcterms:modified>
</cp:coreProperties>
</file>