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B7B3" w14:textId="683F569B" w:rsidR="0017647B" w:rsidRPr="000B7DFF" w:rsidRDefault="00026525" w:rsidP="000B7DFF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Wstępny </w:t>
      </w:r>
      <w:r w:rsidR="000B7DFF" w:rsidRPr="000B7DFF">
        <w:rPr>
          <w:rFonts w:cstheme="minorHAnsi"/>
          <w:sz w:val="32"/>
          <w:szCs w:val="32"/>
        </w:rPr>
        <w:t xml:space="preserve">Opis Przedmiotu Zamówienia do postępowania na </w:t>
      </w:r>
      <w:r w:rsidR="00AB6736" w:rsidRPr="00AB6736">
        <w:rPr>
          <w:rFonts w:cstheme="minorHAnsi"/>
          <w:sz w:val="32"/>
          <w:szCs w:val="32"/>
        </w:rPr>
        <w:t>Zakup usługi subskrypcji oprogramowania, przez okres 24 miesięcy, do systemu rejestracji i obsługi zgłoszeń oraz zarządzania projektami wraz z migracją i konsultacjami</w:t>
      </w:r>
      <w:r w:rsidR="00AB6736">
        <w:rPr>
          <w:rFonts w:cstheme="minorHAnsi"/>
          <w:sz w:val="32"/>
          <w:szCs w:val="32"/>
        </w:rPr>
        <w:t>.</w:t>
      </w:r>
    </w:p>
    <w:p w14:paraId="37801F40" w14:textId="77777777" w:rsidR="000B7DFF" w:rsidRPr="000B7DFF" w:rsidRDefault="000B7DFF" w:rsidP="000B7DFF">
      <w:pPr>
        <w:jc w:val="center"/>
        <w:rPr>
          <w:rFonts w:cstheme="minorHAnsi"/>
          <w:sz w:val="32"/>
          <w:szCs w:val="32"/>
        </w:rPr>
      </w:pPr>
    </w:p>
    <w:p w14:paraId="56421629" w14:textId="77777777" w:rsidR="00C666CC" w:rsidRPr="00C666CC" w:rsidRDefault="00C666CC" w:rsidP="00C666CC">
      <w:pPr>
        <w:numPr>
          <w:ilvl w:val="0"/>
          <w:numId w:val="14"/>
        </w:numPr>
        <w:spacing w:after="60" w:line="240" w:lineRule="auto"/>
        <w:ind w:right="39" w:hanging="284"/>
        <w:jc w:val="both"/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</w:pPr>
      <w:r w:rsidRPr="00C666CC"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  <w:t xml:space="preserve">Wykonawca, na podstawie Umowy: </w:t>
      </w:r>
    </w:p>
    <w:p w14:paraId="4058FB29" w14:textId="6D033E70" w:rsidR="00C666CC" w:rsidRPr="00C666CC" w:rsidRDefault="00C666CC" w:rsidP="00C666CC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</w:pPr>
      <w:r w:rsidRPr="00C666CC"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  <w:t xml:space="preserve">sprzeda, dostarczy, skonfiguruje i uruchomi Oprogramowanie wskazane w ust. </w:t>
      </w:r>
      <w:r w:rsidR="00641619"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  <w:t>4</w:t>
      </w:r>
      <w:r w:rsidRPr="00C666CC"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  <w:t xml:space="preserve">, w tym: </w:t>
      </w:r>
    </w:p>
    <w:p w14:paraId="30A82CB0" w14:textId="77777777" w:rsidR="00C666CC" w:rsidRPr="00C666CC" w:rsidRDefault="00C666CC" w:rsidP="00C666CC">
      <w:pPr>
        <w:numPr>
          <w:ilvl w:val="0"/>
          <w:numId w:val="13"/>
        </w:numPr>
        <w:spacing w:after="0" w:line="240" w:lineRule="auto"/>
        <w:ind w:left="1134" w:hanging="425"/>
        <w:contextualSpacing/>
        <w:jc w:val="both"/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</w:pPr>
      <w:r w:rsidRPr="00C666CC"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  <w:t>przeprowadzi Wdrożenie zgodnie z warunkami</w:t>
      </w:r>
      <w:r w:rsidRPr="00C666CC">
        <w:rPr>
          <w:rFonts w:ascii="Century Gothic" w:eastAsia="Century Gothic" w:hAnsi="Century Gothic" w:cstheme="minorHAnsi"/>
          <w:bCs/>
          <w:color w:val="000000"/>
          <w:sz w:val="16"/>
          <w:szCs w:val="16"/>
          <w:lang w:eastAsia="pl-PL"/>
        </w:rPr>
        <w:t xml:space="preserve"> Umowy, w szczególności </w:t>
      </w:r>
      <w:r w:rsidRPr="00C666CC"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  <w:t>dostarczy nowe klucze licencyjne i dokonana wymiany dotychczas posiadanych kluczy licencyjnych na potrzeby Migracji</w:t>
      </w:r>
      <w:r w:rsidRPr="00C666CC">
        <w:rPr>
          <w:rFonts w:ascii="Century Gothic" w:eastAsia="Century Gothic" w:hAnsi="Century Gothic" w:cstheme="minorHAnsi"/>
          <w:bCs/>
          <w:color w:val="000000"/>
          <w:sz w:val="16"/>
          <w:szCs w:val="16"/>
          <w:lang w:eastAsia="pl-PL"/>
        </w:rPr>
        <w:t xml:space="preserve">, </w:t>
      </w:r>
    </w:p>
    <w:p w14:paraId="3EC718C8" w14:textId="77777777" w:rsidR="00C666CC" w:rsidRPr="00C666CC" w:rsidRDefault="00C666CC" w:rsidP="00C666CC">
      <w:pPr>
        <w:numPr>
          <w:ilvl w:val="0"/>
          <w:numId w:val="13"/>
        </w:numPr>
        <w:spacing w:after="0" w:line="240" w:lineRule="auto"/>
        <w:ind w:left="1134" w:hanging="425"/>
        <w:contextualSpacing/>
        <w:jc w:val="both"/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</w:pPr>
      <w:r w:rsidRPr="00C666CC">
        <w:rPr>
          <w:rFonts w:ascii="Century Gothic" w:eastAsia="Century Gothic" w:hAnsi="Century Gothic" w:cs="Times New Roman"/>
          <w:color w:val="000000"/>
          <w:sz w:val="16"/>
          <w:szCs w:val="16"/>
          <w:lang w:eastAsia="pl-PL"/>
        </w:rPr>
        <w:t xml:space="preserve">zapewni Zamawiającemu - na zasadach określonych w Umowie oraz ogólnych warunkach licencyjnych Producenta Oprogramowania - prawo do korzystania (na zasadach subskrypcji) </w:t>
      </w:r>
      <w:r w:rsidRPr="00C666CC"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  <w:t>z</w:t>
      </w:r>
      <w:r w:rsidRPr="00C666CC">
        <w:rPr>
          <w:rFonts w:ascii="Century Gothic" w:eastAsia="Century Gothic" w:hAnsi="Century Gothic" w:cs="Times New Roman"/>
          <w:color w:val="000000"/>
          <w:sz w:val="16"/>
          <w:szCs w:val="16"/>
          <w:lang w:eastAsia="pl-PL"/>
        </w:rPr>
        <w:t xml:space="preserve"> Oprogramowania, w tym zarówno w całości jak i z poszczególnych jego elementów wskazanej w Umowie liczby użytkowników wraz z prawem do korzystania z dokumentacji Producenta Oprogramowania (np. techniczna, użytkownika, administratora);</w:t>
      </w:r>
    </w:p>
    <w:p w14:paraId="770E7703" w14:textId="68DC156B" w:rsidR="00C666CC" w:rsidRPr="00C666CC" w:rsidRDefault="00C666CC" w:rsidP="00C666CC">
      <w:pPr>
        <w:numPr>
          <w:ilvl w:val="0"/>
          <w:numId w:val="13"/>
        </w:numPr>
        <w:spacing w:after="0" w:line="240" w:lineRule="auto"/>
        <w:ind w:left="1134" w:hanging="425"/>
        <w:contextualSpacing/>
        <w:jc w:val="both"/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</w:pPr>
      <w:r w:rsidRPr="00C666CC"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  <w:t>zapewni Zamawiającemu prawo do korzystania z Oprogramowania wraz z jego dokumentacją zgodnie z lit. b) na zasadzie subskrypcji, przez okres 24 miesięcy od dnia</w:t>
      </w:r>
      <w:r w:rsidRPr="00C666CC">
        <w:rPr>
          <w:rFonts w:ascii="Century Gothic" w:eastAsia="Century Gothic" w:hAnsi="Century Gothic" w:cs="Times New Roman"/>
          <w:color w:val="000000"/>
          <w:sz w:val="16"/>
          <w:szCs w:val="16"/>
          <w:lang w:eastAsia="pl-PL"/>
        </w:rPr>
        <w:t xml:space="preserve"> podpisania bez zastrzeżeń przez Zamawiającego Protokołu Wdrożenia</w:t>
      </w:r>
      <w:r w:rsidRPr="00C666CC"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  <w:t>, w tym przekaże Certyfikat (dokument licencyjny) wystawiony przez Producenta Oprogramowania;</w:t>
      </w:r>
    </w:p>
    <w:p w14:paraId="00F89D70" w14:textId="77777777" w:rsidR="00C666CC" w:rsidRPr="00C666CC" w:rsidRDefault="00C666CC" w:rsidP="00C666CC">
      <w:pPr>
        <w:numPr>
          <w:ilvl w:val="0"/>
          <w:numId w:val="13"/>
        </w:numPr>
        <w:spacing w:after="0" w:line="240" w:lineRule="auto"/>
        <w:ind w:left="1134" w:hanging="425"/>
        <w:contextualSpacing/>
        <w:jc w:val="both"/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</w:pPr>
      <w:r w:rsidRPr="00C666CC"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  <w:t>przeniesie na Zamawiającego autorskie prawa majątkowe do dokumentacji opracowanej przez Wykonawcę w ramach Umowy, w tym w ramach Wdrożenia.</w:t>
      </w:r>
    </w:p>
    <w:p w14:paraId="5CBC822A" w14:textId="77777777" w:rsidR="00C666CC" w:rsidRPr="00C666CC" w:rsidRDefault="00C666CC" w:rsidP="00C666CC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</w:pPr>
      <w:r w:rsidRPr="00C666CC"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  <w:t>zapewni Zamawiającemu świadczenie wsparcia Producenta (Opiekę serwisową), poprzez wydanie odpowiedniego dokumentu na rzecz Zamawiającego (Certyfikat), potwierdzającego prawo dostępu do wsparcia Producenta w okresie obowiązywania subskrypcji oraz Usługi wsparcia wskazanym w pkt 1 lit. c, zgodnie z ogólnymi warunkami producenta,</w:t>
      </w:r>
    </w:p>
    <w:p w14:paraId="46DA731B" w14:textId="01857B07" w:rsidR="00C666CC" w:rsidRPr="00C666CC" w:rsidRDefault="00C666CC" w:rsidP="00C666CC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</w:pPr>
      <w:r w:rsidRPr="00C666CC"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  <w:t>świadczył będzie na rzecz Zamawiającego Usługę Wsparcia w okresie obowiązywania subskrypcji oraz Usługi wsparcia</w:t>
      </w:r>
      <w:r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  <w:t xml:space="preserve">, </w:t>
      </w:r>
      <w:r w:rsidRPr="00C666CC"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  <w:t>zgodnie z warunkami Umowy, w tym przeniesie na Zamawiającego autorskie prawa majątkowe do rezultatów czynności wykonanych przez Wykonawcę w ramach Usługi Wsparcia.</w:t>
      </w:r>
    </w:p>
    <w:p w14:paraId="0D836A6F" w14:textId="49F34DC5" w:rsidR="00D22709" w:rsidRPr="00D22709" w:rsidRDefault="00D22709" w:rsidP="00D22709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</w:pPr>
      <w:bookmarkStart w:id="0" w:name="_Hlk151466159"/>
      <w:r w:rsidRPr="00D22709">
        <w:rPr>
          <w:rFonts w:ascii="Century Gothic" w:eastAsia="Century Gothic" w:hAnsi="Century Gothic" w:cstheme="minorHAnsi"/>
          <w:color w:val="000000"/>
          <w:sz w:val="16"/>
          <w:szCs w:val="16"/>
          <w:lang w:eastAsia="pl-PL"/>
        </w:rPr>
        <w:t>Wykonawca zapewni Zamawiającemu, zgodnie z ogólnymi warunkami licencyjnymi Producenta oraz warunkami Umowy, Migrację posiadanych przez Zamawiającego licencji w wyniku której Zamawiający uzyska prawo do korzystania na zasadach subskrypcji z następującego Oprogramowania w wersji Data Center:</w:t>
      </w:r>
    </w:p>
    <w:bookmarkEnd w:id="0"/>
    <w:p w14:paraId="493BB031" w14:textId="4EA77EC3" w:rsidR="000B7DFF" w:rsidRPr="002E1996" w:rsidRDefault="000B7DFF" w:rsidP="00C666CC">
      <w:pPr>
        <w:pStyle w:val="Akapitzlist"/>
        <w:ind w:left="426"/>
        <w:jc w:val="both"/>
        <w:rPr>
          <w:rFonts w:ascii="Century Gothic" w:hAnsi="Century Gothic"/>
          <w:bCs/>
          <w:sz w:val="16"/>
          <w:szCs w:val="16"/>
        </w:rPr>
      </w:pPr>
    </w:p>
    <w:p w14:paraId="11E32EC1" w14:textId="4000E178" w:rsidR="000C1FF0" w:rsidRDefault="000C1FF0" w:rsidP="000C1FF0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7CD67C2D" w14:textId="3278AC7E" w:rsidR="002E1996" w:rsidRPr="002E1996" w:rsidRDefault="002E1996" w:rsidP="002E1996">
      <w:p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</w:rPr>
      </w:pPr>
      <w:r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</w:rPr>
        <w:t>Instancja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</w:rPr>
        <w:t xml:space="preserve"> </w:t>
      </w:r>
      <w:r w:rsidRPr="002E1996">
        <w:rPr>
          <w:rFonts w:ascii="Century Gothic" w:eastAsia="Calibri" w:hAnsi="Century Gothic" w:cs="Segoe UI"/>
          <w:b/>
          <w:bCs/>
          <w:color w:val="000000"/>
          <w:sz w:val="16"/>
          <w:szCs w:val="16"/>
          <w:bdr w:val="none" w:sz="0" w:space="0" w:color="auto" w:frame="1"/>
        </w:rPr>
        <w:t>I</w:t>
      </w:r>
    </w:p>
    <w:p w14:paraId="3793FC0D" w14:textId="2BF34F23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Jira Software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SEN-6708263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433954AA" w14:textId="302FB394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Jira Service Management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SEN-6708264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</w:t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00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0971E4B7" w14:textId="310901A5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Adaptavist ScriptRunner for JIRA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SEN-15259565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715FE39F" w14:textId="4190D85B" w:rsidR="006565B2" w:rsidRPr="006565B2" w:rsidRDefault="006565B2" w:rsidP="00AB6736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Power Utilities for Jira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SEN-15257051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06AC2BDF" w14:textId="6CC8E47C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Backbone Issue Sync for Jira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SEN-15257049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161BCD13" w14:textId="71F2698C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Better Commit Policy for Jira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SEN-12951718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43971B2F" w14:textId="7BC80D7A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Better PDF Exporter for Jira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SEN-12951722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16FAA647" w14:textId="44B9F7A2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BigTemplate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SEN-8688270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28C9C138" w14:textId="2D5DD480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Calendar for JIRA - Plan Team Activities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SEN-12951713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5F064980" w14:textId="03ADF364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Email This Issue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SEN-10889870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0F3E8A45" w14:textId="435F0258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Extension for Jira Service Desk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SEN-10889913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</w:t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00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6D4B3994" w14:textId="2EE9BA98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iDalko Table Grid plugin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SEN-12951721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0C4E1DFD" w14:textId="57A81DC7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JSU Automation Suite for Jira Workflows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SEN-15257050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2BE135AC" w14:textId="678B3CD9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Multiple Filters Chart Gadget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4E3E74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SEN-15257057</w:t>
      </w:r>
      <w:r w:rsidR="004E3E74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2700A5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79D4DB40" w14:textId="63AA3DB3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Refined for Jira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SEN-12951723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75EC294C" w14:textId="150DF94F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SU for JIRA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SEN-15257056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7FF93CF8" w14:textId="54221A26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Three Dimensional Date Gadgets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SEN-15257055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17A4F9BF" w14:textId="3B520476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Timesheet Reports and Gadgets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SEN-15257054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2F0DCD69" w14:textId="548208D8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Timetracker Plugin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SEN-15257053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3F8DF163" w14:textId="1B9A287A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Xray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SEN-15257141</w:t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43723E4D" w14:textId="040F9A47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Planning Poker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(nowy plugin) </w:t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53856B9E" w14:textId="659E53FB" w:rsidR="000C1FF0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draw.io Diagrams for Jira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AB673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(nowy plugin)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9D3D1D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30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217E675D" w14:textId="77777777" w:rsidR="000C1FF0" w:rsidRPr="006565B2" w:rsidRDefault="000C1FF0" w:rsidP="000C1FF0">
      <w:pPr>
        <w:pStyle w:val="Akapitzlist"/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</w:p>
    <w:p w14:paraId="09500CFE" w14:textId="3306834D" w:rsidR="000C1FF0" w:rsidRPr="00DC56EE" w:rsidRDefault="000C1FF0" w:rsidP="000C1FF0">
      <w:pPr>
        <w:suppressAutoHyphens/>
        <w:spacing w:before="20" w:line="264" w:lineRule="auto"/>
        <w:jc w:val="both"/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  <w:lang w:val="en-AU"/>
        </w:rPr>
        <w:t>JIRA PZ instancja II</w:t>
      </w:r>
    </w:p>
    <w:p w14:paraId="52973BE2" w14:textId="07CF133F" w:rsidR="00DC56EE" w:rsidRPr="00DC56EE" w:rsidRDefault="00DC56EE" w:rsidP="00DC56EE">
      <w:pPr>
        <w:pStyle w:val="Akapitzlist"/>
        <w:numPr>
          <w:ilvl w:val="0"/>
          <w:numId w:val="9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Jira Service Management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SEN-15257150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5751EB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0EE11DA7" w14:textId="243A26C9" w:rsidR="00DC56EE" w:rsidRPr="00DC56EE" w:rsidRDefault="00DC56EE" w:rsidP="00DC56EE">
      <w:pPr>
        <w:pStyle w:val="Akapitzlist"/>
        <w:numPr>
          <w:ilvl w:val="0"/>
          <w:numId w:val="9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Adaptavist ScriptRunner for JIRA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SEN-15257151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5751EB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6D3B4D42" w14:textId="6149D65F" w:rsidR="00DC56EE" w:rsidRPr="00DC56EE" w:rsidRDefault="001953D6" w:rsidP="00DC56EE">
      <w:pPr>
        <w:pStyle w:val="Akapitzlist"/>
        <w:numPr>
          <w:ilvl w:val="0"/>
          <w:numId w:val="9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1953D6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lastRenderedPageBreak/>
        <w:t>Power Utilities</w:t>
      </w:r>
      <w:r w:rsidR="00DC56EE"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SEN-15257180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5751EB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50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170FC2A8" w14:textId="13C5BDCE" w:rsidR="00DC56EE" w:rsidRPr="00DC56EE" w:rsidRDefault="00DC56EE" w:rsidP="00DC56EE">
      <w:pPr>
        <w:pStyle w:val="Akapitzlist"/>
        <w:numPr>
          <w:ilvl w:val="0"/>
          <w:numId w:val="9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Backbone Issue Sync for Jira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SEN-15257152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5751EB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52AB6D3D" w14:textId="240F40DC" w:rsidR="00DC56EE" w:rsidRPr="00DC56EE" w:rsidRDefault="00DC56EE" w:rsidP="00DC56EE">
      <w:pPr>
        <w:pStyle w:val="Akapitzlist"/>
        <w:numPr>
          <w:ilvl w:val="0"/>
          <w:numId w:val="9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Extension for Jira Service Desk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SEN-15257153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5751EB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158A9E92" w14:textId="7837F429" w:rsidR="00DC56EE" w:rsidRPr="00DC56EE" w:rsidRDefault="00DC56EE" w:rsidP="00DC56EE">
      <w:pPr>
        <w:pStyle w:val="Akapitzlist"/>
        <w:numPr>
          <w:ilvl w:val="0"/>
          <w:numId w:val="9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JSU Automation Suite for Jira Workflows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>SEN-15257154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5751EB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325D8A36" w14:textId="77777777" w:rsidR="000C1FF0" w:rsidRPr="006565B2" w:rsidRDefault="000C1FF0" w:rsidP="000C1FF0">
      <w:p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</w:p>
    <w:p w14:paraId="498C01FF" w14:textId="77777777" w:rsidR="000C1FF0" w:rsidRPr="00DC56EE" w:rsidRDefault="000C1FF0" w:rsidP="000C1FF0">
      <w:pPr>
        <w:suppressAutoHyphens/>
        <w:spacing w:before="20" w:line="264" w:lineRule="auto"/>
        <w:jc w:val="both"/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  <w:lang w:val="en-AU"/>
        </w:rPr>
        <w:t>WIKI</w:t>
      </w:r>
    </w:p>
    <w:p w14:paraId="419FE802" w14:textId="2E220C30" w:rsidR="00DC56EE" w:rsidRPr="00DC56EE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Confluence Commercial License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SEN-8152688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2E9466D9" w14:textId="6B3A5F08" w:rsidR="00DC56EE" w:rsidRPr="00DC56EE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Agile Retrospectives for Confluence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SEN-26767385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0E3A6FAC" w14:textId="4BBE28C8" w:rsidR="00DC56EE" w:rsidRPr="00DC56EE" w:rsidRDefault="00224849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224849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Excel for Confluence</w:t>
      </w:r>
      <w:r w:rsidR="00DC56EE"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               </w:t>
      </w:r>
      <w:r w:rsidR="00DC56EE"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SEN-10889865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       </w:t>
      </w:r>
      <w:r w:rsidR="00DC56EE"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72DACEFB" w14:textId="33A68EA6" w:rsidR="00DC56EE" w:rsidRPr="00DC56EE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Multivote and Enterprise Survey for Confluence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 xml:space="preserve">SEN-26767386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4F43678C" w14:textId="17BB41AF" w:rsidR="00DC56EE" w:rsidRPr="00DC56EE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Scroll Versions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SEN-10889874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67E84325" w14:textId="05D3A614" w:rsidR="00DC56EE" w:rsidRPr="00DC56EE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Scroll PDF Exproter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SEN-26767387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5464C1C0" w14:textId="2396F607" w:rsidR="00DC56EE" w:rsidRPr="00DC56EE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Markdown for Confluence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(nowy plugin)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20403F52" w14:textId="71693D30" w:rsidR="000C1FF0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Table Filter and Charts for Confluence</w:t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 xml:space="preserve">(nowy plugin)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40B80DBB" w14:textId="77777777" w:rsidR="00125CD7" w:rsidRPr="00DC56EE" w:rsidRDefault="00125CD7" w:rsidP="00125CD7">
      <w:pPr>
        <w:pStyle w:val="Akapitzlist"/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</w:p>
    <w:p w14:paraId="6A7C8492" w14:textId="5945AE4B" w:rsidR="000C1FF0" w:rsidRPr="00125CD7" w:rsidRDefault="000C1FF0" w:rsidP="000C1FF0">
      <w:pPr>
        <w:suppressAutoHyphens/>
        <w:spacing w:before="20" w:line="264" w:lineRule="auto"/>
        <w:jc w:val="both"/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</w:rPr>
      </w:pPr>
      <w:r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</w:rPr>
        <w:t>Bitbucket</w:t>
      </w:r>
    </w:p>
    <w:p w14:paraId="3E414ADF" w14:textId="6D5D41B0" w:rsidR="00125CD7" w:rsidRPr="00125CD7" w:rsidRDefault="00125CD7" w:rsidP="00125CD7">
      <w:pPr>
        <w:pStyle w:val="Akapitzlist"/>
        <w:numPr>
          <w:ilvl w:val="0"/>
          <w:numId w:val="11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Bitbucket Commercial License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SEN-8152689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>5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69E22FD7" w14:textId="2DADE277" w:rsidR="00125CD7" w:rsidRPr="00125CD7" w:rsidRDefault="00125CD7" w:rsidP="00125CD7">
      <w:pPr>
        <w:pStyle w:val="Akapitzlist"/>
        <w:numPr>
          <w:ilvl w:val="0"/>
          <w:numId w:val="11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Awesome Graphs for Bitbucket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4E3E74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SEN-12951715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>5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5EBBA2EA" w14:textId="5F4780EF" w:rsidR="00125CD7" w:rsidRPr="00125CD7" w:rsidRDefault="00125CD7" w:rsidP="00125CD7">
      <w:pPr>
        <w:pStyle w:val="Akapitzlist"/>
        <w:numPr>
          <w:ilvl w:val="0"/>
          <w:numId w:val="11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Smart Commits for Bitbucket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SEN-12951717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>5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5F65E630" w14:textId="552A2F03" w:rsidR="00125CD7" w:rsidRPr="00125CD7" w:rsidRDefault="00125CD7" w:rsidP="00125CD7">
      <w:pPr>
        <w:pStyle w:val="Akapitzlist"/>
        <w:numPr>
          <w:ilvl w:val="0"/>
          <w:numId w:val="11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Snippets for Bitbucket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4E3E74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SEN-12951719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>5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284B8A07" w14:textId="0068F2CD" w:rsidR="00125CD7" w:rsidRDefault="00595591" w:rsidP="00125CD7">
      <w:pPr>
        <w:pStyle w:val="Akapitzlist"/>
        <w:numPr>
          <w:ilvl w:val="0"/>
          <w:numId w:val="11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595591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IncludeCodeQuality for BitBucket</w:t>
      </w:r>
      <w:r w:rsidR="00125CD7"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SEN-12951716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>5</w:t>
      </w:r>
      <w:r w:rsidR="00125CD7"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37AA134B" w14:textId="7BAC044D" w:rsidR="000C1FF0" w:rsidRPr="00125CD7" w:rsidRDefault="00125CD7" w:rsidP="00125CD7">
      <w:pPr>
        <w:pStyle w:val="Akapitzlist"/>
        <w:numPr>
          <w:ilvl w:val="0"/>
          <w:numId w:val="11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Webhook to Jenkins for Bitbucket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4E3E74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SEN-31975609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0755A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>5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12B2ECA1" w14:textId="77777777" w:rsidR="000C1FF0" w:rsidRPr="006565B2" w:rsidRDefault="000C1FF0" w:rsidP="000C1FF0">
      <w:pPr>
        <w:pStyle w:val="Akapitzlist"/>
        <w:ind w:left="851"/>
        <w:rPr>
          <w:rFonts w:cstheme="minorHAnsi"/>
          <w:sz w:val="24"/>
          <w:szCs w:val="24"/>
          <w:lang w:val="en-AU"/>
        </w:rPr>
      </w:pPr>
    </w:p>
    <w:p w14:paraId="752CA1CB" w14:textId="77777777" w:rsidR="000C1FF0" w:rsidRPr="006565B2" w:rsidRDefault="000C1FF0" w:rsidP="000C1FF0">
      <w:pPr>
        <w:pStyle w:val="Akapitzlist"/>
        <w:ind w:left="851"/>
        <w:rPr>
          <w:rFonts w:cstheme="minorHAnsi"/>
          <w:sz w:val="24"/>
          <w:szCs w:val="24"/>
          <w:lang w:val="en-AU"/>
        </w:rPr>
      </w:pPr>
    </w:p>
    <w:p w14:paraId="6D50E641" w14:textId="34C9FB50" w:rsidR="00D22709" w:rsidRPr="00D22709" w:rsidRDefault="00D22709" w:rsidP="00D22709">
      <w:pPr>
        <w:numPr>
          <w:ilvl w:val="0"/>
          <w:numId w:val="14"/>
        </w:numPr>
        <w:spacing w:after="60" w:line="240" w:lineRule="auto"/>
        <w:ind w:right="39" w:hanging="432"/>
        <w:jc w:val="both"/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</w:pPr>
      <w:r w:rsidRPr="00D22709"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  <w:t xml:space="preserve">Na podstawie Umowy wykonawca świadczyć będzie na rzecz Zamawiającego Usługę Wsparcia dla Oprogramowania wskazanego w ust. </w:t>
      </w:r>
      <w:r w:rsidR="00F851EA"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  <w:t>4</w:t>
      </w:r>
      <w:r w:rsidRPr="00D22709"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  <w:t>, przez 24 miesiące począwszy od daty wskazanej w Protokole Wdrożenia (zgodnej z datą obowiązywania subskrypcji)  potwierdzającego dostarczenie Certyfikatu i wykonanie Wdrożenia wraz z Migracją.</w:t>
      </w:r>
    </w:p>
    <w:p w14:paraId="539E5003" w14:textId="485A7715" w:rsidR="00D22709" w:rsidRPr="00D22709" w:rsidRDefault="00D22709" w:rsidP="00D22709">
      <w:pPr>
        <w:numPr>
          <w:ilvl w:val="0"/>
          <w:numId w:val="14"/>
        </w:numPr>
        <w:spacing w:after="60" w:line="240" w:lineRule="auto"/>
        <w:ind w:right="39" w:hanging="432"/>
        <w:jc w:val="both"/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</w:pPr>
      <w:r w:rsidRPr="00D22709"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  <w:t xml:space="preserve">Wykonawca zapewni Zamawiającemu </w:t>
      </w:r>
      <w:bookmarkStart w:id="1" w:name="_Hlk149555187"/>
      <w:r w:rsidRPr="00D22709"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  <w:t xml:space="preserve">100 (słownie: sto) godzin konsultacji </w:t>
      </w:r>
      <w:bookmarkEnd w:id="1"/>
      <w:r w:rsidRPr="00D22709"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  <w:t xml:space="preserve">w okresie obowiązywania Umowy, w zakresie dotyczącym Oprogramowania. </w:t>
      </w:r>
    </w:p>
    <w:p w14:paraId="4C47E99F" w14:textId="70E59397" w:rsidR="000B7DFF" w:rsidRPr="00F851EA" w:rsidRDefault="00D22709" w:rsidP="00F851EA">
      <w:pPr>
        <w:numPr>
          <w:ilvl w:val="0"/>
          <w:numId w:val="14"/>
        </w:numPr>
        <w:spacing w:after="60" w:line="240" w:lineRule="auto"/>
        <w:ind w:right="39" w:hanging="432"/>
        <w:jc w:val="both"/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</w:pPr>
      <w:r w:rsidRPr="00D22709"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  <w:t xml:space="preserve">Wykonawca, w ramach Usługi Wsparcia, będzie przyjmował zgłoszenia (w szczególności: konsultacyjne i dotyczące problemów/błędów w działaniu Oprogramowania) od poniedziałku do piątku, w godzinach od 8.00 do 17.00, telefonicznie lub na adres poczty elektronicznej. </w:t>
      </w:r>
    </w:p>
    <w:p w14:paraId="3D74FD41" w14:textId="12869139" w:rsidR="00005951" w:rsidRPr="00F851EA" w:rsidRDefault="00005951" w:rsidP="00F851EA">
      <w:pPr>
        <w:numPr>
          <w:ilvl w:val="0"/>
          <w:numId w:val="14"/>
        </w:numPr>
        <w:spacing w:after="60" w:line="240" w:lineRule="auto"/>
        <w:ind w:right="39" w:hanging="432"/>
        <w:jc w:val="both"/>
        <w:rPr>
          <w:rFonts w:ascii="Century Gothic" w:eastAsia="Century Gothic" w:hAnsi="Century Gothic" w:cs="Century Gothic"/>
          <w:color w:val="2E74B5" w:themeColor="accent1" w:themeShade="BF"/>
          <w:sz w:val="16"/>
          <w:szCs w:val="16"/>
          <w:u w:val="single"/>
          <w:lang w:eastAsia="pl-PL"/>
        </w:rPr>
      </w:pPr>
      <w:r w:rsidRPr="00F851EA"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  <w:t xml:space="preserve">Technical contact to: </w:t>
      </w:r>
      <w:hyperlink r:id="rId8" w:history="1">
        <w:r w:rsidRPr="00F851EA">
          <w:rPr>
            <w:rFonts w:ascii="Century Gothic" w:eastAsia="Century Gothic" w:hAnsi="Century Gothic" w:cs="Century Gothic"/>
            <w:color w:val="2E74B5" w:themeColor="accent1" w:themeShade="BF"/>
            <w:sz w:val="16"/>
            <w:szCs w:val="16"/>
            <w:u w:val="single"/>
            <w:lang w:eastAsia="pl-PL"/>
          </w:rPr>
          <w:t>miroslaw.wysocki@arimr.gov.pl</w:t>
        </w:r>
      </w:hyperlink>
    </w:p>
    <w:p w14:paraId="4C24754A" w14:textId="1088BEC5" w:rsidR="00005951" w:rsidRPr="00F851EA" w:rsidRDefault="00005951" w:rsidP="00F851EA">
      <w:pPr>
        <w:numPr>
          <w:ilvl w:val="0"/>
          <w:numId w:val="14"/>
        </w:numPr>
        <w:spacing w:after="60" w:line="240" w:lineRule="auto"/>
        <w:ind w:right="39" w:hanging="432"/>
        <w:jc w:val="both"/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</w:pPr>
      <w:r w:rsidRPr="00F851EA"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  <w:t xml:space="preserve">Natomiast dla dodatku SEN-31975609 : </w:t>
      </w:r>
      <w:hyperlink r:id="rId9" w:history="1">
        <w:r w:rsidRPr="00F851EA">
          <w:rPr>
            <w:rFonts w:ascii="Century Gothic" w:eastAsia="Century Gothic" w:hAnsi="Century Gothic" w:cs="Century Gothic"/>
            <w:color w:val="2E74B5" w:themeColor="accent1" w:themeShade="BF"/>
            <w:sz w:val="16"/>
            <w:szCs w:val="16"/>
            <w:u w:val="single"/>
            <w:lang w:eastAsia="pl-PL"/>
          </w:rPr>
          <w:t>wua-cm@arimr.gov.pl</w:t>
        </w:r>
      </w:hyperlink>
    </w:p>
    <w:p w14:paraId="66855A34" w14:textId="77777777" w:rsidR="000B7DFF" w:rsidRPr="00F851EA" w:rsidRDefault="000B7DFF" w:rsidP="00F851EA">
      <w:pPr>
        <w:spacing w:after="60" w:line="240" w:lineRule="auto"/>
        <w:ind w:left="284" w:right="39"/>
        <w:jc w:val="both"/>
        <w:rPr>
          <w:rFonts w:ascii="Century Gothic" w:eastAsia="Century Gothic" w:hAnsi="Century Gothic" w:cs="Century Gothic"/>
          <w:color w:val="000000"/>
          <w:sz w:val="16"/>
          <w:szCs w:val="16"/>
          <w:lang w:eastAsia="pl-PL"/>
        </w:rPr>
      </w:pPr>
    </w:p>
    <w:p w14:paraId="24E25DC6" w14:textId="4C9F4640" w:rsidR="000C1FF0" w:rsidRPr="00FF0A5A" w:rsidRDefault="000C1FF0" w:rsidP="00125C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344974" w14:textId="13B040B6" w:rsidR="000B7DFF" w:rsidRPr="001A1E51" w:rsidRDefault="000B7DFF" w:rsidP="000C1FF0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sectPr w:rsidR="000B7DFF" w:rsidRPr="001A1E51" w:rsidSect="000B7D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9858" w14:textId="77777777" w:rsidR="00DA74F6" w:rsidRDefault="00DA74F6" w:rsidP="006565B2">
      <w:pPr>
        <w:spacing w:after="0" w:line="240" w:lineRule="auto"/>
      </w:pPr>
      <w:r>
        <w:separator/>
      </w:r>
    </w:p>
  </w:endnote>
  <w:endnote w:type="continuationSeparator" w:id="0">
    <w:p w14:paraId="296F971B" w14:textId="77777777" w:rsidR="00DA74F6" w:rsidRDefault="00DA74F6" w:rsidP="0065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D9C5" w14:textId="77777777" w:rsidR="00DA74F6" w:rsidRDefault="00DA74F6" w:rsidP="006565B2">
      <w:pPr>
        <w:spacing w:after="0" w:line="240" w:lineRule="auto"/>
      </w:pPr>
      <w:r>
        <w:separator/>
      </w:r>
    </w:p>
  </w:footnote>
  <w:footnote w:type="continuationSeparator" w:id="0">
    <w:p w14:paraId="03003CF9" w14:textId="77777777" w:rsidR="00DA74F6" w:rsidRDefault="00DA74F6" w:rsidP="00656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795"/>
    <w:multiLevelType w:val="hybridMultilevel"/>
    <w:tmpl w:val="1E7CCF2C"/>
    <w:lvl w:ilvl="0" w:tplc="5B4C0F02">
      <w:start w:val="1"/>
      <w:numFmt w:val="lowerLetter"/>
      <w:lvlText w:val="%1)"/>
      <w:lvlJc w:val="left"/>
      <w:pPr>
        <w:ind w:left="1713" w:hanging="360"/>
      </w:pPr>
      <w:rPr>
        <w:rFonts w:asciiTheme="minorHAnsi" w:hAnsi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62A2F5F"/>
    <w:multiLevelType w:val="hybridMultilevel"/>
    <w:tmpl w:val="1F94B976"/>
    <w:lvl w:ilvl="0" w:tplc="B130ED6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8EB"/>
    <w:multiLevelType w:val="hybridMultilevel"/>
    <w:tmpl w:val="C3008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5A9"/>
    <w:multiLevelType w:val="hybridMultilevel"/>
    <w:tmpl w:val="92FAF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3226"/>
    <w:multiLevelType w:val="hybridMultilevel"/>
    <w:tmpl w:val="305E1594"/>
    <w:lvl w:ilvl="0" w:tplc="D5A23002">
      <w:start w:val="1"/>
      <w:numFmt w:val="decimal"/>
      <w:lvlText w:val="%1."/>
      <w:lvlJc w:val="left"/>
      <w:pPr>
        <w:ind w:left="284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4D2E"/>
    <w:multiLevelType w:val="hybridMultilevel"/>
    <w:tmpl w:val="38580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D0209"/>
    <w:multiLevelType w:val="hybridMultilevel"/>
    <w:tmpl w:val="90D4845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>
      <w:start w:val="1"/>
      <w:numFmt w:val="decimal"/>
      <w:lvlText w:val="%7."/>
      <w:lvlJc w:val="left"/>
      <w:pPr>
        <w:ind w:left="2226" w:hanging="360"/>
      </w:pPr>
    </w:lvl>
    <w:lvl w:ilvl="7" w:tplc="04150019">
      <w:start w:val="1"/>
      <w:numFmt w:val="lowerLetter"/>
      <w:lvlText w:val="%8."/>
      <w:lvlJc w:val="left"/>
      <w:pPr>
        <w:ind w:left="2946" w:hanging="360"/>
      </w:pPr>
    </w:lvl>
    <w:lvl w:ilvl="8" w:tplc="0415001B">
      <w:start w:val="1"/>
      <w:numFmt w:val="lowerRoman"/>
      <w:lvlText w:val="%9."/>
      <w:lvlJc w:val="right"/>
      <w:pPr>
        <w:ind w:left="3666" w:hanging="180"/>
      </w:pPr>
    </w:lvl>
  </w:abstractNum>
  <w:abstractNum w:abstractNumId="7" w15:restartNumberingAfterBreak="0">
    <w:nsid w:val="3CE976B3"/>
    <w:multiLevelType w:val="hybridMultilevel"/>
    <w:tmpl w:val="B7167A72"/>
    <w:lvl w:ilvl="0" w:tplc="DA9C50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>
      <w:start w:val="1"/>
      <w:numFmt w:val="decimal"/>
      <w:lvlText w:val="%7."/>
      <w:lvlJc w:val="left"/>
      <w:pPr>
        <w:ind w:left="2226" w:hanging="360"/>
      </w:pPr>
    </w:lvl>
    <w:lvl w:ilvl="7" w:tplc="04150019">
      <w:start w:val="1"/>
      <w:numFmt w:val="lowerLetter"/>
      <w:lvlText w:val="%8."/>
      <w:lvlJc w:val="left"/>
      <w:pPr>
        <w:ind w:left="2946" w:hanging="360"/>
      </w:pPr>
    </w:lvl>
    <w:lvl w:ilvl="8" w:tplc="0415001B">
      <w:start w:val="1"/>
      <w:numFmt w:val="lowerRoman"/>
      <w:lvlText w:val="%9."/>
      <w:lvlJc w:val="right"/>
      <w:pPr>
        <w:ind w:left="3666" w:hanging="180"/>
      </w:pPr>
    </w:lvl>
  </w:abstractNum>
  <w:abstractNum w:abstractNumId="8" w15:restartNumberingAfterBreak="0">
    <w:nsid w:val="45C150A9"/>
    <w:multiLevelType w:val="hybridMultilevel"/>
    <w:tmpl w:val="2EB0A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D3EBC"/>
    <w:multiLevelType w:val="hybridMultilevel"/>
    <w:tmpl w:val="E05CB7C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>
      <w:start w:val="1"/>
      <w:numFmt w:val="decimal"/>
      <w:lvlText w:val="%7."/>
      <w:lvlJc w:val="left"/>
      <w:pPr>
        <w:ind w:left="2226" w:hanging="360"/>
      </w:pPr>
    </w:lvl>
    <w:lvl w:ilvl="7" w:tplc="04150019">
      <w:start w:val="1"/>
      <w:numFmt w:val="lowerLetter"/>
      <w:lvlText w:val="%8."/>
      <w:lvlJc w:val="left"/>
      <w:pPr>
        <w:ind w:left="2946" w:hanging="360"/>
      </w:pPr>
    </w:lvl>
    <w:lvl w:ilvl="8" w:tplc="0415001B">
      <w:start w:val="1"/>
      <w:numFmt w:val="lowerRoman"/>
      <w:lvlText w:val="%9."/>
      <w:lvlJc w:val="right"/>
      <w:pPr>
        <w:ind w:left="3666" w:hanging="180"/>
      </w:pPr>
    </w:lvl>
  </w:abstractNum>
  <w:abstractNum w:abstractNumId="10" w15:restartNumberingAfterBreak="0">
    <w:nsid w:val="51DE0671"/>
    <w:multiLevelType w:val="hybridMultilevel"/>
    <w:tmpl w:val="01600C80"/>
    <w:lvl w:ilvl="0" w:tplc="AB3A594C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b w:val="0"/>
      </w:rPr>
    </w:lvl>
    <w:lvl w:ilvl="1" w:tplc="78B2DA54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Theme="minorHAnsi" w:hAnsiTheme="minorHAnsi" w:cstheme="minorHAnsi" w:hint="default"/>
        <w:sz w:val="18"/>
        <w:szCs w:val="18"/>
      </w:rPr>
    </w:lvl>
    <w:lvl w:ilvl="2" w:tplc="D87CB054">
      <w:start w:val="1"/>
      <w:numFmt w:val="lowerLetter"/>
      <w:lvlText w:val="%3)"/>
      <w:lvlJc w:val="left"/>
      <w:pPr>
        <w:ind w:left="3552" w:hanging="360"/>
      </w:pPr>
      <w:rPr>
        <w:rFonts w:cs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1" w15:restartNumberingAfterBreak="0">
    <w:nsid w:val="6D0F28B1"/>
    <w:multiLevelType w:val="hybridMultilevel"/>
    <w:tmpl w:val="A29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00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497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3750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7380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0892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8664181">
    <w:abstractNumId w:val="1"/>
  </w:num>
  <w:num w:numId="7" w16cid:durableId="1938707218">
    <w:abstractNumId w:val="6"/>
  </w:num>
  <w:num w:numId="8" w16cid:durableId="841091924">
    <w:abstractNumId w:val="8"/>
  </w:num>
  <w:num w:numId="9" w16cid:durableId="2055618534">
    <w:abstractNumId w:val="5"/>
  </w:num>
  <w:num w:numId="10" w16cid:durableId="66466286">
    <w:abstractNumId w:val="3"/>
  </w:num>
  <w:num w:numId="11" w16cid:durableId="788013635">
    <w:abstractNumId w:val="2"/>
  </w:num>
  <w:num w:numId="12" w16cid:durableId="1335112559">
    <w:abstractNumId w:val="10"/>
  </w:num>
  <w:num w:numId="13" w16cid:durableId="1592200428">
    <w:abstractNumId w:val="0"/>
  </w:num>
  <w:num w:numId="14" w16cid:durableId="1703094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FF"/>
    <w:rsid w:val="00005951"/>
    <w:rsid w:val="00026525"/>
    <w:rsid w:val="000755A7"/>
    <w:rsid w:val="00085C91"/>
    <w:rsid w:val="000B7DFF"/>
    <w:rsid w:val="000C1FF0"/>
    <w:rsid w:val="000F5C32"/>
    <w:rsid w:val="00116C93"/>
    <w:rsid w:val="00125CD7"/>
    <w:rsid w:val="00150AB4"/>
    <w:rsid w:val="0017647B"/>
    <w:rsid w:val="001953D6"/>
    <w:rsid w:val="001A1E51"/>
    <w:rsid w:val="001F1148"/>
    <w:rsid w:val="002006E5"/>
    <w:rsid w:val="00224849"/>
    <w:rsid w:val="00234095"/>
    <w:rsid w:val="002700A5"/>
    <w:rsid w:val="002C5A16"/>
    <w:rsid w:val="002D762F"/>
    <w:rsid w:val="002E1996"/>
    <w:rsid w:val="003871CC"/>
    <w:rsid w:val="00465033"/>
    <w:rsid w:val="004E3E74"/>
    <w:rsid w:val="004E689D"/>
    <w:rsid w:val="005751EB"/>
    <w:rsid w:val="00595591"/>
    <w:rsid w:val="005E258E"/>
    <w:rsid w:val="00641619"/>
    <w:rsid w:val="006565B2"/>
    <w:rsid w:val="00700B71"/>
    <w:rsid w:val="00704E75"/>
    <w:rsid w:val="0071048B"/>
    <w:rsid w:val="007652B2"/>
    <w:rsid w:val="007B4307"/>
    <w:rsid w:val="00816D55"/>
    <w:rsid w:val="0088313A"/>
    <w:rsid w:val="0089691E"/>
    <w:rsid w:val="008B1287"/>
    <w:rsid w:val="008C324E"/>
    <w:rsid w:val="008C73EC"/>
    <w:rsid w:val="008E679F"/>
    <w:rsid w:val="00965F7B"/>
    <w:rsid w:val="00977286"/>
    <w:rsid w:val="009D3D1D"/>
    <w:rsid w:val="00A526C8"/>
    <w:rsid w:val="00AB6736"/>
    <w:rsid w:val="00AF5D1F"/>
    <w:rsid w:val="00AF7E48"/>
    <w:rsid w:val="00C666CC"/>
    <w:rsid w:val="00C74DEE"/>
    <w:rsid w:val="00C929D1"/>
    <w:rsid w:val="00D22709"/>
    <w:rsid w:val="00DA74F6"/>
    <w:rsid w:val="00DC56EE"/>
    <w:rsid w:val="00EB1182"/>
    <w:rsid w:val="00F643BC"/>
    <w:rsid w:val="00F851EA"/>
    <w:rsid w:val="00F92579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EE60A"/>
  <w15:chartTrackingRefBased/>
  <w15:docId w15:val="{13D43A50-16E2-4A41-9F02-4736CC35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7DFF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B7DFF"/>
  </w:style>
  <w:style w:type="paragraph" w:styleId="Akapitzlist">
    <w:name w:val="List Paragraph"/>
    <w:basedOn w:val="Normalny"/>
    <w:link w:val="AkapitzlistZnak"/>
    <w:uiPriority w:val="34"/>
    <w:qFormat/>
    <w:rsid w:val="000B7DFF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DF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F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F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24E"/>
  </w:style>
  <w:style w:type="paragraph" w:styleId="Stopka">
    <w:name w:val="footer"/>
    <w:basedOn w:val="Normalny"/>
    <w:link w:val="StopkaZnak"/>
    <w:uiPriority w:val="99"/>
    <w:unhideWhenUsed/>
    <w:rsid w:val="008C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wysocki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ua-cm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A8546D7-D601-4184-8F3B-B9874864CB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Borowski Piotr DESI</dc:creator>
  <cp:keywords/>
  <dc:description/>
  <cp:lastModifiedBy>Lara Łukasz</cp:lastModifiedBy>
  <cp:revision>11</cp:revision>
  <cp:lastPrinted>2019-08-23T11:16:00Z</cp:lastPrinted>
  <dcterms:created xsi:type="dcterms:W3CDTF">2023-12-29T11:19:00Z</dcterms:created>
  <dcterms:modified xsi:type="dcterms:W3CDTF">2023-12-29T12:42:00Z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3609d6c5-e8d4-4922-9a0f-1d1824419ff4</vt:lpwstr>
  </property>
  <property fmtid="{D5CDD505-2E9C-101B-9397-08002B2CF9AE}" pid="3" name="bjSaver">
    <vt:lpwstr>qhA+MrdFrrdXWV0UcvTaCnx4+Qajzfrh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