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8"/>
          <w:szCs w:val="28"/>
        </w:rPr>
      </w:pPr>
      <w:r>
        <w:rPr>
          <w:rFonts w:ascii="Times New Roman" w:hAnsi="Times New Roman"/>
          <w:sz w:val="28"/>
          <w:szCs w:val="28"/>
        </w:rPr>
        <w:tab/>
      </w:r>
      <w:r>
        <w:rPr>
          <w:rFonts w:ascii="Calibri" w:hAnsi="Calibri" w:eastAsia="Calibri"/>
          <w:i/>
        </w:rPr>
        <w:drawing>
          <wp:inline distT="0" distB="0" distL="0" distR="0">
            <wp:extent cx="5654040" cy="792480"/>
            <wp:effectExtent l="0" t="0" r="3810" b="7620"/>
            <wp:docPr id="2" name="Obraz 2"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ANNA~1.BIL\AppData\Local\Temp\7zOC4BDAA9D\FE_POPC_poziom_pl-1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54040" cy="792480"/>
                    </a:xfrm>
                    <a:prstGeom prst="rect">
                      <a:avLst/>
                    </a:prstGeom>
                    <a:noFill/>
                    <a:ln>
                      <a:noFill/>
                    </a:ln>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ind w:left="4956" w:firstLine="708"/>
        <w:jc w:val="center"/>
        <w:rPr>
          <w:rFonts w:ascii="Times New Roman" w:hAnsi="Times New Roman"/>
          <w:sz w:val="28"/>
          <w:szCs w:val="28"/>
        </w:rPr>
      </w:pPr>
      <w:r>
        <w:rPr>
          <w:rFonts w:ascii="Times New Roman" w:hAnsi="Times New Roman"/>
          <w:sz w:val="28"/>
          <w:szCs w:val="28"/>
        </w:rPr>
        <w:t xml:space="preserve">Załącznik do oferty </w:t>
      </w:r>
    </w:p>
    <w:p>
      <w:pPr>
        <w:ind w:left="5664" w:firstLine="708"/>
        <w:rPr>
          <w:rFonts w:hint="default" w:ascii="Times New Roman" w:hAnsi="Times New Roman"/>
          <w:sz w:val="28"/>
          <w:szCs w:val="28"/>
          <w:lang w:val="pl-PL"/>
        </w:rPr>
      </w:pPr>
      <w:r>
        <w:rPr>
          <w:rFonts w:ascii="Times New Roman" w:hAnsi="Times New Roman"/>
          <w:sz w:val="28"/>
          <w:szCs w:val="28"/>
        </w:rPr>
        <w:t xml:space="preserve"> Załącznik nr 1</w:t>
      </w:r>
      <w:r>
        <w:rPr>
          <w:rFonts w:hint="default" w:ascii="Times New Roman" w:hAnsi="Times New Roman"/>
          <w:sz w:val="28"/>
          <w:szCs w:val="28"/>
          <w:lang w:val="pl-PL"/>
        </w:rPr>
        <w:t>C</w:t>
      </w:r>
    </w:p>
    <w:p>
      <w:pPr>
        <w:ind w:left="4956" w:firstLine="708"/>
        <w:jc w:val="center"/>
        <w:rPr>
          <w:rFonts w:ascii="Times New Roman" w:hAnsi="Times New Roman"/>
          <w:sz w:val="28"/>
          <w:szCs w:val="28"/>
        </w:rPr>
      </w:pPr>
    </w:p>
    <w:p>
      <w:pPr>
        <w:pStyle w:val="14"/>
        <w:spacing w:after="160" w:line="259" w:lineRule="auto"/>
        <w:ind w:left="567"/>
        <w:contextualSpacing/>
        <w:jc w:val="center"/>
        <w:rPr>
          <w:rFonts w:ascii="Times New Roman" w:hAnsi="Times New Roman"/>
          <w:sz w:val="28"/>
          <w:szCs w:val="28"/>
        </w:rPr>
      </w:pPr>
      <w:r>
        <w:rPr>
          <w:rFonts w:ascii="Times New Roman" w:hAnsi="Times New Roman"/>
          <w:sz w:val="28"/>
          <w:szCs w:val="28"/>
        </w:rPr>
        <w:t xml:space="preserve">Minimalne parametry techniczne i funkcjonalne </w:t>
      </w:r>
    </w:p>
    <w:p>
      <w:pPr>
        <w:pStyle w:val="14"/>
        <w:spacing w:after="160" w:line="259" w:lineRule="auto"/>
        <w:ind w:left="567"/>
        <w:contextualSpacing/>
        <w:jc w:val="center"/>
        <w:rPr>
          <w:rFonts w:hint="default" w:ascii="Times New Roman" w:hAnsi="Times New Roman"/>
          <w:sz w:val="28"/>
          <w:szCs w:val="28"/>
          <w:lang w:val="pl-PL"/>
        </w:rPr>
      </w:pPr>
      <w:r>
        <w:rPr>
          <w:rFonts w:hint="default" w:ascii="Times New Roman" w:hAnsi="Times New Roman"/>
          <w:sz w:val="28"/>
          <w:szCs w:val="28"/>
          <w:lang w:val="pl-PL"/>
        </w:rPr>
        <w:t>Serwer backup-u</w:t>
      </w:r>
    </w:p>
    <w:p>
      <w:pPr>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bl>
      <w:tblPr>
        <w:tblStyle w:val="3"/>
        <w:tblW w:w="5475" w:type="pct"/>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1" w:type="dxa"/>
          <w:bottom w:w="0" w:type="dxa"/>
          <w:right w:w="71" w:type="dxa"/>
        </w:tblCellMar>
      </w:tblPr>
      <w:tblGrid>
        <w:gridCol w:w="409"/>
        <w:gridCol w:w="1436"/>
        <w:gridCol w:w="6493"/>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3950" w:type="pct"/>
            <w:gridSpan w:val="3"/>
            <w:shd w:val="clear" w:color="auto" w:fill="auto"/>
            <w:vAlign w:val="center"/>
          </w:tcPr>
          <w:p>
            <w:pPr>
              <w:rPr>
                <w:rFonts w:ascii="Verdana" w:hAnsi="Verdana" w:cs="Arial"/>
                <w:b/>
                <w:sz w:val="20"/>
              </w:rPr>
            </w:pPr>
            <w:r>
              <w:rPr>
                <w:rFonts w:ascii="Verdana" w:hAnsi="Verdana" w:cs="Arial"/>
                <w:b/>
                <w:sz w:val="20"/>
              </w:rPr>
              <w:t>Szczegółowy opis</w:t>
            </w:r>
          </w:p>
        </w:tc>
        <w:tc>
          <w:tcPr>
            <w:tcW w:w="1049" w:type="pct"/>
            <w:vAlign w:val="center"/>
          </w:tcPr>
          <w:p>
            <w:pPr>
              <w:ind w:left="-71"/>
              <w:jc w:val="both"/>
              <w:rPr>
                <w:rFonts w:ascii="Verdana" w:hAnsi="Verdana" w:cs="Arial"/>
                <w:b/>
                <w:sz w:val="20"/>
              </w:rPr>
            </w:pPr>
            <w:r>
              <w:rPr>
                <w:rFonts w:ascii="Verdana" w:hAnsi="Verdana" w:cs="Arial"/>
                <w:b/>
                <w:sz w:val="20"/>
              </w:rPr>
              <w:t>Parametry oferowane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3950" w:type="pct"/>
            <w:gridSpan w:val="3"/>
            <w:shd w:val="clear" w:color="auto" w:fill="auto"/>
            <w:vAlign w:val="center"/>
          </w:tcPr>
          <w:p>
            <w:pPr>
              <w:rPr>
                <w:rFonts w:ascii="Verdana" w:hAnsi="Verdana" w:cs="Arial"/>
                <w:sz w:val="20"/>
              </w:rPr>
            </w:pPr>
            <w:r>
              <w:rPr>
                <w:rFonts w:ascii="Verdana" w:hAnsi="Verdana" w:cs="Arial"/>
                <w:sz w:val="20"/>
              </w:rPr>
              <w:t>Serwer</w:t>
            </w:r>
          </w:p>
          <w:p>
            <w:pPr>
              <w:jc w:val="both"/>
              <w:rPr>
                <w:rFonts w:ascii="Verdana" w:hAnsi="Verdana" w:cs="Arial"/>
                <w:sz w:val="20"/>
              </w:rPr>
            </w:pPr>
          </w:p>
          <w:p>
            <w:pPr>
              <w:jc w:val="both"/>
              <w:rPr>
                <w:rFonts w:ascii="Verdana" w:hAnsi="Verdana" w:cs="Arial"/>
                <w:sz w:val="20"/>
              </w:rPr>
            </w:pPr>
            <w:r>
              <w:rPr>
                <w:rFonts w:ascii="Verdana" w:hAnsi="Verdana"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pPr>
              <w:jc w:val="both"/>
              <w:rPr>
                <w:rFonts w:ascii="Verdana" w:hAnsi="Verdana" w:cs="Arial"/>
                <w:sz w:val="20"/>
              </w:rPr>
            </w:pPr>
            <w:r>
              <w:rPr>
                <w:rFonts w:ascii="Verdana" w:hAnsi="Verdana" w:cs="Arial"/>
                <w:bCs/>
                <w:sz w:val="20"/>
              </w:rPr>
              <w:t>Nie dopuszcza się zaoferowania komputera refurbished.</w:t>
            </w:r>
          </w:p>
        </w:tc>
        <w:tc>
          <w:tcPr>
            <w:tcW w:w="1049" w:type="pct"/>
          </w:tcPr>
          <w:p>
            <w:pPr>
              <w:spacing w:line="360" w:lineRule="auto"/>
              <w:rPr>
                <w:rFonts w:ascii="Verdana" w:hAnsi="Verdana" w:cs="Arial"/>
                <w:sz w:val="20"/>
              </w:rPr>
            </w:pPr>
            <w:r>
              <w:rPr>
                <w:rFonts w:ascii="Verdana" w:hAnsi="Verdana" w:cs="Arial"/>
                <w:sz w:val="20"/>
              </w:rPr>
              <w:t>Producent:</w:t>
            </w:r>
          </w:p>
          <w:p>
            <w:pPr>
              <w:spacing w:line="360" w:lineRule="auto"/>
              <w:rPr>
                <w:rFonts w:ascii="Verdana" w:hAnsi="Verdana" w:cs="Arial"/>
                <w:sz w:val="20"/>
              </w:rPr>
            </w:pPr>
            <w:r>
              <w:rPr>
                <w:rFonts w:ascii="Verdana" w:hAnsi="Verdana" w:cs="Arial"/>
                <w:sz w:val="20"/>
              </w:rPr>
              <w:t>……………………….</w:t>
            </w:r>
          </w:p>
          <w:p>
            <w:pPr>
              <w:spacing w:line="360" w:lineRule="auto"/>
              <w:rPr>
                <w:rFonts w:hint="default" w:ascii="Verdana" w:hAnsi="Verdana" w:cs="Arial"/>
                <w:sz w:val="20"/>
                <w:lang w:val="pl-PL"/>
              </w:rPr>
            </w:pPr>
            <w:r>
              <w:rPr>
                <w:rFonts w:hint="default" w:ascii="Verdana" w:hAnsi="Verdana" w:cs="Arial"/>
                <w:sz w:val="20"/>
                <w:lang w:val="pl-PL"/>
              </w:rPr>
              <w:t>Typ</w:t>
            </w:r>
          </w:p>
          <w:p>
            <w:pPr>
              <w:spacing w:line="360" w:lineRule="auto"/>
              <w:rPr>
                <w:rFonts w:hint="default" w:ascii="Verdana" w:hAnsi="Verdana" w:cs="Arial"/>
                <w:sz w:val="20"/>
                <w:lang w:val="pl-PL"/>
              </w:rPr>
            </w:pPr>
            <w:r>
              <w:rPr>
                <w:rFonts w:hint="default" w:ascii="Verdana" w:hAnsi="Verdana" w:cs="Arial"/>
                <w:sz w:val="20"/>
                <w:lang w:val="pl-PL"/>
              </w:rPr>
              <w:t>.........................</w:t>
            </w:r>
          </w:p>
          <w:p>
            <w:pPr>
              <w:spacing w:line="360" w:lineRule="auto"/>
              <w:rPr>
                <w:rFonts w:ascii="Verdana" w:hAnsi="Verdana" w:cs="Arial"/>
                <w:sz w:val="20"/>
              </w:rPr>
            </w:pPr>
            <w:r>
              <w:rPr>
                <w:rFonts w:ascii="Verdana" w:hAnsi="Verdana" w:cs="Arial"/>
                <w:sz w:val="20"/>
              </w:rPr>
              <w:t>Model:</w:t>
            </w:r>
          </w:p>
          <w:p>
            <w:pPr>
              <w:spacing w:line="360" w:lineRule="auto"/>
              <w:rPr>
                <w:rFonts w:ascii="Verdana" w:hAnsi="Verdana" w:cs="Arial"/>
                <w:sz w:val="20"/>
              </w:rPr>
            </w:pPr>
            <w:r>
              <w:rPr>
                <w:rFonts w:ascii="Verdana" w:hAnsi="Verdana" w:cs="Arial"/>
                <w:sz w:val="20"/>
              </w:rPr>
              <w:t>……………………….</w:t>
            </w:r>
          </w:p>
          <w:p>
            <w:pPr>
              <w:spacing w:line="360" w:lineRule="auto"/>
              <w:rPr>
                <w:rFonts w:ascii="Verdana" w:hAnsi="Verdana" w:cs="Arial"/>
                <w:sz w:val="20"/>
              </w:rPr>
            </w:pPr>
            <w:r>
              <w:rPr>
                <w:rFonts w:ascii="Verdana" w:hAnsi="Verdana" w:cs="Arial"/>
                <w:sz w:val="20"/>
              </w:rPr>
              <w:t>Numer katalogowy (numer konfiguracji lub part numer):</w:t>
            </w:r>
          </w:p>
          <w:p>
            <w:pPr>
              <w:spacing w:line="360" w:lineRule="auto"/>
              <w:rPr>
                <w:rFonts w:ascii="Verdana" w:hAnsi="Verdana" w:cs="Arial"/>
                <w:sz w:val="20"/>
              </w:rPr>
            </w:pPr>
            <w:r>
              <w:rPr>
                <w:rFonts w:ascii="Verdana" w:hAnsi="Verdana" w:cs="Arial"/>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3950" w:type="pct"/>
            <w:gridSpan w:val="3"/>
            <w:shd w:val="clear" w:color="auto" w:fill="auto"/>
            <w:vAlign w:val="center"/>
          </w:tcPr>
          <w:p>
            <w:pPr>
              <w:rPr>
                <w:rFonts w:ascii="Verdana" w:hAnsi="Verdana" w:cs="Arial"/>
                <w:sz w:val="20"/>
              </w:rPr>
            </w:pPr>
            <w:r>
              <w:rPr>
                <w:rFonts w:ascii="Verdana" w:hAnsi="Verdana" w:cs="Arial"/>
                <w:sz w:val="20"/>
              </w:rPr>
              <w:t>Nie dopuszcza się modyfikacji na drodze Producent-Zamawiający.</w:t>
            </w:r>
          </w:p>
        </w:tc>
        <w:tc>
          <w:tcPr>
            <w:tcW w:w="1049" w:type="pct"/>
          </w:tcPr>
          <w:p>
            <w:pPr>
              <w:spacing w:line="360" w:lineRule="auto"/>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vAlign w:val="center"/>
          </w:tcPr>
          <w:p>
            <w:pPr>
              <w:rPr>
                <w:rFonts w:ascii="Times New Roman" w:hAnsi="Times New Roman"/>
                <w:bCs/>
                <w:szCs w:val="22"/>
              </w:rPr>
            </w:pPr>
            <w:r>
              <w:rPr>
                <w:rFonts w:ascii="Times New Roman" w:hAnsi="Times New Roman"/>
                <w:b/>
                <w:szCs w:val="22"/>
                <w:lang w:eastAsia="en-US"/>
              </w:rPr>
              <w:t>Lp.</w:t>
            </w:r>
          </w:p>
        </w:tc>
        <w:tc>
          <w:tcPr>
            <w:tcW w:w="680" w:type="pct"/>
            <w:vAlign w:val="center"/>
          </w:tcPr>
          <w:p>
            <w:pPr>
              <w:rPr>
                <w:rFonts w:ascii="Times New Roman" w:hAnsi="Times New Roman"/>
                <w:bCs/>
                <w:szCs w:val="22"/>
              </w:rPr>
            </w:pPr>
            <w:r>
              <w:rPr>
                <w:rFonts w:ascii="Times New Roman" w:hAnsi="Times New Roman"/>
                <w:b/>
                <w:szCs w:val="22"/>
              </w:rPr>
              <w:t>Nazwa komponentu</w:t>
            </w:r>
          </w:p>
        </w:tc>
        <w:tc>
          <w:tcPr>
            <w:tcW w:w="3076" w:type="pct"/>
            <w:vAlign w:val="center"/>
          </w:tcPr>
          <w:p>
            <w:pPr>
              <w:rPr>
                <w:rFonts w:ascii="Times New Roman" w:hAnsi="Times New Roman"/>
                <w:szCs w:val="22"/>
              </w:rPr>
            </w:pPr>
            <w:r>
              <w:rPr>
                <w:rFonts w:ascii="Times New Roman" w:hAnsi="Times New Roman"/>
                <w:b/>
                <w:szCs w:val="22"/>
              </w:rPr>
              <w:t>Wymagane minimalne</w:t>
            </w:r>
          </w:p>
        </w:tc>
        <w:tc>
          <w:tcPr>
            <w:tcW w:w="1049" w:type="pct"/>
          </w:tcPr>
          <w:p>
            <w:pPr>
              <w:rPr>
                <w:rFonts w:ascii="Times New Roman" w:hAnsi="Times New Roman"/>
                <w:b/>
                <w:szCs w:val="22"/>
              </w:rPr>
            </w:pPr>
            <w:r>
              <w:rPr>
                <w:rFonts w:ascii="Times New Roman" w:hAnsi="Times New Roman"/>
                <w:b/>
                <w:szCs w:val="22"/>
              </w:rPr>
              <w:t>Parametry i Spełnienie wymagań.</w:t>
            </w:r>
          </w:p>
          <w:p>
            <w:pPr>
              <w:rPr>
                <w:rFonts w:ascii="Times New Roman" w:hAnsi="Times New Roman"/>
                <w:b/>
                <w:szCs w:val="22"/>
              </w:rPr>
            </w:pPr>
          </w:p>
          <w:p>
            <w:pPr>
              <w:contextualSpacing/>
              <w:rPr>
                <w:rFonts w:cs="Calibri"/>
                <w:b/>
                <w:bCs/>
              </w:rPr>
            </w:pPr>
            <w:r>
              <w:rPr>
                <w:rFonts w:cs="Calibri"/>
                <w:b/>
                <w:bCs/>
              </w:rPr>
              <w:t>Spełnia /nie spełnia</w:t>
            </w:r>
          </w:p>
          <w:p>
            <w:pPr>
              <w:rPr>
                <w:rFonts w:ascii="Times New Roman" w:hAnsi="Times New Roman"/>
                <w:szCs w:val="22"/>
              </w:rPr>
            </w:pPr>
            <w:r>
              <w:rPr>
                <w:rFonts w:cs="Calibri"/>
                <w:b/>
                <w:bCs/>
                <w:color w:val="FF0000"/>
                <w:sz w:val="16"/>
                <w:szCs w:val="16"/>
              </w:rPr>
              <w:t>(wypełnia Wykonawca)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388"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ilość</w:t>
            </w:r>
          </w:p>
        </w:tc>
        <w:tc>
          <w:tcPr>
            <w:tcW w:w="3076" w:type="pct"/>
          </w:tcPr>
          <w:p>
            <w:pPr>
              <w:jc w:val="both"/>
              <w:outlineLvl w:val="0"/>
              <w:rPr>
                <w:rFonts w:ascii="Verdana" w:hAnsi="Verdana" w:cs="Arial"/>
                <w:szCs w:val="22"/>
              </w:rPr>
            </w:pPr>
            <w:r>
              <w:rPr>
                <w:rFonts w:ascii="Verdana" w:hAnsi="Verdana" w:cs="Arial"/>
              </w:rPr>
              <w:t>1</w:t>
            </w:r>
          </w:p>
        </w:tc>
        <w:tc>
          <w:tcPr>
            <w:tcW w:w="1049" w:type="pct"/>
          </w:tcPr>
          <w:p>
            <w:pPr>
              <w:spacing w:line="360" w:lineRule="auto"/>
              <w:outlineLvl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436"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Obudowa</w:t>
            </w:r>
          </w:p>
        </w:tc>
        <w:tc>
          <w:tcPr>
            <w:tcW w:w="3076" w:type="pct"/>
          </w:tcPr>
          <w:p>
            <w:pPr>
              <w:jc w:val="both"/>
              <w:outlineLvl w:val="0"/>
              <w:rPr>
                <w:rFonts w:ascii="Verdana" w:hAnsi="Verdana"/>
                <w:color w:val="000000"/>
                <w:sz w:val="20"/>
              </w:rPr>
            </w:pPr>
            <w:r>
              <w:rPr>
                <w:rFonts w:ascii="Verdana" w:hAnsi="Verdana"/>
                <w:color w:val="000000"/>
                <w:sz w:val="20"/>
              </w:rPr>
              <w:t>Obudowa: Maksymalna wysokość 2U. Minimalna ilość zatok hot-plug 3.5": 12.</w:t>
            </w:r>
          </w:p>
          <w:p>
            <w:pPr>
              <w:jc w:val="both"/>
              <w:outlineLvl w:val="0"/>
              <w:rPr>
                <w:rFonts w:ascii="Verdana" w:hAnsi="Verdana" w:cs="Arial"/>
                <w:sz w:val="20"/>
              </w:rPr>
            </w:pPr>
          </w:p>
        </w:tc>
        <w:tc>
          <w:tcPr>
            <w:tcW w:w="1049" w:type="pct"/>
          </w:tcPr>
          <w:p>
            <w:pPr>
              <w:autoSpaceDE w:val="0"/>
              <w:autoSpaceDN w:val="0"/>
              <w:adjustRightInd w:val="0"/>
              <w:jc w:val="center"/>
              <w:rPr>
                <w:rFonts w:ascii="Times New Roman" w:hAnsi="Times New Roman"/>
                <w:szCs w:val="22"/>
              </w:rPr>
            </w:pPr>
          </w:p>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Płyta główna</w:t>
            </w:r>
          </w:p>
        </w:tc>
        <w:tc>
          <w:tcPr>
            <w:tcW w:w="3076" w:type="pct"/>
            <w:tcBorders>
              <w:top w:val="nil"/>
              <w:left w:val="nil"/>
              <w:bottom w:val="single" w:color="auto" w:sz="8" w:space="0"/>
              <w:right w:val="single" w:color="auto" w:sz="8" w:space="0"/>
            </w:tcBorders>
            <w:shd w:val="clear" w:color="auto" w:fill="auto"/>
          </w:tcPr>
          <w:p>
            <w:pPr>
              <w:autoSpaceDE w:val="0"/>
              <w:autoSpaceDN w:val="0"/>
              <w:adjustRightInd w:val="0"/>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Klasy serwerowej, z naniesionym fabrycznie logo producenta serwera.</w:t>
            </w:r>
          </w:p>
          <w:p>
            <w:pPr>
              <w:autoSpaceDE w:val="0"/>
              <w:autoSpaceDN w:val="0"/>
              <w:adjustRightInd w:val="0"/>
              <w:jc w:val="both"/>
              <w:rPr>
                <w:rFonts w:ascii="Verdana" w:hAnsi="Verdana" w:cs="Arial"/>
                <w:sz w:val="20"/>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547"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Procesor (CPU)</w:t>
            </w:r>
          </w:p>
        </w:tc>
        <w:tc>
          <w:tcPr>
            <w:tcW w:w="3076" w:type="pct"/>
          </w:tcPr>
          <w:tbl>
            <w:tblPr>
              <w:tblStyle w:val="3"/>
              <w:tblW w:w="10468" w:type="dxa"/>
              <w:tblInd w:w="0" w:type="dxa"/>
              <w:tblLayout w:type="fixed"/>
              <w:tblCellMar>
                <w:top w:w="0" w:type="dxa"/>
                <w:left w:w="70" w:type="dxa"/>
                <w:bottom w:w="0" w:type="dxa"/>
                <w:right w:w="70" w:type="dxa"/>
              </w:tblCellMar>
            </w:tblPr>
            <w:tblGrid>
              <w:gridCol w:w="10468"/>
            </w:tblGrid>
            <w:tr>
              <w:trPr>
                <w:trHeight w:val="80" w:hRule="atLeast"/>
              </w:trPr>
              <w:tc>
                <w:tcPr>
                  <w:tcW w:w="10468" w:type="dxa"/>
                  <w:tcBorders>
                    <w:top w:val="nil"/>
                    <w:left w:val="nil"/>
                    <w:bottom w:val="nil"/>
                    <w:right w:val="single" w:color="auto" w:sz="8" w:space="0"/>
                  </w:tcBorders>
                  <w:shd w:val="clear" w:color="auto" w:fill="auto"/>
                </w:tcPr>
                <w:p>
                  <w:pPr>
                    <w:jc w:val="both"/>
                    <w:rPr>
                      <w:rFonts w:ascii="Verdana" w:hAnsi="Verdana"/>
                      <w:color w:val="000000" w:themeColor="text1"/>
                      <w:sz w:val="20"/>
                      <w14:textFill>
                        <w14:solidFill>
                          <w14:schemeClr w14:val="tx1"/>
                        </w14:solidFill>
                      </w14:textFill>
                    </w:rPr>
                  </w:pPr>
                </w:p>
              </w:tc>
            </w:tr>
          </w:tbl>
          <w:p>
            <w:pPr>
              <w:autoSpaceDE w:val="0"/>
              <w:autoSpaceDN w:val="0"/>
              <w:adjustRightInd w:val="0"/>
              <w:spacing w:line="360" w:lineRule="auto"/>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Serwer wyposażony w 1 procesor typu x86; min. 12 rdzeni, min. 2.10 GHz bazowej częstotliwości, ze wsparciem do 6 TB pamięci.</w:t>
            </w:r>
          </w:p>
          <w:p>
            <w:pPr>
              <w:autoSpaceDE w:val="0"/>
              <w:autoSpaceDN w:val="0"/>
              <w:adjustRightInd w:val="0"/>
              <w:spacing w:line="360" w:lineRule="auto"/>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Procesor ze wsparciem dla 8 kanałów pamięci typu DDR4-</w:t>
            </w:r>
            <w:r>
              <w:rPr>
                <w:rFonts w:ascii="Verdana" w:hAnsi="Verdana"/>
                <w:color w:val="262626"/>
                <w:sz w:val="20"/>
                <w:shd w:val="clear" w:color="auto" w:fill="FFFFFF"/>
              </w:rPr>
              <w:t>2667MHz</w:t>
            </w:r>
          </w:p>
          <w:p>
            <w:pPr>
              <w:autoSpaceDE w:val="0"/>
              <w:autoSpaceDN w:val="0"/>
              <w:adjustRightInd w:val="0"/>
              <w:spacing w:line="360" w:lineRule="auto"/>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Wsparcie dla technologii PCIExpress 4.0</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Osiągający w oferowanym modelu serwera dla konfiguracji 2-procesorowej wynik (potwierdzony publikacją na stronie spec.org w terminie nie późniejszym niż dzień składania oferty) w testach: min. 170 punktów w teście SPECrate®2017_int_base organizacji Standard Performance Evaluation Corporation (</w:t>
            </w:r>
            <w:r>
              <w:fldChar w:fldCharType="begin"/>
            </w:r>
            <w:r>
              <w:instrText xml:space="preserve"> HYPERLINK "http://www.spec.org" </w:instrText>
            </w:r>
            <w:r>
              <w:fldChar w:fldCharType="separate"/>
            </w:r>
            <w:r>
              <w:rPr>
                <w:rStyle w:val="11"/>
                <w:rFonts w:ascii="Verdana" w:hAnsi="Verdana"/>
                <w:color w:val="000000" w:themeColor="text1"/>
                <w:sz w:val="20"/>
                <w14:textFill>
                  <w14:solidFill>
                    <w14:schemeClr w14:val="tx1"/>
                  </w14:solidFill>
                </w14:textFill>
              </w:rPr>
              <w:t>www.spec.org</w:t>
            </w:r>
            <w:r>
              <w:rPr>
                <w:rStyle w:val="11"/>
                <w:rFonts w:ascii="Verdana" w:hAnsi="Verdana"/>
                <w:color w:val="000000" w:themeColor="text1"/>
                <w:sz w:val="20"/>
                <w14:textFill>
                  <w14:solidFill>
                    <w14:schemeClr w14:val="tx1"/>
                  </w14:solidFill>
                </w14:textFill>
              </w:rPr>
              <w:fldChar w:fldCharType="end"/>
            </w:r>
            <w:r>
              <w:rPr>
                <w:rFonts w:ascii="Verdana" w:hAnsi="Verdana"/>
                <w:color w:val="000000" w:themeColor="text1"/>
                <w:sz w:val="20"/>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Verdana" w:hAnsi="Verdana"/>
                <w:color w:val="auto"/>
                <w:sz w:val="20"/>
              </w:rPr>
            </w:pPr>
            <w:r>
              <w:rPr>
                <w:rFonts w:ascii="Verdana" w:hAnsi="Verdana"/>
                <w:color w:val="auto"/>
                <w:sz w:val="20"/>
              </w:rPr>
              <w:t>Zamawiający żąda przedłożenia dokumentu potwierdzającego spełnienie dla procesora dedykowanego do pracy z zaoferowanym serwerem żądanej przez Zamawiającego wydajności w ramach przedmiotowych środków dowodowych (należy załączyć do oferty).</w:t>
            </w:r>
          </w:p>
          <w:p>
            <w:pPr>
              <w:autoSpaceDE w:val="0"/>
              <w:autoSpaceDN w:val="0"/>
              <w:adjustRightInd w:val="0"/>
              <w:spacing w:line="360" w:lineRule="auto"/>
              <w:jc w:val="both"/>
              <w:rPr>
                <w:rFonts w:ascii="Verdana" w:hAnsi="Verdana" w:cs="Arial"/>
                <w:sz w:val="20"/>
                <w:highlight w:val="yellow"/>
              </w:rPr>
            </w:pPr>
          </w:p>
        </w:tc>
        <w:tc>
          <w:tcPr>
            <w:tcW w:w="1049" w:type="pct"/>
          </w:tcPr>
          <w:p>
            <w:pPr>
              <w:autoSpaceDE w:val="0"/>
              <w:autoSpaceDN w:val="0"/>
              <w:adjustRightInd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s="Arial"/>
                <w:bCs/>
                <w:sz w:val="20"/>
              </w:rPr>
              <w:t>Pamięć RAM</w:t>
            </w:r>
          </w:p>
        </w:tc>
        <w:tc>
          <w:tcPr>
            <w:tcW w:w="3076" w:type="pct"/>
          </w:tcPr>
          <w:p>
            <w:pPr>
              <w:autoSpaceDE w:val="0"/>
              <w:autoSpaceDN w:val="0"/>
              <w:adjustRightInd w:val="0"/>
              <w:spacing w:line="360" w:lineRule="auto"/>
              <w:jc w:val="both"/>
              <w:rPr>
                <w:rFonts w:ascii="Verdana" w:hAnsi="Verdana"/>
                <w:color w:val="000000"/>
                <w:sz w:val="20"/>
              </w:rPr>
            </w:pPr>
            <w:r>
              <w:rPr>
                <w:rFonts w:ascii="Verdana" w:hAnsi="Verdana"/>
                <w:color w:val="000000"/>
                <w:sz w:val="20"/>
              </w:rPr>
              <w:t>Minimum 32 sloty na pamięć RAM na płycie głównej. Minimum 32 GB zainstalowanej pamięci RAM z użyciem kości pamięci o maksymalnej pojemności 16GB.</w:t>
            </w:r>
          </w:p>
          <w:p>
            <w:pPr>
              <w:autoSpaceDE w:val="0"/>
              <w:autoSpaceDN w:val="0"/>
              <w:adjustRightInd w:val="0"/>
              <w:spacing w:line="360" w:lineRule="auto"/>
              <w:jc w:val="both"/>
              <w:rPr>
                <w:rFonts w:ascii="Verdana" w:hAnsi="Verdana"/>
                <w:color w:val="000000"/>
                <w:sz w:val="20"/>
                <w:lang w:val="en-US"/>
              </w:rPr>
            </w:pPr>
            <w:r>
              <w:rPr>
                <w:rFonts w:ascii="Verdana" w:hAnsi="Verdana"/>
                <w:color w:val="000000"/>
                <w:sz w:val="20"/>
                <w:lang w:val="en-US"/>
              </w:rPr>
              <w:t>Wspierane technologie korekcji i protekcji pamięci: ECC, Memory Demand and Patrol Scrubbing; Failed DIMM Isolation.</w:t>
            </w:r>
          </w:p>
          <w:p>
            <w:pPr>
              <w:autoSpaceDE w:val="0"/>
              <w:autoSpaceDN w:val="0"/>
              <w:adjustRightInd w:val="0"/>
              <w:jc w:val="both"/>
              <w:rPr>
                <w:rFonts w:ascii="Verdana" w:hAnsi="Verdana" w:cs="Arial"/>
                <w:sz w:val="20"/>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bCs/>
                <w:sz w:val="20"/>
              </w:rPr>
            </w:pPr>
            <w:r>
              <w:rPr>
                <w:rFonts w:ascii="Verdana" w:hAnsi="Verdana"/>
                <w:color w:val="000000"/>
                <w:sz w:val="20"/>
              </w:rPr>
              <w:t>Sloty</w:t>
            </w:r>
            <w:r>
              <w:rPr>
                <w:rFonts w:ascii="Times New Roman" w:hAnsi="Times New Roman"/>
                <w:color w:val="000000"/>
                <w:sz w:val="20"/>
              </w:rPr>
              <w:t xml:space="preserve"> PCIE</w:t>
            </w:r>
          </w:p>
        </w:tc>
        <w:tc>
          <w:tcPr>
            <w:tcW w:w="3076" w:type="pct"/>
          </w:tcPr>
          <w:p>
            <w:pPr>
              <w:autoSpaceDE w:val="0"/>
              <w:autoSpaceDN w:val="0"/>
              <w:adjustRightInd w:val="0"/>
              <w:spacing w:line="360" w:lineRule="auto"/>
              <w:rPr>
                <w:rFonts w:ascii="Verdana" w:hAnsi="Verdana"/>
                <w:color w:val="000000"/>
                <w:sz w:val="20"/>
              </w:rPr>
            </w:pPr>
            <w:r>
              <w:rPr>
                <w:rFonts w:ascii="Verdana" w:hAnsi="Verdana"/>
                <w:color w:val="000000"/>
                <w:sz w:val="20"/>
              </w:rPr>
              <w:t>Co najmniej 8 aktywnych slotów PCIE generacji 4-tej, z czego min. cztery o przepustowości x16 (ilości określone dla konfiguracji 2-procesorowej)</w:t>
            </w:r>
          </w:p>
          <w:p>
            <w:pPr>
              <w:autoSpaceDE w:val="0"/>
              <w:autoSpaceDN w:val="0"/>
              <w:adjustRightInd w:val="0"/>
              <w:rPr>
                <w:rFonts w:ascii="Verdana" w:hAnsi="Verdana" w:cs="Arial"/>
                <w:sz w:val="20"/>
              </w:rPr>
            </w:pPr>
          </w:p>
        </w:tc>
        <w:tc>
          <w:tcPr>
            <w:tcW w:w="1049" w:type="pct"/>
          </w:tcPr>
          <w:p>
            <w:pPr>
              <w:autoSpaceDE w:val="0"/>
              <w:autoSpaceDN w:val="0"/>
              <w:adjustRightInd w:val="0"/>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Przestrzeń dyskowa</w:t>
            </w:r>
          </w:p>
        </w:tc>
        <w:tc>
          <w:tcPr>
            <w:tcW w:w="3076" w:type="pct"/>
          </w:tcPr>
          <w:p>
            <w:pPr>
              <w:spacing w:line="360" w:lineRule="auto"/>
              <w:jc w:val="both"/>
              <w:rPr>
                <w:rFonts w:ascii="Verdana" w:hAnsi="Verdana"/>
                <w:color w:val="000000"/>
                <w:sz w:val="20"/>
              </w:rPr>
            </w:pPr>
            <w:r>
              <w:rPr>
                <w:rFonts w:ascii="Verdana" w:hAnsi="Verdana"/>
                <w:color w:val="000000"/>
                <w:sz w:val="20"/>
              </w:rPr>
              <w:t>Zainstalowane 2 dyski SATA SSD w formacie/rozmiarze M.2 lub 2.5 cala, klasy enterprise/serwerowej, o pojemności minimum 240GB każdy, skonfigurowane w RAID1 za pomocą sprzętowego kontrolera w celu bezpiecznego bootowania systemu operacyjnego.</w:t>
            </w:r>
          </w:p>
          <w:p>
            <w:pPr>
              <w:spacing w:line="360" w:lineRule="auto"/>
              <w:jc w:val="both"/>
              <w:rPr>
                <w:rFonts w:ascii="Verdana" w:hAnsi="Verdana"/>
                <w:color w:val="000000"/>
                <w:sz w:val="20"/>
              </w:rPr>
            </w:pPr>
            <w:r>
              <w:rPr>
                <w:rFonts w:ascii="Verdana" w:hAnsi="Verdana"/>
                <w:color w:val="000000"/>
                <w:sz w:val="20"/>
              </w:rPr>
              <w:t>Zainstalowane 8 dysków SATA HDD w formacie/rozmiarze 3.5 cala, klasy enterprise/serwerowej, o pojemności minimum 8000GB każdy, skonfigurowane w RAID6 za pomocą sprzętowego kontrolera z min 2GB cache i podtrzymaniem tejże pamięci.</w:t>
            </w:r>
          </w:p>
          <w:p>
            <w:pPr>
              <w:spacing w:line="360" w:lineRule="auto"/>
              <w:jc w:val="both"/>
              <w:rPr>
                <w:rFonts w:ascii="Verdana" w:hAnsi="Verdana"/>
                <w:color w:val="000000"/>
                <w:sz w:val="20"/>
              </w:rPr>
            </w:pPr>
            <w:r>
              <w:rPr>
                <w:rFonts w:ascii="Verdana" w:hAnsi="Verdana"/>
                <w:color w:val="000000"/>
                <w:sz w:val="20"/>
              </w:rPr>
              <w:t>Możliwość rozbudowy o dodatkowe minimum 2 dyski 3.5” SATA/SAS bez konieczności dokładania innych elementów serwera niż same dyski twarde.</w:t>
            </w:r>
          </w:p>
          <w:p>
            <w:pPr>
              <w:spacing w:line="360" w:lineRule="auto"/>
              <w:jc w:val="both"/>
              <w:rPr>
                <w:rFonts w:ascii="Verdana" w:hAnsi="Verdana"/>
                <w:color w:val="000000"/>
                <w:sz w:val="20"/>
              </w:rPr>
            </w:pPr>
            <w:r>
              <w:rPr>
                <w:rFonts w:ascii="Verdana" w:hAnsi="Verdana"/>
                <w:color w:val="000000"/>
                <w:sz w:val="20"/>
              </w:rPr>
              <w:t>Łącznie dla wszystkich dysków jeden kontroler sprzętowy RAID wspierający poziomy RAID minimum 0/1/5/6, posiadający minimum 2GB nieulotnej pamięci cache z podtrzymaniem na wypadek zaniku zasilania.</w:t>
            </w:r>
          </w:p>
          <w:p>
            <w:pPr>
              <w:jc w:val="both"/>
              <w:rPr>
                <w:rFonts w:ascii="Verdana" w:hAnsi="Verdana" w:cs="Arial"/>
                <w:sz w:val="20"/>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Karty sieciowe LAN</w:t>
            </w:r>
          </w:p>
        </w:tc>
        <w:tc>
          <w:tcPr>
            <w:tcW w:w="3076" w:type="pct"/>
          </w:tcPr>
          <w:p>
            <w:pPr>
              <w:spacing w:line="360" w:lineRule="auto"/>
              <w:jc w:val="both"/>
              <w:rPr>
                <w:rFonts w:ascii="Verdana" w:hAnsi="Verdana"/>
                <w:color w:val="000000"/>
                <w:sz w:val="20"/>
              </w:rPr>
            </w:pPr>
            <w:r>
              <w:rPr>
                <w:rFonts w:ascii="Verdana" w:hAnsi="Verdana"/>
                <w:color w:val="000000"/>
                <w:sz w:val="20"/>
              </w:rPr>
              <w:t>Minimum 1 karta sieciowa, udostępniająca minimum 4 porty 1GbEthernet Base-T.</w:t>
            </w:r>
          </w:p>
          <w:p>
            <w:pPr>
              <w:spacing w:line="360" w:lineRule="auto"/>
              <w:jc w:val="both"/>
              <w:rPr>
                <w:rFonts w:ascii="Verdana" w:hAnsi="Verdana"/>
                <w:color w:val="000000"/>
                <w:sz w:val="20"/>
              </w:rPr>
            </w:pPr>
            <w:r>
              <w:rPr>
                <w:rFonts w:ascii="Verdana" w:hAnsi="Verdana"/>
                <w:color w:val="000000"/>
                <w:sz w:val="20"/>
              </w:rPr>
              <w:t>Minimum 1 zintegrowana (wbudowana w płytę, typu LOM; lub w dedykowanym slocie OCP 3.0) karta sieciowa niezajmująca żadnego z ww. 8 slotów PCIE, udostępniająca minimum 2 porty 10GbEthernet LC SFP+.</w:t>
            </w:r>
          </w:p>
          <w:p>
            <w:pPr>
              <w:jc w:val="both"/>
              <w:rPr>
                <w:rFonts w:ascii="Verdana" w:hAnsi="Verdana" w:cs="Arial"/>
                <w:sz w:val="20"/>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Port obudowy</w:t>
            </w:r>
          </w:p>
        </w:tc>
        <w:tc>
          <w:tcPr>
            <w:tcW w:w="3076" w:type="pct"/>
          </w:tcPr>
          <w:p>
            <w:pPr>
              <w:spacing w:line="360" w:lineRule="auto"/>
              <w:jc w:val="both"/>
              <w:rPr>
                <w:rFonts w:ascii="Verdana" w:hAnsi="Verdana"/>
                <w:color w:val="000000"/>
                <w:sz w:val="20"/>
              </w:rPr>
            </w:pPr>
            <w:r>
              <w:rPr>
                <w:rFonts w:ascii="Verdana" w:hAnsi="Verdana"/>
                <w:color w:val="000000"/>
                <w:sz w:val="20"/>
              </w:rPr>
              <w:t>Co najmniej 2 porty USB (z których min. 1 to USB 3.0) dostępne na przodzie obudowy serwera.</w:t>
            </w:r>
          </w:p>
          <w:p>
            <w:pPr>
              <w:spacing w:line="360" w:lineRule="auto"/>
              <w:jc w:val="both"/>
              <w:rPr>
                <w:rFonts w:ascii="Verdana" w:hAnsi="Verdana"/>
                <w:color w:val="000000"/>
                <w:sz w:val="20"/>
              </w:rPr>
            </w:pPr>
            <w:r>
              <w:rPr>
                <w:rFonts w:ascii="Verdana" w:hAnsi="Verdana"/>
                <w:color w:val="000000"/>
                <w:sz w:val="20"/>
              </w:rPr>
              <w:t>Co najmniej 2 porty USB 3.0 dostępne na tyle obudowy serwera.</w:t>
            </w:r>
          </w:p>
          <w:p>
            <w:pPr>
              <w:spacing w:line="360" w:lineRule="auto"/>
              <w:jc w:val="both"/>
              <w:rPr>
                <w:rFonts w:ascii="Verdana" w:hAnsi="Verdana"/>
                <w:color w:val="000000"/>
                <w:sz w:val="20"/>
              </w:rPr>
            </w:pPr>
            <w:r>
              <w:rPr>
                <w:rFonts w:ascii="Verdana" w:hAnsi="Verdana"/>
                <w:color w:val="000000"/>
                <w:sz w:val="20"/>
              </w:rPr>
              <w:t>2 porty (jeden na tyle, drugi na przodzie obudowy serwera) VGA.</w:t>
            </w:r>
          </w:p>
          <w:p>
            <w:pPr>
              <w:spacing w:line="360" w:lineRule="auto"/>
              <w:jc w:val="both"/>
              <w:rPr>
                <w:rFonts w:ascii="Verdana" w:hAnsi="Verdana"/>
                <w:color w:val="000000"/>
                <w:sz w:val="20"/>
              </w:rPr>
            </w:pPr>
            <w:r>
              <w:rPr>
                <w:rFonts w:ascii="Verdana" w:hAnsi="Verdana"/>
                <w:color w:val="000000"/>
                <w:sz w:val="20"/>
              </w:rPr>
              <w:t>Wymienione porty nie mogą zostać osiągnięte poprzez stosowanie dodatkowych przedłużaczy, rozgałęziaczy, adapterów, czy hub-ów</w:t>
            </w:r>
          </w:p>
          <w:p>
            <w:pPr>
              <w:jc w:val="both"/>
              <w:rPr>
                <w:rFonts w:ascii="Verdana" w:hAnsi="Verdana"/>
                <w:color w:val="000000"/>
                <w:sz w:val="20"/>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6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Zarządzanie</w:t>
            </w:r>
          </w:p>
        </w:tc>
        <w:tc>
          <w:tcPr>
            <w:tcW w:w="3076" w:type="pct"/>
          </w:tcPr>
          <w:tbl>
            <w:tblPr>
              <w:tblStyle w:val="3"/>
              <w:tblW w:w="10468" w:type="dxa"/>
              <w:tblInd w:w="0" w:type="dxa"/>
              <w:tblLayout w:type="fixed"/>
              <w:tblCellMar>
                <w:top w:w="0" w:type="dxa"/>
                <w:left w:w="70" w:type="dxa"/>
                <w:bottom w:w="0" w:type="dxa"/>
                <w:right w:w="70" w:type="dxa"/>
              </w:tblCellMar>
            </w:tblPr>
            <w:tblGrid>
              <w:gridCol w:w="10468"/>
            </w:tblGrid>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Dedykowany port zarządzający 1000 Mbps RJ45 dostępny na tyle obudowy serwera.</w:t>
                  </w:r>
                </w:p>
              </w:tc>
            </w:tr>
            <w:tr>
              <w:tblPrEx>
                <w:tblCellMar>
                  <w:top w:w="0" w:type="dxa"/>
                  <w:left w:w="70" w:type="dxa"/>
                  <w:bottom w:w="0" w:type="dxa"/>
                  <w:right w:w="70" w:type="dxa"/>
                </w:tblCellMar>
              </w:tblPrEx>
              <w:trPr>
                <w:trHeight w:val="56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Zintegrowana z płytą główną serwera, niezależna od systemu operacyjnego karta BMC służąca do zdalnego zarządzania serwerem, pozwalająca na:</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zdalną konsolę KVM opartą na HTML5/Java</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Web GUI</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monitoring statusu i stanu zdrowia systemu</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logowanie zdarzeń</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update systemowego firmware-u</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zdalną konfigurację serwera</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monitoring poboru prądu</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zdalne włączanie, wyłączanie, restart</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spacing w:line="360" w:lineRule="auto"/>
                    <w:rPr>
                      <w:rFonts w:ascii="Verdana" w:hAnsi="Verdana"/>
                      <w:color w:val="000000"/>
                      <w:sz w:val="20"/>
                    </w:rPr>
                  </w:pPr>
                  <w:r>
                    <w:rPr>
                      <w:rFonts w:ascii="Verdana" w:hAnsi="Verdana"/>
                      <w:color w:val="000000"/>
                      <w:sz w:val="20"/>
                    </w:rPr>
                    <w:t>- przejęcie zdalnego ekranu</w:t>
                  </w:r>
                </w:p>
                <w:p>
                  <w:pPr>
                    <w:spacing w:line="360" w:lineRule="auto"/>
                    <w:rPr>
                      <w:rFonts w:ascii="Verdana" w:hAnsi="Verdana"/>
                      <w:color w:val="000000"/>
                      <w:sz w:val="20"/>
                    </w:rPr>
                  </w:pPr>
                  <w:r>
                    <w:rPr>
                      <w:rFonts w:ascii="Verdana" w:hAnsi="Verdana"/>
                      <w:color w:val="000000"/>
                      <w:sz w:val="20"/>
                    </w:rPr>
                    <w:t>- zdalną instalację systemu operacyjnego</w:t>
                  </w:r>
                </w:p>
                <w:p>
                  <w:pPr>
                    <w:rPr>
                      <w:rFonts w:ascii="Verdana" w:hAnsi="Verdana"/>
                      <w:color w:val="000000"/>
                      <w:sz w:val="20"/>
                    </w:rPr>
                  </w:pPr>
                </w:p>
              </w:tc>
            </w:tr>
          </w:tbl>
          <w:p>
            <w:pPr>
              <w:jc w:val="both"/>
              <w:rPr>
                <w:rFonts w:ascii="Verdana" w:hAnsi="Verdana" w:cs="Arial"/>
                <w:sz w:val="20"/>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olor w:val="000000"/>
                <w:sz w:val="20"/>
              </w:rPr>
              <w:t>Wspierane protokoły/interfejsy</w:t>
            </w:r>
          </w:p>
        </w:tc>
        <w:tc>
          <w:tcPr>
            <w:tcW w:w="3076" w:type="pct"/>
          </w:tcPr>
          <w:p>
            <w:pPr>
              <w:jc w:val="both"/>
              <w:rPr>
                <w:rFonts w:ascii="Verdana" w:hAnsi="Verdana"/>
                <w:color w:val="000000"/>
                <w:sz w:val="20"/>
                <w:lang w:val="en-US"/>
              </w:rPr>
            </w:pPr>
            <w:r>
              <w:rPr>
                <w:rFonts w:ascii="Verdana" w:hAnsi="Verdana"/>
                <w:color w:val="000000"/>
                <w:sz w:val="20"/>
                <w:lang w:val="en-US"/>
              </w:rPr>
              <w:t>Minimum IPMI 2.0, SNMP v3, REST API, RESTful, Redfish 1.8</w:t>
            </w:r>
          </w:p>
          <w:p>
            <w:pPr>
              <w:jc w:val="both"/>
              <w:rPr>
                <w:rFonts w:ascii="Verdana" w:hAnsi="Verdana" w:cs="Arial"/>
                <w:sz w:val="20"/>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olor w:val="000000"/>
                <w:sz w:val="20"/>
              </w:rPr>
            </w:pPr>
            <w:r>
              <w:rPr>
                <w:rFonts w:ascii="Verdana" w:hAnsi="Verdana"/>
                <w:color w:val="FF0000"/>
                <w:sz w:val="20"/>
              </w:rPr>
              <w:t>Certyfikacje kompatybilności</w:t>
            </w:r>
          </w:p>
        </w:tc>
        <w:tc>
          <w:tcPr>
            <w:tcW w:w="3076" w:type="pct"/>
          </w:tcPr>
          <w:p>
            <w:pPr>
              <w:jc w:val="both"/>
              <w:rPr>
                <w:rFonts w:ascii="Verdana" w:hAnsi="Verdana"/>
                <w:color w:val="FF0000"/>
                <w:sz w:val="20"/>
              </w:rPr>
            </w:pPr>
            <w:r>
              <w:rPr>
                <w:rFonts w:ascii="Verdana" w:hAnsi="Verdana"/>
                <w:color w:val="FF0000"/>
                <w:sz w:val="20"/>
              </w:rPr>
              <w:t>Oferowany model serwera musi znajdować się na stronie </w:t>
            </w:r>
            <w:r>
              <w:fldChar w:fldCharType="begin"/>
            </w:r>
            <w:r>
              <w:instrText xml:space="preserve"> HYPERLINK "https://www.windowsservercatalog.com/" </w:instrText>
            </w:r>
            <w:r>
              <w:fldChar w:fldCharType="separate"/>
            </w:r>
            <w:r>
              <w:rPr>
                <w:rFonts w:ascii="Verdana" w:hAnsi="Verdana"/>
                <w:color w:val="FF0000"/>
                <w:sz w:val="20"/>
                <w:u w:val="single"/>
              </w:rPr>
              <w:t>https://www.windowsservercatalog.com/</w:t>
            </w:r>
            <w:r>
              <w:rPr>
                <w:rFonts w:ascii="Verdana" w:hAnsi="Verdana"/>
                <w:color w:val="FF0000"/>
                <w:sz w:val="20"/>
                <w:u w:val="single"/>
              </w:rPr>
              <w:fldChar w:fldCharType="end"/>
            </w:r>
            <w:r>
              <w:rPr>
                <w:rFonts w:ascii="Verdana" w:hAnsi="Verdana"/>
                <w:color w:val="FF0000"/>
                <w:sz w:val="20"/>
              </w:rPr>
              <w:t> (potwierdzającej kompatybilność z Windows Server) ze statusem Certified dla wersji Windows Server 2016, 2019 i 2022.</w:t>
            </w:r>
          </w:p>
          <w:p>
            <w:pPr>
              <w:jc w:val="both"/>
              <w:rPr>
                <w:rFonts w:ascii="Verdana" w:hAnsi="Verdana"/>
                <w:color w:val="FF0000"/>
                <w:sz w:val="20"/>
              </w:rPr>
            </w:pPr>
            <w:r>
              <w:rPr>
                <w:rFonts w:ascii="Verdana" w:hAnsi="Verdana"/>
                <w:color w:val="FF0000"/>
                <w:sz w:val="20"/>
              </w:rPr>
              <w:t>Oferowany model serwera musi znajdować się na stronie </w:t>
            </w:r>
            <w:r>
              <w:fldChar w:fldCharType="begin"/>
            </w:r>
            <w:r>
              <w:instrText xml:space="preserve"> HYPERLINK "https://www.vmware.com/resources/compatibility/search.php" </w:instrText>
            </w:r>
            <w:r>
              <w:fldChar w:fldCharType="separate"/>
            </w:r>
            <w:r>
              <w:rPr>
                <w:rFonts w:ascii="Verdana" w:hAnsi="Verdana"/>
                <w:color w:val="FF0000"/>
                <w:sz w:val="20"/>
                <w:u w:val="single"/>
              </w:rPr>
              <w:t>https://www.vmware.com/resources/compatibility/search.php</w:t>
            </w:r>
            <w:r>
              <w:rPr>
                <w:rFonts w:ascii="Verdana" w:hAnsi="Verdana"/>
                <w:color w:val="FF0000"/>
                <w:sz w:val="20"/>
                <w:u w:val="single"/>
              </w:rPr>
              <w:fldChar w:fldCharType="end"/>
            </w:r>
            <w:r>
              <w:rPr>
                <w:rFonts w:ascii="Verdana" w:hAnsi="Verdana"/>
                <w:color w:val="FF0000"/>
                <w:sz w:val="20"/>
              </w:rPr>
              <w:t> (potwierdzającej kompatybilność z ESXi) ze statusem Supported Releases 6.7 U3, 7.0 U3, oraz 8.0.</w:t>
            </w:r>
          </w:p>
          <w:p>
            <w:pPr>
              <w:jc w:val="both"/>
              <w:rPr>
                <w:rFonts w:ascii="Verdana" w:hAnsi="Verdana"/>
                <w:color w:val="000000"/>
                <w:sz w:val="20"/>
                <w:lang w:val="en-US"/>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Zasilanie</w:t>
            </w:r>
          </w:p>
        </w:tc>
        <w:tc>
          <w:tcPr>
            <w:tcW w:w="3076" w:type="pct"/>
          </w:tcPr>
          <w:p>
            <w:pPr>
              <w:jc w:val="both"/>
              <w:rPr>
                <w:rFonts w:ascii="Verdana" w:hAnsi="Verdana"/>
                <w:color w:val="000000"/>
                <w:sz w:val="20"/>
              </w:rPr>
            </w:pPr>
            <w:r>
              <w:rPr>
                <w:rFonts w:ascii="Verdana" w:hAnsi="Verdana"/>
                <w:color w:val="000000"/>
                <w:sz w:val="20"/>
              </w:rPr>
              <w:t>2 sztuki redundatnych zasilaczy PSU o mocy co najmniej 1300W każdy, klasy co najmniej 80+ Titanium.</w:t>
            </w:r>
          </w:p>
          <w:p>
            <w:pPr>
              <w:jc w:val="both"/>
              <w:rPr>
                <w:rFonts w:ascii="Verdana" w:hAnsi="Verdana"/>
                <w:color w:val="FF0000"/>
                <w:sz w:val="20"/>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Wentylatory</w:t>
            </w:r>
          </w:p>
        </w:tc>
        <w:tc>
          <w:tcPr>
            <w:tcW w:w="3076" w:type="pct"/>
          </w:tcPr>
          <w:p>
            <w:pPr>
              <w:jc w:val="both"/>
              <w:rPr>
                <w:rFonts w:ascii="Verdana" w:hAnsi="Verdana"/>
                <w:color w:val="000000"/>
                <w:sz w:val="20"/>
              </w:rPr>
            </w:pPr>
            <w:r>
              <w:rPr>
                <w:rFonts w:ascii="Verdana" w:hAnsi="Verdana"/>
                <w:color w:val="000000"/>
                <w:sz w:val="20"/>
              </w:rPr>
              <w:t>Hot-plug, redundantne</w:t>
            </w:r>
          </w:p>
          <w:p>
            <w:pPr>
              <w:jc w:val="both"/>
              <w:rPr>
                <w:rFonts w:ascii="Verdana" w:hAnsi="Verdana"/>
                <w:color w:val="FF0000"/>
                <w:sz w:val="20"/>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System operacyjny</w:t>
            </w:r>
          </w:p>
        </w:tc>
        <w:tc>
          <w:tcPr>
            <w:tcW w:w="3076" w:type="pct"/>
          </w:tcPr>
          <w:p>
            <w:pPr>
              <w:spacing w:after="120" w:line="276" w:lineRule="auto"/>
              <w:ind w:right="72"/>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Wykonawca jest zobowiązany do dostawy wraz z serwerem systemu operacyjnego umożliwiającego zarządzenie serwerem klasy Microsoft Windows Serwer Standard 2022 lub równoważnego zgodnie z poniżej określonymi warunkami równoważności.</w:t>
            </w:r>
          </w:p>
          <w:p>
            <w:pPr>
              <w:spacing w:before="240" w:after="120" w:line="276" w:lineRule="auto"/>
              <w:ind w:right="72"/>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Warunki równoważności dla dostawy oprogramowania klasy Microsoft Windows Serwer Standard 2022:</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Licencja musi uprawniać do uruchamiania serwerowego systemu operacyjnego w środowisku fizycznym i dwóch wirtualnych środowiskach serwerowego systemu operacyjnego za pomocą wbudowanych mechanizmów wirtualizacji.</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wykorzystania, co najmniej 120 logicznych procesorów oraz co najmniej 2 TB pamięci RAM w środowisku fizycznym.</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wykorzystywania 64 procesorów wirtualnych oraz 1TB pamięci RAM i dysku o pojemności min. 64TB przez każdy wirtualny serwerowy system operacyjny.</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migracji maszyn wirtualnych bez zatrzymywania ich pracy między fizycznymi serwerami z uruchomionym mechanizmem wirtualizacji (hypervisor) przez sieć Ethernet, bez konieczności stosowania dodatkowych mechanizmów współdzielenia pamięci.</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Wsparcie (na umożliwiającym to sprzęcie) dodawania i wymiany pamięci RAM bez przerywania pracy.</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Wsparcie (na umożliwiającym to sprzęcie) dodawania i wymiany procesorów bez przerywania pracy.</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Automatyczna weryfikacja cyfrowych sygnatur sterowników w celu sprawdzenia czy sterownik przeszedł testy jakości przeprowadzone przez producenta systemu operacyjnego.</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dynamicznego obniżania poboru energii przez rdzenie procesorów niewykorzystywane w bieżącej pracy.</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Mechanizm ten musi uwzględniać specyfikę procesorów wyposażonych w mechanizmy Hyper-Threading;</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Wbudowany mechanizm klasyfikowania i indeksowania plików (dokumentów) w oparciu o ich zawartość.</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Wbudowane szyfrowanie dysków przy pomocy mechanizmów posiadających certyfikat FIPS 140-2 lub równoważny wydany przez NIST lub inną agendę rządową zajmującą się bezpieczeństwem informacji.</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uruchamianie aplikacji internetowych wykorzystujących technologię ASP.NET.</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dystrybucji ruchu sieciowego HTTP pomiędzy kilka serwerów.</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Wbudowana zapora internetowa (firewall) z obsługą definiowanych reguł dla ochrony połączeń internetowych i intranetowych.</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Zlokalizowane w języku polskim, co najmniej następujące elementy: menu, przeglądarka internetowa, pomoc, komunikaty systemowe.</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zmiany języka interfejsu po zainstalowaniu systemu, dla co najmniej 2 języków poprzez wybór z listy dostępnych lokalizacji.</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Wsparcie dla większości powszechnie używanych urządzeń peryferyjnych (drukarek, urządzeń sieciowych, standardów USB, Plug&amp;Play).</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zdalnej konfiguracji, administrowania oraz aktualizowania systemu.</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Wsparcie dostępu do zasobu dyskowego SSO poprzez wiele ścieżek (Multipath).</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instalacji poprawek poprzez wgranie ich do obrazu instalacyjnego.</w:t>
            </w:r>
          </w:p>
          <w:p>
            <w:pPr>
              <w:pStyle w:val="14"/>
              <w:numPr>
                <w:ilvl w:val="1"/>
                <w:numId w:val="2"/>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14:textFill>
                  <w14:solidFill>
                    <w14:schemeClr w14:val="tx1"/>
                  </w14:solidFill>
                </w14:textFill>
              </w:rPr>
              <w:t>Mechanizmy zdalnej administracji oraz mechanizmy (również działające zdalnie) administracji przez skrypty</w:t>
            </w: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Certyfikaty, dokumenty</w:t>
            </w:r>
          </w:p>
        </w:tc>
        <w:tc>
          <w:tcPr>
            <w:tcW w:w="3076" w:type="pct"/>
          </w:tcPr>
          <w:p>
            <w:pPr>
              <w:spacing w:line="360" w:lineRule="auto"/>
              <w:jc w:val="both"/>
              <w:rPr>
                <w:rFonts w:ascii="Verdana" w:hAnsi="Verdana" w:cs="Arial"/>
                <w:sz w:val="20"/>
              </w:rPr>
            </w:pPr>
            <w:r>
              <w:rPr>
                <w:rFonts w:ascii="Verdana" w:hAnsi="Verdana"/>
                <w:color w:val="000000" w:themeColor="text1"/>
                <w:sz w:val="20"/>
                <w14:textFill>
                  <w14:solidFill>
                    <w14:schemeClr w14:val="tx1"/>
                  </w14:solidFill>
                </w14:textFill>
              </w:rPr>
              <w:t>Jakość produktu i sposobu jego wykonania: Certyfikat ISO 9001 lub inny równoważny dokument poświadczający, że producent serwera opracował, wdrożył i certyfikował system zarządzania jakością; Certyfikat ISO 50001 lub inny równoważny dokument poświadczający, że producent serwera posiada system zarządzania energią, zmniejszający zużycie energii, wpływy na środowisko i zwiększający rentowność; Deklaracja zgodności CE lub inny równoważny dokument poświadczający, ze oferowany serwer spełnia wszystkie zasadnicze wymagania zawarte w poszczególnych dyrektywach nowego podejścia przewidujących oznakowanie CE; Potwierdzenie spełnienia kryteriów środowiskowych, w tym zgodności z dyrektywą RoHS Unii Europejskiej o eliminacji substancji niebezpiecznych w postaci oświadczenia producenta serwera lub innego dokumentu potwierdzającego spełnienie kryteriów środowiskowych w tym zgodności z dyrektywą RoHS Unii Europejskiej o eliminacji substancji niebezpiecznych. Zamawiający żąda przedłożenia dokumentów potwierdzających spełnienie przez oferowany serwer i jego/ich producenta/producentów w zakresie określonym powyżej, w ramach przedmiotowych środków dowodowych (należy załączyć do oferty).</w:t>
            </w:r>
          </w:p>
          <w:p>
            <w:pPr>
              <w:rPr>
                <w:rFonts w:ascii="Verdana" w:hAnsi="Verdana" w:cs="Arial"/>
                <w:sz w:val="20"/>
              </w:rPr>
            </w:pPr>
          </w:p>
        </w:tc>
        <w:tc>
          <w:tcPr>
            <w:tcW w:w="1049" w:type="pct"/>
          </w:tcPr>
          <w:p>
            <w:pPr>
              <w:jc w:val="cente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193" w:type="pct"/>
          </w:tcPr>
          <w:p>
            <w:pPr>
              <w:numPr>
                <w:ilvl w:val="0"/>
                <w:numId w:val="1"/>
              </w:numPr>
              <w:rPr>
                <w:rFonts w:ascii="Verdana" w:hAnsi="Verdana" w:cs="Arial"/>
                <w:bCs/>
                <w:sz w:val="20"/>
              </w:rPr>
            </w:pPr>
          </w:p>
        </w:tc>
        <w:tc>
          <w:tcPr>
            <w:tcW w:w="680" w:type="pct"/>
          </w:tcPr>
          <w:p>
            <w:pPr>
              <w:rPr>
                <w:rFonts w:ascii="Verdana" w:hAnsi="Verdana" w:cs="Arial"/>
                <w:sz w:val="20"/>
              </w:rPr>
            </w:pPr>
            <w:r>
              <w:rPr>
                <w:rFonts w:ascii="Verdana" w:hAnsi="Verdana" w:cs="Arial"/>
                <w:sz w:val="20"/>
              </w:rPr>
              <w:t>Gwarancja</w:t>
            </w:r>
          </w:p>
        </w:tc>
        <w:tc>
          <w:tcPr>
            <w:tcW w:w="3076" w:type="pct"/>
          </w:tcPr>
          <w:p>
            <w:pPr>
              <w:spacing w:line="360" w:lineRule="auto"/>
              <w:jc w:val="both"/>
              <w:outlineLvl w:val="0"/>
              <w:rPr>
                <w:rFonts w:ascii="Verdana" w:hAnsi="Verdana"/>
                <w:color w:val="000000"/>
                <w:sz w:val="20"/>
              </w:rPr>
            </w:pPr>
            <w:r>
              <w:rPr>
                <w:rFonts w:hint="default" w:ascii="Verdana" w:hAnsi="Verdana"/>
                <w:color w:val="000000"/>
                <w:sz w:val="20"/>
                <w:lang w:val="pl-PL"/>
              </w:rPr>
              <w:t>C</w:t>
            </w:r>
            <w:r>
              <w:rPr>
                <w:rFonts w:ascii="Verdana" w:hAnsi="Verdana"/>
                <w:color w:val="000000"/>
                <w:sz w:val="20"/>
              </w:rPr>
              <w:t>zas</w:t>
            </w:r>
            <w:bookmarkStart w:id="0" w:name="_GoBack"/>
            <w:bookmarkEnd w:id="0"/>
            <w:r>
              <w:rPr>
                <w:rFonts w:ascii="Verdana" w:hAnsi="Verdana"/>
                <w:color w:val="000000"/>
                <w:sz w:val="20"/>
              </w:rPr>
              <w:t xml:space="preserve"> podjęcia naprawy następnego dnia roboczego (NBD) w formule u Zamawiającego (on-site). Uszkodzone dyski pozostają u Zamawiającego.</w:t>
            </w:r>
          </w:p>
        </w:tc>
        <w:tc>
          <w:tcPr>
            <w:tcW w:w="1049" w:type="pct"/>
          </w:tcPr>
          <w:p>
            <w:pPr>
              <w:jc w:val="both"/>
              <w:rPr>
                <w:rFonts w:hint="default" w:ascii="Verdana" w:hAnsi="Verdana" w:cs="Arial"/>
                <w:sz w:val="20"/>
                <w:lang w:val="pl-PL"/>
              </w:rPr>
            </w:pPr>
          </w:p>
        </w:tc>
      </w:tr>
    </w:tbl>
    <w:p/>
    <w:p>
      <w:pPr>
        <w:rPr>
          <w:b/>
          <w:szCs w:val="22"/>
        </w:rPr>
      </w:pPr>
      <w:r>
        <w:rPr>
          <w:b/>
          <w:iCs/>
          <w:szCs w:val="22"/>
        </w:rPr>
        <w:t>Uwaga:</w:t>
      </w:r>
    </w:p>
    <w:p>
      <w:pPr>
        <w:tabs>
          <w:tab w:val="left" w:pos="1978"/>
          <w:tab w:val="left" w:pos="3828"/>
          <w:tab w:val="center" w:pos="4677"/>
        </w:tabs>
        <w:jc w:val="both"/>
        <w:textAlignment w:val="baseline"/>
        <w:rPr>
          <w:b/>
          <w:szCs w:val="22"/>
        </w:rPr>
      </w:pPr>
      <w:r>
        <w:rPr>
          <w:b/>
          <w:szCs w:val="22"/>
        </w:rPr>
        <w:t xml:space="preserve"> Wykonawca wypełnia kolumnę „Parametry i Spełnienie Wymagań”, w wymaganych pozycjach podając konkretny parametr oraz</w:t>
      </w:r>
      <w:r>
        <w:rPr>
          <w:rFonts w:hint="default"/>
          <w:b/>
          <w:szCs w:val="22"/>
          <w:lang w:val="pl-PL"/>
        </w:rPr>
        <w:t>/lub</w:t>
      </w:r>
      <w:r>
        <w:rPr>
          <w:b/>
          <w:szCs w:val="22"/>
        </w:rPr>
        <w:t xml:space="preserve"> informację czy proponowane urządzenie spełnia określone przez Zamawiającego minimalne parametry techniczne i funkcjonalne </w:t>
      </w:r>
    </w:p>
    <w:p>
      <w:pPr>
        <w:tabs>
          <w:tab w:val="left" w:pos="1978"/>
          <w:tab w:val="left" w:pos="3828"/>
          <w:tab w:val="center" w:pos="4677"/>
        </w:tabs>
        <w:jc w:val="both"/>
        <w:textAlignment w:val="baseline"/>
      </w:pPr>
      <w:r>
        <w:rPr>
          <w:b/>
          <w:szCs w:val="22"/>
        </w:rPr>
        <w:t>poprzez użycie wyrazu „spełnia” lub „nie spełnia”.</w:t>
      </w:r>
    </w:p>
    <w:p>
      <w:pPr>
        <w:tabs>
          <w:tab w:val="left" w:pos="1978"/>
          <w:tab w:val="left" w:pos="3828"/>
          <w:tab w:val="center" w:pos="4677"/>
        </w:tabs>
        <w:jc w:val="both"/>
        <w:textAlignment w:val="baseline"/>
      </w:pPr>
    </w:p>
    <w:p>
      <w:pPr>
        <w:tabs>
          <w:tab w:val="left" w:pos="1978"/>
          <w:tab w:val="left" w:pos="3828"/>
          <w:tab w:val="center" w:pos="4677"/>
        </w:tabs>
        <w:jc w:val="both"/>
        <w:textAlignment w:val="baseline"/>
      </w:pPr>
    </w:p>
    <w:p>
      <w:pPr>
        <w:tabs>
          <w:tab w:val="left" w:pos="1978"/>
          <w:tab w:val="left" w:pos="3828"/>
          <w:tab w:val="center" w:pos="4677"/>
        </w:tabs>
        <w:jc w:val="both"/>
        <w:textAlignment w:val="baseline"/>
      </w:pPr>
      <w:r>
        <w:rPr>
          <w:rFonts w:ascii="Times New Roman" w:hAnsi="Times New Roman" w:eastAsia="Arial"/>
          <w:color w:val="FF0000"/>
          <w:kern w:val="1"/>
          <w:sz w:val="20"/>
          <w:lang w:eastAsia="zh-CN" w:bidi="hi-IN"/>
        </w:rPr>
        <w:t xml:space="preserve">Dokument należy wypełnić i podpisać kwalifikowanym podpisem elektronicznym lub podpisem zaufanym lub podpisem osobistym. Zamawiający zaleca zapisanie dokumentu w formacie PDF. </w:t>
      </w:r>
    </w:p>
    <w:sectPr>
      <w:pgSz w:w="11906" w:h="16838"/>
      <w:pgMar w:top="568" w:right="993" w:bottom="1135"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 w:name="Arial">
    <w:panose1 w:val="020B0604020202020204"/>
    <w:charset w:val="EE"/>
    <w:family w:val="swiss"/>
    <w:pitch w:val="default"/>
    <w:sig w:usb0="E0002EFF" w:usb1="C000785B" w:usb2="00000009" w:usb3="00000000" w:csb0="400001FF" w:csb1="FFFF0000"/>
  </w:font>
  <w:font w:name="MS Outlook">
    <w:panose1 w:val="05010100010000000000"/>
    <w:charset w:val="02"/>
    <w:family w:val="auto"/>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B1F9A"/>
    <w:multiLevelType w:val="multilevel"/>
    <w:tmpl w:val="4F0B1F9A"/>
    <w:lvl w:ilvl="0" w:tentative="0">
      <w:start w:val="1"/>
      <w:numFmt w:val="decimal"/>
      <w:lvlText w:val="%1."/>
      <w:lvlJc w:val="left"/>
      <w:pPr>
        <w:tabs>
          <w:tab w:val="left" w:pos="1080"/>
        </w:tabs>
        <w:ind w:left="1080" w:hanging="1080"/>
      </w:pPr>
      <w:rPr>
        <w:rFonts w:hint="default"/>
      </w:rPr>
    </w:lvl>
    <w:lvl w:ilvl="1" w:tentative="0">
      <w:start w:val="1"/>
      <w:numFmt w:val="decimal"/>
      <w:lvlText w:val="%2."/>
      <w:lvlJc w:val="left"/>
      <w:pPr>
        <w:tabs>
          <w:tab w:val="left" w:pos="1440"/>
        </w:tabs>
        <w:ind w:left="1440" w:hanging="360"/>
      </w:pPr>
    </w:lvl>
    <w:lvl w:ilvl="2" w:tentative="0">
      <w:start w:val="512"/>
      <w:numFmt w:val="bullet"/>
      <w:lvlText w:val="-"/>
      <w:lvlJc w:val="left"/>
      <w:pPr>
        <w:tabs>
          <w:tab w:val="left" w:pos="2340"/>
        </w:tabs>
        <w:ind w:left="2340" w:hanging="360"/>
      </w:pPr>
      <w:rPr>
        <w:rFonts w:hint="default" w:ascii="Tahoma" w:hAnsi="Tahoma" w:eastAsia="Times New Roman" w:cs="Tahoma"/>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6202234D"/>
    <w:multiLevelType w:val="multilevel"/>
    <w:tmpl w:val="6202234D"/>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1080" w:hanging="360"/>
      </w:pPr>
    </w:lvl>
    <w:lvl w:ilvl="2" w:tentative="0">
      <w:start w:val="1"/>
      <w:numFmt w:val="lowerRoman"/>
      <w:lvlText w:val="%3."/>
      <w:lvlJc w:val="right"/>
      <w:pPr>
        <w:tabs>
          <w:tab w:val="left" w:pos="0"/>
        </w:tabs>
        <w:ind w:left="1800" w:hanging="180"/>
      </w:pPr>
    </w:lvl>
    <w:lvl w:ilvl="3" w:tentative="0">
      <w:start w:val="1"/>
      <w:numFmt w:val="decimal"/>
      <w:lvlText w:val="%4."/>
      <w:lvlJc w:val="left"/>
      <w:pPr>
        <w:tabs>
          <w:tab w:val="left" w:pos="0"/>
        </w:tabs>
        <w:ind w:left="2520" w:hanging="360"/>
      </w:pPr>
    </w:lvl>
    <w:lvl w:ilvl="4" w:tentative="0">
      <w:start w:val="1"/>
      <w:numFmt w:val="lowerLetter"/>
      <w:lvlText w:val="%5."/>
      <w:lvlJc w:val="left"/>
      <w:pPr>
        <w:tabs>
          <w:tab w:val="left" w:pos="0"/>
        </w:tabs>
        <w:ind w:left="3240" w:hanging="360"/>
      </w:pPr>
    </w:lvl>
    <w:lvl w:ilvl="5" w:tentative="0">
      <w:start w:val="1"/>
      <w:numFmt w:val="lowerRoman"/>
      <w:lvlText w:val="%6."/>
      <w:lvlJc w:val="right"/>
      <w:pPr>
        <w:tabs>
          <w:tab w:val="left" w:pos="0"/>
        </w:tabs>
        <w:ind w:left="3960" w:hanging="180"/>
      </w:pPr>
    </w:lvl>
    <w:lvl w:ilvl="6" w:tentative="0">
      <w:start w:val="1"/>
      <w:numFmt w:val="decimal"/>
      <w:lvlText w:val="%7."/>
      <w:lvlJc w:val="left"/>
      <w:pPr>
        <w:tabs>
          <w:tab w:val="left" w:pos="0"/>
        </w:tabs>
        <w:ind w:left="4680" w:hanging="360"/>
      </w:pPr>
    </w:lvl>
    <w:lvl w:ilvl="7" w:tentative="0">
      <w:start w:val="1"/>
      <w:numFmt w:val="lowerLetter"/>
      <w:lvlText w:val="%8."/>
      <w:lvlJc w:val="left"/>
      <w:pPr>
        <w:tabs>
          <w:tab w:val="left" w:pos="0"/>
        </w:tabs>
        <w:ind w:left="5400" w:hanging="360"/>
      </w:pPr>
    </w:lvl>
    <w:lvl w:ilvl="8" w:tentative="0">
      <w:start w:val="1"/>
      <w:numFmt w:val="lowerRoman"/>
      <w:lvlText w:val="%9."/>
      <w:lvlJc w:val="right"/>
      <w:pPr>
        <w:tabs>
          <w:tab w:val="left"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0A"/>
    <w:rsid w:val="00001262"/>
    <w:rsid w:val="000079BC"/>
    <w:rsid w:val="00015719"/>
    <w:rsid w:val="00020521"/>
    <w:rsid w:val="00022236"/>
    <w:rsid w:val="000265E0"/>
    <w:rsid w:val="00026B2D"/>
    <w:rsid w:val="00026C90"/>
    <w:rsid w:val="000274C5"/>
    <w:rsid w:val="00030B26"/>
    <w:rsid w:val="00033803"/>
    <w:rsid w:val="0003444B"/>
    <w:rsid w:val="00035FAE"/>
    <w:rsid w:val="000443C6"/>
    <w:rsid w:val="00051834"/>
    <w:rsid w:val="00061F11"/>
    <w:rsid w:val="000662FE"/>
    <w:rsid w:val="00071918"/>
    <w:rsid w:val="00071E2F"/>
    <w:rsid w:val="00075364"/>
    <w:rsid w:val="00082B5A"/>
    <w:rsid w:val="00082C03"/>
    <w:rsid w:val="000913AC"/>
    <w:rsid w:val="00097C50"/>
    <w:rsid w:val="000A544C"/>
    <w:rsid w:val="000B4DF9"/>
    <w:rsid w:val="000C6C24"/>
    <w:rsid w:val="000D0251"/>
    <w:rsid w:val="000D6E7B"/>
    <w:rsid w:val="000E2374"/>
    <w:rsid w:val="000F5665"/>
    <w:rsid w:val="000F5888"/>
    <w:rsid w:val="000F7020"/>
    <w:rsid w:val="0010046B"/>
    <w:rsid w:val="00111063"/>
    <w:rsid w:val="001112C0"/>
    <w:rsid w:val="00127E05"/>
    <w:rsid w:val="0013174D"/>
    <w:rsid w:val="00131DBF"/>
    <w:rsid w:val="00140404"/>
    <w:rsid w:val="0014395A"/>
    <w:rsid w:val="00147AE1"/>
    <w:rsid w:val="00152E04"/>
    <w:rsid w:val="00157D3B"/>
    <w:rsid w:val="00162FEB"/>
    <w:rsid w:val="00171250"/>
    <w:rsid w:val="00176E74"/>
    <w:rsid w:val="00180D2B"/>
    <w:rsid w:val="001814A6"/>
    <w:rsid w:val="00181B73"/>
    <w:rsid w:val="0018418E"/>
    <w:rsid w:val="00184520"/>
    <w:rsid w:val="00184703"/>
    <w:rsid w:val="00187968"/>
    <w:rsid w:val="00196A0F"/>
    <w:rsid w:val="001A304F"/>
    <w:rsid w:val="001A6A4B"/>
    <w:rsid w:val="001C1681"/>
    <w:rsid w:val="001D1E93"/>
    <w:rsid w:val="001E3989"/>
    <w:rsid w:val="001E49FF"/>
    <w:rsid w:val="001E6C72"/>
    <w:rsid w:val="001F0987"/>
    <w:rsid w:val="001F10C4"/>
    <w:rsid w:val="001F4440"/>
    <w:rsid w:val="001F45C7"/>
    <w:rsid w:val="00203194"/>
    <w:rsid w:val="00203543"/>
    <w:rsid w:val="0020562D"/>
    <w:rsid w:val="002061EF"/>
    <w:rsid w:val="00207105"/>
    <w:rsid w:val="00214573"/>
    <w:rsid w:val="00215AFF"/>
    <w:rsid w:val="002255B6"/>
    <w:rsid w:val="00235A0C"/>
    <w:rsid w:val="00236B87"/>
    <w:rsid w:val="0024310D"/>
    <w:rsid w:val="002512C3"/>
    <w:rsid w:val="00255845"/>
    <w:rsid w:val="00256F8E"/>
    <w:rsid w:val="00261410"/>
    <w:rsid w:val="00261CB8"/>
    <w:rsid w:val="002635AC"/>
    <w:rsid w:val="002643A5"/>
    <w:rsid w:val="0027018C"/>
    <w:rsid w:val="00273D11"/>
    <w:rsid w:val="0027626F"/>
    <w:rsid w:val="00276348"/>
    <w:rsid w:val="00285867"/>
    <w:rsid w:val="002900EC"/>
    <w:rsid w:val="002954CC"/>
    <w:rsid w:val="002A5679"/>
    <w:rsid w:val="002B6C46"/>
    <w:rsid w:val="002B6DAB"/>
    <w:rsid w:val="002B7D66"/>
    <w:rsid w:val="002C55BA"/>
    <w:rsid w:val="002D5D3D"/>
    <w:rsid w:val="002E2324"/>
    <w:rsid w:val="002E23B0"/>
    <w:rsid w:val="002E77B5"/>
    <w:rsid w:val="002F11A4"/>
    <w:rsid w:val="002F1DA2"/>
    <w:rsid w:val="003015EE"/>
    <w:rsid w:val="00303233"/>
    <w:rsid w:val="00305BCB"/>
    <w:rsid w:val="00311604"/>
    <w:rsid w:val="00312E8A"/>
    <w:rsid w:val="00315EBE"/>
    <w:rsid w:val="00320947"/>
    <w:rsid w:val="00331D6C"/>
    <w:rsid w:val="00332AA8"/>
    <w:rsid w:val="00332F54"/>
    <w:rsid w:val="00350517"/>
    <w:rsid w:val="003535A7"/>
    <w:rsid w:val="0036037F"/>
    <w:rsid w:val="00372278"/>
    <w:rsid w:val="00387F9D"/>
    <w:rsid w:val="00392861"/>
    <w:rsid w:val="003A4446"/>
    <w:rsid w:val="003C0945"/>
    <w:rsid w:val="003C372D"/>
    <w:rsid w:val="003D17C6"/>
    <w:rsid w:val="003D5D3D"/>
    <w:rsid w:val="003F2DC4"/>
    <w:rsid w:val="003F33DB"/>
    <w:rsid w:val="003F54BA"/>
    <w:rsid w:val="00403E82"/>
    <w:rsid w:val="00413BD7"/>
    <w:rsid w:val="004313DE"/>
    <w:rsid w:val="00432798"/>
    <w:rsid w:val="00433AE8"/>
    <w:rsid w:val="00436F1D"/>
    <w:rsid w:val="004407A8"/>
    <w:rsid w:val="00444E41"/>
    <w:rsid w:val="004523D0"/>
    <w:rsid w:val="004535F6"/>
    <w:rsid w:val="00456C6E"/>
    <w:rsid w:val="004613B9"/>
    <w:rsid w:val="00461B14"/>
    <w:rsid w:val="00463508"/>
    <w:rsid w:val="004642E1"/>
    <w:rsid w:val="00467D4C"/>
    <w:rsid w:val="004801C9"/>
    <w:rsid w:val="004829DC"/>
    <w:rsid w:val="004842E9"/>
    <w:rsid w:val="004A4057"/>
    <w:rsid w:val="004A528B"/>
    <w:rsid w:val="004A6188"/>
    <w:rsid w:val="004B5619"/>
    <w:rsid w:val="004C1917"/>
    <w:rsid w:val="004D643A"/>
    <w:rsid w:val="004E015D"/>
    <w:rsid w:val="004F072C"/>
    <w:rsid w:val="004F0F81"/>
    <w:rsid w:val="004F2F3B"/>
    <w:rsid w:val="004F4E73"/>
    <w:rsid w:val="004F5689"/>
    <w:rsid w:val="004F609F"/>
    <w:rsid w:val="00500E8A"/>
    <w:rsid w:val="00502431"/>
    <w:rsid w:val="0050403C"/>
    <w:rsid w:val="00514B32"/>
    <w:rsid w:val="005266B0"/>
    <w:rsid w:val="00526803"/>
    <w:rsid w:val="00526F5C"/>
    <w:rsid w:val="00530FB8"/>
    <w:rsid w:val="00534A39"/>
    <w:rsid w:val="00544086"/>
    <w:rsid w:val="00544123"/>
    <w:rsid w:val="00546B18"/>
    <w:rsid w:val="005607C1"/>
    <w:rsid w:val="00570C6F"/>
    <w:rsid w:val="00573E5C"/>
    <w:rsid w:val="00583A98"/>
    <w:rsid w:val="00586ABF"/>
    <w:rsid w:val="0058776E"/>
    <w:rsid w:val="005B25C9"/>
    <w:rsid w:val="005C421D"/>
    <w:rsid w:val="005D2FC2"/>
    <w:rsid w:val="005D4BA5"/>
    <w:rsid w:val="005E181D"/>
    <w:rsid w:val="005E4B91"/>
    <w:rsid w:val="005E75DF"/>
    <w:rsid w:val="005F0E38"/>
    <w:rsid w:val="005F45E9"/>
    <w:rsid w:val="006003AB"/>
    <w:rsid w:val="0060400D"/>
    <w:rsid w:val="00604FE1"/>
    <w:rsid w:val="00622114"/>
    <w:rsid w:val="006223E9"/>
    <w:rsid w:val="00627876"/>
    <w:rsid w:val="006363BE"/>
    <w:rsid w:val="00641C47"/>
    <w:rsid w:val="00651F6B"/>
    <w:rsid w:val="00654823"/>
    <w:rsid w:val="00656D0A"/>
    <w:rsid w:val="00661D38"/>
    <w:rsid w:val="00663204"/>
    <w:rsid w:val="00670C09"/>
    <w:rsid w:val="00674901"/>
    <w:rsid w:val="006755B1"/>
    <w:rsid w:val="006759C9"/>
    <w:rsid w:val="00681F13"/>
    <w:rsid w:val="00682151"/>
    <w:rsid w:val="00692C33"/>
    <w:rsid w:val="006973C3"/>
    <w:rsid w:val="006A392C"/>
    <w:rsid w:val="006A3F77"/>
    <w:rsid w:val="006A5832"/>
    <w:rsid w:val="006B115D"/>
    <w:rsid w:val="006B2EBC"/>
    <w:rsid w:val="006B49B2"/>
    <w:rsid w:val="006C1796"/>
    <w:rsid w:val="006C2F62"/>
    <w:rsid w:val="006C53A4"/>
    <w:rsid w:val="006C5CA9"/>
    <w:rsid w:val="006E33BE"/>
    <w:rsid w:val="006E5DE2"/>
    <w:rsid w:val="006F55D8"/>
    <w:rsid w:val="006F790B"/>
    <w:rsid w:val="0070311B"/>
    <w:rsid w:val="00711A8B"/>
    <w:rsid w:val="00717E36"/>
    <w:rsid w:val="00726EA8"/>
    <w:rsid w:val="007313D1"/>
    <w:rsid w:val="007353BF"/>
    <w:rsid w:val="00745171"/>
    <w:rsid w:val="00746260"/>
    <w:rsid w:val="00753BA0"/>
    <w:rsid w:val="00760F48"/>
    <w:rsid w:val="007708B7"/>
    <w:rsid w:val="007716EA"/>
    <w:rsid w:val="00781534"/>
    <w:rsid w:val="00781D24"/>
    <w:rsid w:val="00790B00"/>
    <w:rsid w:val="007A3556"/>
    <w:rsid w:val="007A4A16"/>
    <w:rsid w:val="007A4CD2"/>
    <w:rsid w:val="007B2BF5"/>
    <w:rsid w:val="007B3889"/>
    <w:rsid w:val="007B61CA"/>
    <w:rsid w:val="007D7BE4"/>
    <w:rsid w:val="007E1D8D"/>
    <w:rsid w:val="007E1EAD"/>
    <w:rsid w:val="007F67E1"/>
    <w:rsid w:val="00806918"/>
    <w:rsid w:val="008261E1"/>
    <w:rsid w:val="008306E0"/>
    <w:rsid w:val="008348B6"/>
    <w:rsid w:val="00834B14"/>
    <w:rsid w:val="00834F0B"/>
    <w:rsid w:val="008374D9"/>
    <w:rsid w:val="008462D3"/>
    <w:rsid w:val="00852019"/>
    <w:rsid w:val="00861192"/>
    <w:rsid w:val="008655D6"/>
    <w:rsid w:val="008726CD"/>
    <w:rsid w:val="00875AEA"/>
    <w:rsid w:val="00891A92"/>
    <w:rsid w:val="008A018E"/>
    <w:rsid w:val="008A5A24"/>
    <w:rsid w:val="008B0778"/>
    <w:rsid w:val="008B0A39"/>
    <w:rsid w:val="008B0F8E"/>
    <w:rsid w:val="008C26FB"/>
    <w:rsid w:val="008C390C"/>
    <w:rsid w:val="008C63F5"/>
    <w:rsid w:val="008E113E"/>
    <w:rsid w:val="008F0C24"/>
    <w:rsid w:val="008F129F"/>
    <w:rsid w:val="008F24C6"/>
    <w:rsid w:val="008F73F5"/>
    <w:rsid w:val="009012BF"/>
    <w:rsid w:val="00904E8E"/>
    <w:rsid w:val="00905F74"/>
    <w:rsid w:val="009068B9"/>
    <w:rsid w:val="009078DC"/>
    <w:rsid w:val="00916E61"/>
    <w:rsid w:val="00917668"/>
    <w:rsid w:val="00917C5F"/>
    <w:rsid w:val="00925016"/>
    <w:rsid w:val="00926984"/>
    <w:rsid w:val="00926EAE"/>
    <w:rsid w:val="00931A59"/>
    <w:rsid w:val="00933818"/>
    <w:rsid w:val="0093657A"/>
    <w:rsid w:val="009366AE"/>
    <w:rsid w:val="009401D5"/>
    <w:rsid w:val="00940F9F"/>
    <w:rsid w:val="009439B0"/>
    <w:rsid w:val="00944BA0"/>
    <w:rsid w:val="00947429"/>
    <w:rsid w:val="009603E6"/>
    <w:rsid w:val="009628A1"/>
    <w:rsid w:val="0096370B"/>
    <w:rsid w:val="0097578F"/>
    <w:rsid w:val="0097709C"/>
    <w:rsid w:val="00977810"/>
    <w:rsid w:val="009919E0"/>
    <w:rsid w:val="00992D7F"/>
    <w:rsid w:val="00992E5D"/>
    <w:rsid w:val="009946AF"/>
    <w:rsid w:val="00995C30"/>
    <w:rsid w:val="009A7A22"/>
    <w:rsid w:val="009B35AE"/>
    <w:rsid w:val="009B3F52"/>
    <w:rsid w:val="009B4332"/>
    <w:rsid w:val="009B65DA"/>
    <w:rsid w:val="009C173C"/>
    <w:rsid w:val="009D2FD7"/>
    <w:rsid w:val="009E0216"/>
    <w:rsid w:val="009E5A30"/>
    <w:rsid w:val="009F750A"/>
    <w:rsid w:val="00A0391B"/>
    <w:rsid w:val="00A04208"/>
    <w:rsid w:val="00A07FFA"/>
    <w:rsid w:val="00A11B7B"/>
    <w:rsid w:val="00A222B5"/>
    <w:rsid w:val="00A32090"/>
    <w:rsid w:val="00A36574"/>
    <w:rsid w:val="00A44018"/>
    <w:rsid w:val="00A440A7"/>
    <w:rsid w:val="00A47898"/>
    <w:rsid w:val="00A53291"/>
    <w:rsid w:val="00A60DF3"/>
    <w:rsid w:val="00A623ED"/>
    <w:rsid w:val="00A62E12"/>
    <w:rsid w:val="00A63199"/>
    <w:rsid w:val="00A66FCD"/>
    <w:rsid w:val="00A715A0"/>
    <w:rsid w:val="00A8595D"/>
    <w:rsid w:val="00A85DDE"/>
    <w:rsid w:val="00A9464F"/>
    <w:rsid w:val="00A97D45"/>
    <w:rsid w:val="00AA0067"/>
    <w:rsid w:val="00AA2599"/>
    <w:rsid w:val="00AA2B77"/>
    <w:rsid w:val="00AA4312"/>
    <w:rsid w:val="00AA71A1"/>
    <w:rsid w:val="00AA7E5D"/>
    <w:rsid w:val="00AC071E"/>
    <w:rsid w:val="00AC6C69"/>
    <w:rsid w:val="00AD008D"/>
    <w:rsid w:val="00B03902"/>
    <w:rsid w:val="00B05F46"/>
    <w:rsid w:val="00B169F5"/>
    <w:rsid w:val="00B20F7B"/>
    <w:rsid w:val="00B21B08"/>
    <w:rsid w:val="00B3212D"/>
    <w:rsid w:val="00B344A9"/>
    <w:rsid w:val="00B3453A"/>
    <w:rsid w:val="00B44F37"/>
    <w:rsid w:val="00B52A04"/>
    <w:rsid w:val="00B5525F"/>
    <w:rsid w:val="00B60244"/>
    <w:rsid w:val="00B81E36"/>
    <w:rsid w:val="00B83310"/>
    <w:rsid w:val="00B95D51"/>
    <w:rsid w:val="00B96B64"/>
    <w:rsid w:val="00BA0CD5"/>
    <w:rsid w:val="00BA18E8"/>
    <w:rsid w:val="00BA1F37"/>
    <w:rsid w:val="00BB36FE"/>
    <w:rsid w:val="00BB70D4"/>
    <w:rsid w:val="00BB7439"/>
    <w:rsid w:val="00BC1BB5"/>
    <w:rsid w:val="00BC5BB2"/>
    <w:rsid w:val="00BD2A01"/>
    <w:rsid w:val="00BD6550"/>
    <w:rsid w:val="00BD7B32"/>
    <w:rsid w:val="00C01C35"/>
    <w:rsid w:val="00C02441"/>
    <w:rsid w:val="00C061C1"/>
    <w:rsid w:val="00C076B4"/>
    <w:rsid w:val="00C1225D"/>
    <w:rsid w:val="00C12A20"/>
    <w:rsid w:val="00C13EB1"/>
    <w:rsid w:val="00C21AC8"/>
    <w:rsid w:val="00C36227"/>
    <w:rsid w:val="00C376AD"/>
    <w:rsid w:val="00C43B7F"/>
    <w:rsid w:val="00C465F7"/>
    <w:rsid w:val="00C52FC5"/>
    <w:rsid w:val="00C54003"/>
    <w:rsid w:val="00C72762"/>
    <w:rsid w:val="00C75DC3"/>
    <w:rsid w:val="00C81CE3"/>
    <w:rsid w:val="00C836FC"/>
    <w:rsid w:val="00C93A34"/>
    <w:rsid w:val="00CA0C4F"/>
    <w:rsid w:val="00CB454E"/>
    <w:rsid w:val="00CB79C3"/>
    <w:rsid w:val="00CC09AE"/>
    <w:rsid w:val="00CC6AA3"/>
    <w:rsid w:val="00CD298E"/>
    <w:rsid w:val="00CE5362"/>
    <w:rsid w:val="00CF0CC1"/>
    <w:rsid w:val="00CF65B9"/>
    <w:rsid w:val="00CF74B0"/>
    <w:rsid w:val="00D01D9A"/>
    <w:rsid w:val="00D0284B"/>
    <w:rsid w:val="00D03FA2"/>
    <w:rsid w:val="00D22E4E"/>
    <w:rsid w:val="00D250CE"/>
    <w:rsid w:val="00D3186E"/>
    <w:rsid w:val="00D3657D"/>
    <w:rsid w:val="00D41495"/>
    <w:rsid w:val="00D42669"/>
    <w:rsid w:val="00D43393"/>
    <w:rsid w:val="00D4383A"/>
    <w:rsid w:val="00D44749"/>
    <w:rsid w:val="00D54D5A"/>
    <w:rsid w:val="00D5610D"/>
    <w:rsid w:val="00D57B5D"/>
    <w:rsid w:val="00D65CDC"/>
    <w:rsid w:val="00D72427"/>
    <w:rsid w:val="00D91E34"/>
    <w:rsid w:val="00D931FA"/>
    <w:rsid w:val="00D94F00"/>
    <w:rsid w:val="00D9702D"/>
    <w:rsid w:val="00DA6774"/>
    <w:rsid w:val="00DB43C1"/>
    <w:rsid w:val="00DC4357"/>
    <w:rsid w:val="00DE2CBF"/>
    <w:rsid w:val="00DE6251"/>
    <w:rsid w:val="00DF1FAE"/>
    <w:rsid w:val="00DF53B6"/>
    <w:rsid w:val="00DF6206"/>
    <w:rsid w:val="00E1436A"/>
    <w:rsid w:val="00E22EC4"/>
    <w:rsid w:val="00E36EF7"/>
    <w:rsid w:val="00E40558"/>
    <w:rsid w:val="00E4641C"/>
    <w:rsid w:val="00E644F9"/>
    <w:rsid w:val="00E72D1C"/>
    <w:rsid w:val="00E74586"/>
    <w:rsid w:val="00E77D3A"/>
    <w:rsid w:val="00E839EE"/>
    <w:rsid w:val="00E83C72"/>
    <w:rsid w:val="00E83D5A"/>
    <w:rsid w:val="00E85E17"/>
    <w:rsid w:val="00E92F5A"/>
    <w:rsid w:val="00E9707B"/>
    <w:rsid w:val="00EB0068"/>
    <w:rsid w:val="00EC39C1"/>
    <w:rsid w:val="00EC6FA1"/>
    <w:rsid w:val="00ED5991"/>
    <w:rsid w:val="00EE1761"/>
    <w:rsid w:val="00EE3BE3"/>
    <w:rsid w:val="00EE5902"/>
    <w:rsid w:val="00EE7C7B"/>
    <w:rsid w:val="00EF42E3"/>
    <w:rsid w:val="00F050E0"/>
    <w:rsid w:val="00F05127"/>
    <w:rsid w:val="00F17DAE"/>
    <w:rsid w:val="00F30D7A"/>
    <w:rsid w:val="00F321DF"/>
    <w:rsid w:val="00F35549"/>
    <w:rsid w:val="00F465B6"/>
    <w:rsid w:val="00F47C83"/>
    <w:rsid w:val="00F511E1"/>
    <w:rsid w:val="00F7598A"/>
    <w:rsid w:val="00F81254"/>
    <w:rsid w:val="00F81DA3"/>
    <w:rsid w:val="00F82E25"/>
    <w:rsid w:val="00F853AF"/>
    <w:rsid w:val="00F85D0B"/>
    <w:rsid w:val="00F86B77"/>
    <w:rsid w:val="00F9266C"/>
    <w:rsid w:val="00F94050"/>
    <w:rsid w:val="00F94EBC"/>
    <w:rsid w:val="00F95A7B"/>
    <w:rsid w:val="00FA1AD5"/>
    <w:rsid w:val="00FA5BAA"/>
    <w:rsid w:val="00FA7305"/>
    <w:rsid w:val="00FB1071"/>
    <w:rsid w:val="00FB1839"/>
    <w:rsid w:val="00FB6317"/>
    <w:rsid w:val="00FC0EF6"/>
    <w:rsid w:val="00FC140D"/>
    <w:rsid w:val="00FD0F81"/>
    <w:rsid w:val="00FE1FF3"/>
    <w:rsid w:val="00FE26B7"/>
    <w:rsid w:val="00FF13C8"/>
    <w:rsid w:val="32044820"/>
    <w:rsid w:val="3598472C"/>
    <w:rsid w:val="45BB4997"/>
    <w:rsid w:val="4A545645"/>
    <w:rsid w:val="70E6399C"/>
    <w:rsid w:val="7A0D6D2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Narrow" w:hAnsi="Arial Narrow" w:eastAsia="Times New Roman" w:cs="Times New Roman"/>
      <w:sz w:val="22"/>
      <w:szCs w:val="20"/>
      <w:lang w:val="pl-PL" w:eastAsia="pl-PL"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annotation reference"/>
    <w:basedOn w:val="2"/>
    <w:semiHidden/>
    <w:unhideWhenUsed/>
    <w:qFormat/>
    <w:uiPriority w:val="99"/>
    <w:rPr>
      <w:sz w:val="16"/>
      <w:szCs w:val="16"/>
    </w:rPr>
  </w:style>
  <w:style w:type="paragraph" w:styleId="6">
    <w:name w:val="annotation text"/>
    <w:basedOn w:val="1"/>
    <w:link w:val="15"/>
    <w:unhideWhenUsed/>
    <w:qFormat/>
    <w:uiPriority w:val="99"/>
    <w:pPr>
      <w:spacing w:after="200"/>
    </w:pPr>
    <w:rPr>
      <w:rFonts w:asciiTheme="minorHAnsi" w:hAnsiTheme="minorHAnsi" w:eastAsiaTheme="minorHAnsi" w:cstheme="minorBidi"/>
      <w:sz w:val="20"/>
      <w:lang w:val="de-DE" w:eastAsia="en-US"/>
    </w:rPr>
  </w:style>
  <w:style w:type="paragraph" w:styleId="7">
    <w:name w:val="annotation subject"/>
    <w:basedOn w:val="6"/>
    <w:next w:val="6"/>
    <w:link w:val="17"/>
    <w:semiHidden/>
    <w:unhideWhenUsed/>
    <w:qFormat/>
    <w:uiPriority w:val="99"/>
    <w:pPr>
      <w:spacing w:after="0"/>
    </w:pPr>
    <w:rPr>
      <w:rFonts w:ascii="Arial Narrow" w:hAnsi="Arial Narrow" w:eastAsia="Times New Roman" w:cs="Times New Roman"/>
      <w:b/>
      <w:bCs/>
      <w:lang w:val="pl-PL" w:eastAsia="pl-PL"/>
    </w:rPr>
  </w:style>
  <w:style w:type="character" w:styleId="8">
    <w:name w:val="FollowedHyperlink"/>
    <w:basedOn w:val="2"/>
    <w:semiHidden/>
    <w:unhideWhenUsed/>
    <w:uiPriority w:val="99"/>
    <w:rPr>
      <w:color w:val="800080" w:themeColor="followedHyperlink"/>
      <w:u w:val="single"/>
      <w14:textFill>
        <w14:solidFill>
          <w14:schemeClr w14:val="folHlink"/>
        </w14:solidFill>
      </w14:textFill>
    </w:rPr>
  </w:style>
  <w:style w:type="paragraph" w:styleId="9">
    <w:name w:val="footer"/>
    <w:basedOn w:val="1"/>
    <w:link w:val="19"/>
    <w:unhideWhenUsed/>
    <w:qFormat/>
    <w:uiPriority w:val="99"/>
    <w:pPr>
      <w:tabs>
        <w:tab w:val="center" w:pos="4680"/>
        <w:tab w:val="right" w:pos="9360"/>
      </w:tabs>
    </w:pPr>
  </w:style>
  <w:style w:type="paragraph" w:styleId="10">
    <w:name w:val="header"/>
    <w:basedOn w:val="1"/>
    <w:link w:val="18"/>
    <w:unhideWhenUsed/>
    <w:qFormat/>
    <w:uiPriority w:val="99"/>
    <w:pPr>
      <w:tabs>
        <w:tab w:val="center" w:pos="4680"/>
        <w:tab w:val="right" w:pos="9360"/>
      </w:tabs>
    </w:pPr>
  </w:style>
  <w:style w:type="character" w:styleId="11">
    <w:name w:val="Hyperlink"/>
    <w:basedOn w:val="2"/>
    <w:unhideWhenUsed/>
    <w:qFormat/>
    <w:uiPriority w:val="99"/>
    <w:rPr>
      <w:color w:val="0000FF" w:themeColor="hyperlink"/>
      <w:u w:val="single"/>
      <w14:textFill>
        <w14:solidFill>
          <w14:schemeClr w14:val="hlink"/>
        </w14:solidFill>
      </w14:textFill>
    </w:rPr>
  </w:style>
  <w:style w:type="paragraph" w:styleId="12">
    <w:name w:val="Normal (Web)"/>
    <w:basedOn w:val="1"/>
    <w:semiHidden/>
    <w:unhideWhenUsed/>
    <w:uiPriority w:val="99"/>
    <w:pPr>
      <w:spacing w:before="100" w:beforeAutospacing="1" w:after="100" w:afterAutospacing="1"/>
    </w:pPr>
    <w:rPr>
      <w:rFonts w:ascii="Times New Roman" w:hAnsi="Times New Roman" w:eastAsiaTheme="minorHAnsi"/>
      <w:sz w:val="24"/>
      <w:szCs w:val="24"/>
    </w:rPr>
  </w:style>
  <w:style w:type="paragraph" w:customStyle="1" w:styleId="13">
    <w:name w:val="Tabela pozycja"/>
    <w:basedOn w:val="1"/>
    <w:uiPriority w:val="0"/>
    <w:rPr>
      <w:rFonts w:ascii="Arial" w:hAnsi="Arial" w:eastAsia="MS Outlook"/>
    </w:rPr>
  </w:style>
  <w:style w:type="paragraph" w:styleId="14">
    <w:name w:val="List Paragraph"/>
    <w:basedOn w:val="1"/>
    <w:link w:val="21"/>
    <w:qFormat/>
    <w:uiPriority w:val="34"/>
    <w:pPr>
      <w:ind w:left="720"/>
    </w:pPr>
    <w:rPr>
      <w:rFonts w:ascii="Calibri" w:hAnsi="Calibri"/>
      <w:szCs w:val="22"/>
      <w:lang w:eastAsia="en-US"/>
    </w:rPr>
  </w:style>
  <w:style w:type="character" w:customStyle="1" w:styleId="15">
    <w:name w:val="Tekst komentarza Znak"/>
    <w:basedOn w:val="2"/>
    <w:link w:val="6"/>
    <w:qFormat/>
    <w:uiPriority w:val="99"/>
    <w:rPr>
      <w:sz w:val="20"/>
      <w:szCs w:val="20"/>
    </w:rPr>
  </w:style>
  <w:style w:type="character" w:customStyle="1" w:styleId="16">
    <w:name w:val="Tekst dymka Znak"/>
    <w:basedOn w:val="2"/>
    <w:link w:val="4"/>
    <w:semiHidden/>
    <w:uiPriority w:val="99"/>
    <w:rPr>
      <w:rFonts w:ascii="Tahoma" w:hAnsi="Tahoma" w:eastAsia="Times New Roman" w:cs="Tahoma"/>
      <w:sz w:val="16"/>
      <w:szCs w:val="16"/>
      <w:lang w:val="pl-PL" w:eastAsia="pl-PL"/>
    </w:rPr>
  </w:style>
  <w:style w:type="character" w:customStyle="1" w:styleId="17">
    <w:name w:val="Temat komentarza Znak"/>
    <w:basedOn w:val="15"/>
    <w:link w:val="7"/>
    <w:semiHidden/>
    <w:qFormat/>
    <w:uiPriority w:val="99"/>
    <w:rPr>
      <w:rFonts w:ascii="Arial Narrow" w:hAnsi="Arial Narrow" w:eastAsia="Times New Roman" w:cs="Times New Roman"/>
      <w:b/>
      <w:bCs/>
      <w:sz w:val="20"/>
      <w:szCs w:val="20"/>
      <w:lang w:val="pl-PL" w:eastAsia="pl-PL"/>
    </w:rPr>
  </w:style>
  <w:style w:type="character" w:customStyle="1" w:styleId="18">
    <w:name w:val="Nagłówek Znak"/>
    <w:basedOn w:val="2"/>
    <w:link w:val="10"/>
    <w:qFormat/>
    <w:uiPriority w:val="99"/>
    <w:rPr>
      <w:rFonts w:ascii="Arial Narrow" w:hAnsi="Arial Narrow" w:eastAsia="Times New Roman" w:cs="Times New Roman"/>
      <w:szCs w:val="20"/>
      <w:lang w:val="pl-PL" w:eastAsia="pl-PL"/>
    </w:rPr>
  </w:style>
  <w:style w:type="character" w:customStyle="1" w:styleId="19">
    <w:name w:val="Stopka Znak"/>
    <w:basedOn w:val="2"/>
    <w:link w:val="9"/>
    <w:qFormat/>
    <w:uiPriority w:val="99"/>
    <w:rPr>
      <w:rFonts w:ascii="Arial Narrow" w:hAnsi="Arial Narrow" w:eastAsia="Times New Roman" w:cs="Times New Roman"/>
      <w:szCs w:val="20"/>
      <w:lang w:val="pl-PL" w:eastAsia="pl-PL"/>
    </w:rPr>
  </w:style>
  <w:style w:type="character" w:customStyle="1" w:styleId="20">
    <w:name w:val="Nierozpoznana wzmianka1"/>
    <w:basedOn w:val="2"/>
    <w:semiHidden/>
    <w:unhideWhenUsed/>
    <w:qFormat/>
    <w:uiPriority w:val="99"/>
    <w:rPr>
      <w:color w:val="605E5C"/>
      <w:shd w:val="clear" w:color="auto" w:fill="E1DFDD"/>
    </w:rPr>
  </w:style>
  <w:style w:type="character" w:customStyle="1" w:styleId="21">
    <w:name w:val="Akapit z listą Znak"/>
    <w:link w:val="14"/>
    <w:qFormat/>
    <w:locked/>
    <w:uiPriority w:val="34"/>
    <w:rPr>
      <w:rFonts w:ascii="Calibri" w:hAnsi="Calibri" w:eastAsia="Times New Roman" w:cs="Times New Roman"/>
      <w:lang w:val="pl-P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FD2D0-59DE-46A7-88FF-31B6C5E34FD2}">
  <ds:schemaRefs/>
</ds:datastoreItem>
</file>

<file path=customXml/itemProps2.xml><?xml version="1.0" encoding="utf-8"?>
<ds:datastoreItem xmlns:ds="http://schemas.openxmlformats.org/officeDocument/2006/customXml" ds:itemID="{4B322614-4E36-4B1A-A79B-1DA9C5375DFD}">
  <ds:schemaRefs/>
</ds:datastoreItem>
</file>

<file path=customXml/itemProps3.xml><?xml version="1.0" encoding="utf-8"?>
<ds:datastoreItem xmlns:ds="http://schemas.openxmlformats.org/officeDocument/2006/customXml" ds:itemID="{5AF862F5-49A0-4699-9FC0-75B308B18C38}">
  <ds:schemaRefs/>
</ds:datastoreItem>
</file>

<file path=customXml/itemProps4.xml><?xml version="1.0" encoding="utf-8"?>
<ds:datastoreItem xmlns:ds="http://schemas.openxmlformats.org/officeDocument/2006/customXml" ds:itemID="{4CF87F06-D2E4-48D3-BA6D-40DBB07FD35E}">
  <ds:schemaRefs/>
</ds:datastoreItem>
</file>

<file path=docProps/app.xml><?xml version="1.0" encoding="utf-8"?>
<Properties xmlns="http://schemas.openxmlformats.org/officeDocument/2006/extended-properties" xmlns:vt="http://schemas.openxmlformats.org/officeDocument/2006/docPropsVTypes">
  <Template>Normal</Template>
  <Pages>6</Pages>
  <Words>1484</Words>
  <Characters>8910</Characters>
  <Lines>74</Lines>
  <Paragraphs>20</Paragraphs>
  <TotalTime>80</TotalTime>
  <ScaleCrop>false</ScaleCrop>
  <LinksUpToDate>false</LinksUpToDate>
  <CharactersWithSpaces>10374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2023-06-28T08:25:00Z</dcterms:created>
  <dc:creator>Jacek Zimny</dc:creator>
  <cp:lastModifiedBy>norbe</cp:lastModifiedBy>
  <cp:lastPrinted>2022-11-18T08:54:00Z</cp:lastPrinted>
  <dcterms:modified xsi:type="dcterms:W3CDTF">2023-07-02T14:51:38Z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y fmtid="{D5CDD505-2E9C-101B-9397-08002B2CF9AE}" pid="3" name="KSOProductBuildVer">
    <vt:lpwstr>1045-11.2.0.11486</vt:lpwstr>
  </property>
  <property fmtid="{D5CDD505-2E9C-101B-9397-08002B2CF9AE}" pid="4" name="ICV">
    <vt:lpwstr>71B1B7935EF54983896BDAFD1C6A884E</vt:lpwstr>
  </property>
</Properties>
</file>