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4A096" w14:textId="16E4EC65" w:rsidR="007B64D9" w:rsidRPr="004C5B63" w:rsidRDefault="007B64D9" w:rsidP="004303CE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C5B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Częstochowa, </w:t>
      </w:r>
      <w:r w:rsidR="006D045F" w:rsidRPr="004C5B63">
        <w:rPr>
          <w:rFonts w:asciiTheme="minorHAnsi" w:hAnsiTheme="minorHAnsi" w:cstheme="minorHAnsi"/>
          <w:color w:val="000000" w:themeColor="text1"/>
          <w:sz w:val="24"/>
          <w:szCs w:val="24"/>
        </w:rPr>
        <w:t>18</w:t>
      </w:r>
      <w:r w:rsidR="004943AC" w:rsidRPr="004C5B6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D02707" w:rsidRPr="004C5B63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30746F" w:rsidRPr="004C5B63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="002B61F0" w:rsidRPr="004C5B63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D02707" w:rsidRPr="004C5B63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2B61F0" w:rsidRPr="004C5B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</w:p>
    <w:p w14:paraId="507165B8" w14:textId="563C7BC1" w:rsidR="007B64D9" w:rsidRPr="004C5B63" w:rsidRDefault="007B64D9" w:rsidP="004303CE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C5B63">
        <w:rPr>
          <w:rFonts w:asciiTheme="minorHAnsi" w:hAnsiTheme="minorHAnsi" w:cstheme="minorHAnsi"/>
          <w:color w:val="000000" w:themeColor="text1"/>
          <w:sz w:val="24"/>
          <w:szCs w:val="24"/>
        </w:rPr>
        <w:t>ZP.26.1.</w:t>
      </w:r>
      <w:r w:rsidR="004303CE">
        <w:rPr>
          <w:rFonts w:asciiTheme="minorHAnsi" w:hAnsiTheme="minorHAnsi" w:cstheme="minorHAnsi"/>
          <w:color w:val="000000" w:themeColor="text1"/>
          <w:sz w:val="24"/>
          <w:szCs w:val="24"/>
        </w:rPr>
        <w:t>40</w:t>
      </w:r>
      <w:r w:rsidR="007261FA" w:rsidRPr="004C5B63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D02707" w:rsidRPr="004C5B63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</w:p>
    <w:p w14:paraId="29582BC5" w14:textId="77777777" w:rsidR="007B64D9" w:rsidRPr="004303CE" w:rsidRDefault="007B64D9" w:rsidP="004303CE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15A9BF1" w14:textId="673DF8C2" w:rsidR="00781986" w:rsidRPr="004303CE" w:rsidRDefault="007B64D9" w:rsidP="004303CE">
      <w:pPr>
        <w:pStyle w:val="Bezodstpw"/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303C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Odpowied</w:t>
      </w:r>
      <w:r w:rsidR="003432A6" w:rsidRPr="004303C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zi</w:t>
      </w:r>
      <w:r w:rsidRPr="004303C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na pytani</w:t>
      </w:r>
      <w:r w:rsidR="003432A6" w:rsidRPr="004303C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</w:t>
      </w:r>
      <w:r w:rsidRPr="004303C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do Specyfikacji Warunków Zamówienia w postępowaniu:</w:t>
      </w:r>
      <w:r w:rsidR="006D045F" w:rsidRPr="004303C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4303CE" w:rsidRPr="004303CE">
        <w:rPr>
          <w:rFonts w:asciiTheme="minorHAnsi" w:hAnsiTheme="minorHAnsi"/>
          <w:sz w:val="24"/>
          <w:szCs w:val="24"/>
        </w:rPr>
        <w:t>Dostawa energii elektrycznej dla Domu Studenta „Skrza</w:t>
      </w:r>
      <w:r w:rsidR="004303CE">
        <w:rPr>
          <w:rFonts w:asciiTheme="minorHAnsi" w:hAnsiTheme="minorHAnsi"/>
          <w:sz w:val="24"/>
          <w:szCs w:val="24"/>
        </w:rPr>
        <w:t>t” Uniwersytetu Jana Długosza w </w:t>
      </w:r>
      <w:r w:rsidR="004303CE" w:rsidRPr="004303CE">
        <w:rPr>
          <w:rFonts w:asciiTheme="minorHAnsi" w:hAnsiTheme="minorHAnsi"/>
          <w:sz w:val="24"/>
          <w:szCs w:val="24"/>
        </w:rPr>
        <w:t>Częstochowie</w:t>
      </w:r>
    </w:p>
    <w:p w14:paraId="1BAC8A6A" w14:textId="77777777" w:rsidR="005A596E" w:rsidRPr="004C5B63" w:rsidRDefault="005A596E" w:rsidP="004303CE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8B41CF1" w14:textId="50E1AF37" w:rsidR="007B64D9" w:rsidRPr="004C5B63" w:rsidRDefault="007B64D9" w:rsidP="004303CE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C5B63">
        <w:rPr>
          <w:rFonts w:asciiTheme="minorHAnsi" w:hAnsiTheme="minorHAnsi" w:cstheme="minorHAnsi"/>
          <w:color w:val="000000" w:themeColor="text1"/>
          <w:sz w:val="24"/>
          <w:szCs w:val="24"/>
        </w:rPr>
        <w:t>W związku z pytani</w:t>
      </w:r>
      <w:r w:rsidR="00356470" w:rsidRPr="004C5B63">
        <w:rPr>
          <w:rFonts w:asciiTheme="minorHAnsi" w:hAnsiTheme="minorHAnsi" w:cstheme="minorHAnsi"/>
          <w:color w:val="000000" w:themeColor="text1"/>
          <w:sz w:val="24"/>
          <w:szCs w:val="24"/>
        </w:rPr>
        <w:t>ami</w:t>
      </w:r>
      <w:r w:rsidR="002B61F0" w:rsidRPr="004C5B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C5B63">
        <w:rPr>
          <w:rFonts w:asciiTheme="minorHAnsi" w:hAnsiTheme="minorHAnsi" w:cstheme="minorHAnsi"/>
          <w:color w:val="000000" w:themeColor="text1"/>
          <w:sz w:val="24"/>
          <w:szCs w:val="24"/>
        </w:rPr>
        <w:t>dotyczącym</w:t>
      </w:r>
      <w:r w:rsidR="00356470" w:rsidRPr="004C5B63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4C5B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treści Specyfikacji Warunków Zamówienia (SWZ) w ramach w</w:t>
      </w:r>
      <w:r w:rsidR="00D02707" w:rsidRPr="004C5B63">
        <w:rPr>
          <w:rFonts w:asciiTheme="minorHAnsi" w:hAnsiTheme="minorHAnsi" w:cstheme="minorHAnsi"/>
          <w:color w:val="000000" w:themeColor="text1"/>
          <w:sz w:val="24"/>
          <w:szCs w:val="24"/>
        </w:rPr>
        <w:t>/w</w:t>
      </w:r>
      <w:r w:rsidRPr="004C5B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postępowania Zamawiając</w:t>
      </w:r>
      <w:r w:rsidR="0021780C" w:rsidRPr="004C5B63">
        <w:rPr>
          <w:rFonts w:asciiTheme="minorHAnsi" w:hAnsiTheme="minorHAnsi" w:cstheme="minorHAnsi"/>
          <w:color w:val="000000" w:themeColor="text1"/>
          <w:sz w:val="24"/>
          <w:szCs w:val="24"/>
        </w:rPr>
        <w:t>y, działając na podstawie artykułu</w:t>
      </w:r>
      <w:r w:rsidRPr="004C5B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1780C" w:rsidRPr="004C5B63">
        <w:rPr>
          <w:rFonts w:asciiTheme="minorHAnsi" w:hAnsiTheme="minorHAnsi" w:cstheme="minorHAnsi"/>
          <w:color w:val="000000" w:themeColor="text1"/>
          <w:sz w:val="24"/>
          <w:szCs w:val="24"/>
        </w:rPr>
        <w:t>135 ustęp 2</w:t>
      </w:r>
      <w:r w:rsidRPr="004C5B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ustawy Prawo zamówień publicznych, przekazuje treść pyta</w:t>
      </w:r>
      <w:r w:rsidR="002E596A" w:rsidRPr="004C5B63">
        <w:rPr>
          <w:rFonts w:asciiTheme="minorHAnsi" w:hAnsiTheme="minorHAnsi" w:cstheme="minorHAnsi"/>
          <w:color w:val="000000" w:themeColor="text1"/>
          <w:sz w:val="24"/>
          <w:szCs w:val="24"/>
        </w:rPr>
        <w:t>ń</w:t>
      </w:r>
      <w:r w:rsidRPr="004C5B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wraz z odpowiedzi</w:t>
      </w:r>
      <w:r w:rsidR="002E596A" w:rsidRPr="004C5B63">
        <w:rPr>
          <w:rFonts w:asciiTheme="minorHAnsi" w:hAnsiTheme="minorHAnsi" w:cstheme="minorHAnsi"/>
          <w:color w:val="000000" w:themeColor="text1"/>
          <w:sz w:val="24"/>
          <w:szCs w:val="24"/>
        </w:rPr>
        <w:t>ami</w:t>
      </w:r>
      <w:r w:rsidRPr="004C5B63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4EE45058" w14:textId="77777777" w:rsidR="00902091" w:rsidRPr="004C5B63" w:rsidRDefault="00902091" w:rsidP="004303CE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44E52DDB" w14:textId="1E1C90B2" w:rsidR="00902091" w:rsidRPr="004303CE" w:rsidRDefault="00902091" w:rsidP="004303CE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4303CE">
        <w:rPr>
          <w:rFonts w:cstheme="minorHAnsi"/>
          <w:b/>
          <w:color w:val="000000" w:themeColor="text1"/>
          <w:sz w:val="24"/>
          <w:szCs w:val="24"/>
        </w:rPr>
        <w:t>Pytanie 1</w:t>
      </w:r>
      <w:r w:rsidR="006311D9" w:rsidRPr="004303CE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44827DB8" w14:textId="77777777" w:rsidR="004303CE" w:rsidRPr="0088491A" w:rsidRDefault="004303CE" w:rsidP="004303CE">
      <w:pPr>
        <w:spacing w:after="0" w:line="276" w:lineRule="auto"/>
        <w:rPr>
          <w:rFonts w:eastAsia="Times New Roman" w:cs="Times New Roman"/>
          <w:sz w:val="24"/>
          <w:szCs w:val="24"/>
          <w:lang w:eastAsia="pl-PL"/>
        </w:rPr>
      </w:pPr>
      <w:r w:rsidRPr="004303CE">
        <w:rPr>
          <w:sz w:val="24"/>
          <w:szCs w:val="24"/>
        </w:rPr>
        <w:t xml:space="preserve">Zgodnie ze zmianą do ustawy prawa energetycznego po 28 luty 2024 wszelkie punkty </w:t>
      </w:r>
      <w:proofErr w:type="spellStart"/>
      <w:r w:rsidRPr="004303CE">
        <w:rPr>
          <w:sz w:val="24"/>
          <w:szCs w:val="24"/>
        </w:rPr>
        <w:t>ppe</w:t>
      </w:r>
      <w:proofErr w:type="spellEnd"/>
      <w:r w:rsidRPr="004303CE">
        <w:rPr>
          <w:sz w:val="24"/>
          <w:szCs w:val="24"/>
        </w:rPr>
        <w:t xml:space="preserve"> w grupach</w:t>
      </w:r>
      <w:r>
        <w:rPr>
          <w:sz w:val="24"/>
          <w:szCs w:val="24"/>
        </w:rPr>
        <w:t xml:space="preserve"> </w:t>
      </w:r>
      <w:r w:rsidRPr="004303CE">
        <w:rPr>
          <w:sz w:val="24"/>
          <w:szCs w:val="24"/>
        </w:rPr>
        <w:t>G1x o charakterze gospodarstw domowych do jakich należą mi. akademiki jako obiekty zbiorowego</w:t>
      </w:r>
      <w:r>
        <w:rPr>
          <w:sz w:val="24"/>
          <w:szCs w:val="24"/>
        </w:rPr>
        <w:t xml:space="preserve"> </w:t>
      </w:r>
      <w:r w:rsidRPr="004303CE">
        <w:rPr>
          <w:sz w:val="24"/>
          <w:szCs w:val="24"/>
        </w:rPr>
        <w:t>zamieszkania podlegają obowiązkowi zawierania umów kompleksowych a więc nie powinny być ujęte w postępowaniu na sprzedaż</w:t>
      </w:r>
      <w:r w:rsidR="0021780C" w:rsidRPr="004303CE">
        <w:rPr>
          <w:sz w:val="24"/>
          <w:szCs w:val="24"/>
        </w:rPr>
        <w:t>.</w:t>
      </w:r>
      <w:r w:rsidR="0021780C" w:rsidRPr="004303CE">
        <w:rPr>
          <w:sz w:val="24"/>
          <w:szCs w:val="24"/>
        </w:rPr>
        <w:br/>
      </w:r>
      <w:r w:rsidR="0021780C" w:rsidRPr="0088491A">
        <w:rPr>
          <w:rFonts w:cstheme="minorHAnsi"/>
          <w:b/>
          <w:color w:val="000000" w:themeColor="text1"/>
          <w:sz w:val="24"/>
          <w:szCs w:val="24"/>
        </w:rPr>
        <w:t>Odpowiedź na pytanie 1:</w:t>
      </w:r>
    </w:p>
    <w:p w14:paraId="3416186F" w14:textId="66559B46" w:rsidR="006A26E0" w:rsidRPr="002D6B85" w:rsidRDefault="0088491A" w:rsidP="004303CE">
      <w:pPr>
        <w:spacing w:after="0" w:line="276" w:lineRule="auto"/>
        <w:rPr>
          <w:sz w:val="24"/>
          <w:szCs w:val="24"/>
        </w:rPr>
      </w:pPr>
      <w:r w:rsidRPr="002D6B85">
        <w:rPr>
          <w:sz w:val="24"/>
          <w:szCs w:val="24"/>
        </w:rPr>
        <w:t>Zgodnie z artykułem 5 ustęp</w:t>
      </w:r>
      <w:r w:rsidRPr="002D6B85">
        <w:rPr>
          <w:sz w:val="24"/>
          <w:szCs w:val="24"/>
        </w:rPr>
        <w:t xml:space="preserve"> 3a </w:t>
      </w:r>
      <w:r w:rsidRPr="002D6B85">
        <w:rPr>
          <w:sz w:val="24"/>
          <w:szCs w:val="24"/>
        </w:rPr>
        <w:t xml:space="preserve">ustawy – Prawo energetyczne </w:t>
      </w:r>
      <w:r w:rsidRPr="002D6B85">
        <w:rPr>
          <w:sz w:val="24"/>
          <w:szCs w:val="24"/>
        </w:rPr>
        <w:t>dodany</w:t>
      </w:r>
      <w:r w:rsidRPr="002D6B85">
        <w:rPr>
          <w:sz w:val="24"/>
          <w:szCs w:val="24"/>
        </w:rPr>
        <w:t>m</w:t>
      </w:r>
      <w:r w:rsidRPr="002D6B85">
        <w:rPr>
          <w:sz w:val="24"/>
          <w:szCs w:val="24"/>
        </w:rPr>
        <w:t xml:space="preserve"> ustawą z dnia 28.07.2023 r. (D</w:t>
      </w:r>
      <w:r w:rsidRPr="002D6B85">
        <w:rPr>
          <w:sz w:val="24"/>
          <w:szCs w:val="24"/>
        </w:rPr>
        <w:t xml:space="preserve">z.U. z 2023 r. poz. 1681), który wszedł w życie w dniu </w:t>
      </w:r>
      <w:r w:rsidRPr="002D6B85">
        <w:rPr>
          <w:sz w:val="24"/>
          <w:szCs w:val="24"/>
        </w:rPr>
        <w:t>24.02.2024 r.</w:t>
      </w:r>
      <w:r w:rsidRPr="002D6B85">
        <w:rPr>
          <w:sz w:val="24"/>
          <w:szCs w:val="24"/>
        </w:rPr>
        <w:t xml:space="preserve"> „</w:t>
      </w:r>
      <w:r w:rsidRPr="002D6B85">
        <w:rPr>
          <w:sz w:val="24"/>
          <w:szCs w:val="24"/>
        </w:rPr>
        <w:t xml:space="preserve">Dostarczanie paliw gazowych lub energii elektrycznej do odbiorcy paliw gazowych lub energii elektrycznej w gospodarstwie domowym odbywa się </w:t>
      </w:r>
      <w:r w:rsidRPr="002D6B85">
        <w:rPr>
          <w:sz w:val="24"/>
          <w:szCs w:val="24"/>
        </w:rPr>
        <w:t xml:space="preserve">na podstawie umowy kompleksowej”. </w:t>
      </w:r>
    </w:p>
    <w:p w14:paraId="18C36C72" w14:textId="58C121D8" w:rsidR="00FD6357" w:rsidRDefault="00DC3C27" w:rsidP="002D6B85">
      <w:pPr>
        <w:spacing w:after="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Zgodnie ze wyjaśnieniami Ministerstwa Klimatu i Środowiska z dnia 17.06.2022 roku dotyczącymi interpretacji przepisów ustawy </w:t>
      </w:r>
      <w:r w:rsidRPr="002D6B85">
        <w:rPr>
          <w:sz w:val="24"/>
          <w:szCs w:val="24"/>
        </w:rPr>
        <w:t>– Prawo energetyczne</w:t>
      </w:r>
      <w:r>
        <w:rPr>
          <w:sz w:val="24"/>
          <w:szCs w:val="24"/>
        </w:rPr>
        <w:t xml:space="preserve"> </w:t>
      </w:r>
      <w:r w:rsidRPr="00FD6357">
        <w:rPr>
          <w:i/>
          <w:sz w:val="24"/>
          <w:szCs w:val="24"/>
        </w:rPr>
        <w:t xml:space="preserve">”(…) </w:t>
      </w:r>
      <w:r w:rsidRPr="00FD6357">
        <w:rPr>
          <w:rFonts w:cs="Arial"/>
          <w:i/>
          <w:sz w:val="24"/>
          <w:szCs w:val="24"/>
        </w:rPr>
        <w:t xml:space="preserve">nie wydaje się możliwe, aby hotel pracowniczy </w:t>
      </w:r>
      <w:r w:rsidRPr="00FD6357">
        <w:rPr>
          <w:rFonts w:cs="Arial"/>
          <w:i/>
          <w:sz w:val="24"/>
          <w:szCs w:val="24"/>
        </w:rPr>
        <w:t xml:space="preserve">(lub inny obiekt zbiorowego zamieszkania) </w:t>
      </w:r>
      <w:r w:rsidRPr="00FD6357">
        <w:rPr>
          <w:rFonts w:cs="Arial"/>
          <w:i/>
          <w:sz w:val="24"/>
          <w:szCs w:val="24"/>
        </w:rPr>
        <w:t>można było traktować</w:t>
      </w:r>
      <w:r w:rsidRPr="00FD6357">
        <w:rPr>
          <w:i/>
          <w:sz w:val="24"/>
          <w:szCs w:val="24"/>
        </w:rPr>
        <w:t xml:space="preserve"> </w:t>
      </w:r>
      <w:r w:rsidRPr="00FD6357">
        <w:rPr>
          <w:rFonts w:cs="Arial"/>
          <w:i/>
          <w:sz w:val="24"/>
          <w:szCs w:val="24"/>
        </w:rPr>
        <w:t>jak gospodarstwo domowe, o którym mowa w art. 3 pkt 13b ustawy – Prawo energetyczne.</w:t>
      </w:r>
      <w:r w:rsidRPr="00FD6357">
        <w:rPr>
          <w:i/>
          <w:sz w:val="24"/>
          <w:szCs w:val="24"/>
        </w:rPr>
        <w:t xml:space="preserve"> </w:t>
      </w:r>
      <w:r w:rsidRPr="00FD6357">
        <w:rPr>
          <w:rFonts w:cs="Arial"/>
          <w:i/>
          <w:sz w:val="24"/>
          <w:szCs w:val="24"/>
        </w:rPr>
        <w:t>Ustawa nie precyzuje, co należy rozumieć pod pojęciem „gospodarstwo domowe”, jednak</w:t>
      </w:r>
      <w:r w:rsidRPr="00FD6357">
        <w:rPr>
          <w:i/>
          <w:sz w:val="24"/>
          <w:szCs w:val="24"/>
        </w:rPr>
        <w:t xml:space="preserve"> </w:t>
      </w:r>
      <w:r w:rsidRPr="00FD6357">
        <w:rPr>
          <w:rFonts w:cs="Arial"/>
          <w:i/>
          <w:sz w:val="24"/>
          <w:szCs w:val="24"/>
        </w:rPr>
        <w:t>posługują się nim inne akty normatywne. Zgodnie na przykład z art. 2 pkt 3 ustawy z dnia 24</w:t>
      </w:r>
      <w:r w:rsidRPr="00FD6357">
        <w:rPr>
          <w:i/>
          <w:sz w:val="24"/>
          <w:szCs w:val="24"/>
        </w:rPr>
        <w:t xml:space="preserve"> </w:t>
      </w:r>
      <w:r w:rsidRPr="00FD6357">
        <w:rPr>
          <w:rFonts w:cs="Arial"/>
          <w:i/>
          <w:sz w:val="24"/>
          <w:szCs w:val="24"/>
        </w:rPr>
        <w:t>lutego 2022 r. o wsparciu gospodarstw domowych w ponoszeniu kosztów związanych ze zmianą</w:t>
      </w:r>
      <w:r w:rsidRPr="00FD6357">
        <w:rPr>
          <w:i/>
          <w:sz w:val="24"/>
          <w:szCs w:val="24"/>
        </w:rPr>
        <w:t xml:space="preserve"> </w:t>
      </w:r>
      <w:r w:rsidRPr="00FD6357">
        <w:rPr>
          <w:rFonts w:cs="Arial"/>
          <w:i/>
          <w:sz w:val="24"/>
          <w:szCs w:val="24"/>
        </w:rPr>
        <w:t>standardu nadawania naziemnej telewizji cyfrowej (Dz.U. poz. 501), przez gospodarstwo</w:t>
      </w:r>
      <w:r w:rsidRPr="00FD6357">
        <w:rPr>
          <w:i/>
          <w:sz w:val="24"/>
          <w:szCs w:val="24"/>
        </w:rPr>
        <w:t xml:space="preserve"> </w:t>
      </w:r>
      <w:r w:rsidRPr="00FD6357">
        <w:rPr>
          <w:rFonts w:cs="Arial"/>
          <w:i/>
          <w:sz w:val="24"/>
          <w:szCs w:val="24"/>
        </w:rPr>
        <w:t>domowe należy rozumieć &lt;&lt;</w:t>
      </w:r>
      <w:r w:rsidRPr="00FD6357">
        <w:rPr>
          <w:rFonts w:cs="Arial"/>
          <w:i/>
          <w:sz w:val="24"/>
          <w:szCs w:val="24"/>
        </w:rPr>
        <w:t>zespół osób mieszkających i utrzymujących się wspólnie albo jedną</w:t>
      </w:r>
      <w:r w:rsidRPr="00FD6357">
        <w:rPr>
          <w:i/>
          <w:sz w:val="24"/>
          <w:szCs w:val="24"/>
        </w:rPr>
        <w:t xml:space="preserve"> </w:t>
      </w:r>
      <w:r w:rsidRPr="00FD6357">
        <w:rPr>
          <w:rFonts w:cs="Arial"/>
          <w:i/>
          <w:sz w:val="24"/>
          <w:szCs w:val="24"/>
        </w:rPr>
        <w:t>osobę utrzymującą się samodzielnie, gdy miejsce zamieszkania tych osób znajduje się na</w:t>
      </w:r>
      <w:r w:rsidRPr="00FD6357">
        <w:rPr>
          <w:i/>
          <w:sz w:val="24"/>
          <w:szCs w:val="24"/>
        </w:rPr>
        <w:t xml:space="preserve"> </w:t>
      </w:r>
      <w:r w:rsidRPr="00FD6357">
        <w:rPr>
          <w:rFonts w:cs="Arial"/>
          <w:i/>
          <w:sz w:val="24"/>
          <w:szCs w:val="24"/>
        </w:rPr>
        <w:t>teryt</w:t>
      </w:r>
      <w:r w:rsidRPr="00FD6357">
        <w:rPr>
          <w:rFonts w:cs="Arial"/>
          <w:i/>
          <w:sz w:val="24"/>
          <w:szCs w:val="24"/>
        </w:rPr>
        <w:t>orium Rzeczypospolitej Polskiej&gt;&gt;</w:t>
      </w:r>
      <w:r w:rsidRPr="00FD6357">
        <w:rPr>
          <w:rFonts w:cs="Arial"/>
          <w:i/>
          <w:sz w:val="24"/>
          <w:szCs w:val="24"/>
        </w:rPr>
        <w:t>. W świetle tej definicji, hotel pracowniczy (lub inny obiekt zbiorowego zamieszkania) nie jest</w:t>
      </w:r>
      <w:r w:rsidRPr="00FD6357">
        <w:rPr>
          <w:i/>
          <w:sz w:val="24"/>
          <w:szCs w:val="24"/>
        </w:rPr>
        <w:t xml:space="preserve"> </w:t>
      </w:r>
      <w:r w:rsidRPr="00FD6357">
        <w:rPr>
          <w:rFonts w:cs="Arial"/>
          <w:i/>
          <w:sz w:val="24"/>
          <w:szCs w:val="24"/>
        </w:rPr>
        <w:t>gospodarstwem domowym, ponieważ osoby go zamieszkujące nie ponoszą kosztów</w:t>
      </w:r>
      <w:r w:rsidRPr="00FD6357">
        <w:rPr>
          <w:i/>
          <w:sz w:val="24"/>
          <w:szCs w:val="24"/>
        </w:rPr>
        <w:t xml:space="preserve"> </w:t>
      </w:r>
      <w:r w:rsidRPr="00FD6357">
        <w:rPr>
          <w:rFonts w:cs="Arial"/>
          <w:i/>
          <w:sz w:val="24"/>
          <w:szCs w:val="24"/>
        </w:rPr>
        <w:t>związanych z medi</w:t>
      </w:r>
      <w:r w:rsidRPr="00FD6357">
        <w:rPr>
          <w:rFonts w:cs="Arial"/>
          <w:i/>
          <w:sz w:val="24"/>
          <w:szCs w:val="24"/>
        </w:rPr>
        <w:t>ami, które opłacane są</w:t>
      </w:r>
      <w:r w:rsidRPr="00FD6357">
        <w:rPr>
          <w:rFonts w:cs="Arial"/>
          <w:i/>
          <w:sz w:val="24"/>
          <w:szCs w:val="24"/>
        </w:rPr>
        <w:t xml:space="preserve"> przez określone</w:t>
      </w:r>
      <w:r w:rsidRPr="00FD6357">
        <w:rPr>
          <w:i/>
          <w:sz w:val="24"/>
          <w:szCs w:val="24"/>
        </w:rPr>
        <w:t xml:space="preserve"> </w:t>
      </w:r>
      <w:r w:rsidRPr="00FD6357">
        <w:rPr>
          <w:rFonts w:cs="Arial"/>
          <w:i/>
          <w:sz w:val="24"/>
          <w:szCs w:val="24"/>
        </w:rPr>
        <w:t>przedsiębiorstwa, co w efekcie oznacza, że osoby te nie utrzymują się wspólnie/samodzielnie.</w:t>
      </w:r>
      <w:r w:rsidRPr="00FD6357">
        <w:rPr>
          <w:i/>
          <w:sz w:val="24"/>
          <w:szCs w:val="24"/>
        </w:rPr>
        <w:t xml:space="preserve"> </w:t>
      </w:r>
      <w:r w:rsidR="00FD6357" w:rsidRPr="00FD6357">
        <w:rPr>
          <w:i/>
          <w:sz w:val="24"/>
          <w:szCs w:val="24"/>
        </w:rPr>
        <w:t xml:space="preserve"> </w:t>
      </w:r>
      <w:r w:rsidRPr="00FD6357">
        <w:rPr>
          <w:rFonts w:cs="Arial"/>
          <w:i/>
          <w:sz w:val="24"/>
          <w:szCs w:val="24"/>
        </w:rPr>
        <w:t>Na kwestie samodzielnego/wspólnego u</w:t>
      </w:r>
      <w:bookmarkStart w:id="0" w:name="_GoBack"/>
      <w:bookmarkEnd w:id="0"/>
      <w:r w:rsidRPr="00FD6357">
        <w:rPr>
          <w:rFonts w:cs="Arial"/>
          <w:i/>
          <w:sz w:val="24"/>
          <w:szCs w:val="24"/>
        </w:rPr>
        <w:t>trzymywania się osób zamieszkujących gospodarstwo</w:t>
      </w:r>
      <w:r w:rsidR="00FD6357" w:rsidRPr="00FD6357">
        <w:rPr>
          <w:i/>
          <w:sz w:val="24"/>
          <w:szCs w:val="24"/>
        </w:rPr>
        <w:t xml:space="preserve"> </w:t>
      </w:r>
      <w:r w:rsidRPr="00FD6357">
        <w:rPr>
          <w:rFonts w:cs="Arial"/>
          <w:i/>
          <w:sz w:val="24"/>
          <w:szCs w:val="24"/>
        </w:rPr>
        <w:t>domowe uwagę zwraca również definicja gospodarstwa domowego zawarta w słowniku PWN.</w:t>
      </w:r>
      <w:r w:rsidR="00FD6357" w:rsidRPr="00FD6357">
        <w:rPr>
          <w:i/>
          <w:sz w:val="24"/>
          <w:szCs w:val="24"/>
        </w:rPr>
        <w:t xml:space="preserve"> </w:t>
      </w:r>
      <w:r w:rsidR="00FD6357" w:rsidRPr="00FD6357">
        <w:rPr>
          <w:rFonts w:cs="Arial"/>
          <w:i/>
          <w:sz w:val="24"/>
          <w:szCs w:val="24"/>
        </w:rPr>
        <w:t>Zgodnie z nią jest to &lt;&lt;</w:t>
      </w:r>
      <w:r w:rsidRPr="00FD6357">
        <w:rPr>
          <w:rFonts w:cs="Arial"/>
          <w:i/>
          <w:sz w:val="24"/>
          <w:szCs w:val="24"/>
        </w:rPr>
        <w:t>zespół osób razem zamieszkujących i wspólnie utrzymujących się, w</w:t>
      </w:r>
      <w:r w:rsidR="00FD6357" w:rsidRPr="00FD6357">
        <w:rPr>
          <w:i/>
          <w:sz w:val="24"/>
          <w:szCs w:val="24"/>
        </w:rPr>
        <w:t xml:space="preserve"> </w:t>
      </w:r>
      <w:r w:rsidRPr="00FD6357">
        <w:rPr>
          <w:rFonts w:cs="Arial"/>
          <w:i/>
          <w:sz w:val="24"/>
          <w:szCs w:val="24"/>
        </w:rPr>
        <w:t>większości połączonych więzami biologicznymi i stanowiących rodziny, choć do gospodarstw</w:t>
      </w:r>
      <w:r w:rsidR="00FD6357" w:rsidRPr="00FD6357">
        <w:rPr>
          <w:i/>
          <w:sz w:val="24"/>
          <w:szCs w:val="24"/>
        </w:rPr>
        <w:t xml:space="preserve"> </w:t>
      </w:r>
      <w:r w:rsidRPr="00FD6357">
        <w:rPr>
          <w:rFonts w:cs="Arial"/>
          <w:i/>
          <w:sz w:val="24"/>
          <w:szCs w:val="24"/>
        </w:rPr>
        <w:t>domowych zalicza się również osoby niespokrewnione, ale wspólnie zamieszkujące i</w:t>
      </w:r>
      <w:r w:rsidR="00FD6357" w:rsidRPr="00FD6357">
        <w:rPr>
          <w:i/>
          <w:sz w:val="24"/>
          <w:szCs w:val="24"/>
        </w:rPr>
        <w:t xml:space="preserve"> </w:t>
      </w:r>
      <w:r w:rsidRPr="00FD6357">
        <w:rPr>
          <w:rFonts w:cs="Arial"/>
          <w:i/>
          <w:sz w:val="24"/>
          <w:szCs w:val="24"/>
        </w:rPr>
        <w:t>utrzymujące się, osoby samotne, utrzymujące się samodzielnie to jednoosobowe gospodarstwa</w:t>
      </w:r>
      <w:r w:rsidR="00FD6357" w:rsidRPr="00FD6357">
        <w:rPr>
          <w:i/>
          <w:sz w:val="24"/>
          <w:szCs w:val="24"/>
        </w:rPr>
        <w:t xml:space="preserve"> </w:t>
      </w:r>
      <w:r w:rsidR="00FD6357" w:rsidRPr="00FD6357">
        <w:rPr>
          <w:rFonts w:cs="Arial"/>
          <w:i/>
          <w:sz w:val="24"/>
          <w:szCs w:val="24"/>
        </w:rPr>
        <w:t>domowe&gt;&gt;”</w:t>
      </w:r>
      <w:r w:rsidRPr="00DC3C27">
        <w:rPr>
          <w:rFonts w:cs="Arial"/>
          <w:sz w:val="24"/>
          <w:szCs w:val="24"/>
        </w:rPr>
        <w:t>.</w:t>
      </w:r>
    </w:p>
    <w:p w14:paraId="7D32C549" w14:textId="278F6541" w:rsidR="0088491A" w:rsidRPr="00FD6357" w:rsidRDefault="00FD6357" w:rsidP="002D6B8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Ponadto, </w:t>
      </w:r>
      <w:r>
        <w:rPr>
          <w:rFonts w:cs="Arial"/>
          <w:sz w:val="24"/>
          <w:szCs w:val="24"/>
        </w:rPr>
        <w:t>z</w:t>
      </w:r>
      <w:r w:rsidR="0088491A" w:rsidRPr="002D6B85">
        <w:rPr>
          <w:rFonts w:cs="Arial"/>
          <w:sz w:val="24"/>
          <w:szCs w:val="24"/>
        </w:rPr>
        <w:t xml:space="preserve">godnie z definicją zawartą w </w:t>
      </w:r>
      <w:r w:rsidR="002D6B85" w:rsidRPr="002D6B85">
        <w:rPr>
          <w:rFonts w:cs="Arial"/>
          <w:sz w:val="24"/>
          <w:szCs w:val="24"/>
        </w:rPr>
        <w:t xml:space="preserve">artykule 3 punkt 5) </w:t>
      </w:r>
      <w:r w:rsidR="0088491A" w:rsidRPr="002D6B85">
        <w:rPr>
          <w:rFonts w:cs="Arial"/>
          <w:sz w:val="24"/>
          <w:szCs w:val="24"/>
        </w:rPr>
        <w:t>u</w:t>
      </w:r>
      <w:r w:rsidR="002D6B85" w:rsidRPr="002D6B85">
        <w:rPr>
          <w:rFonts w:cs="Arial"/>
          <w:sz w:val="24"/>
          <w:szCs w:val="24"/>
        </w:rPr>
        <w:t>stawy</w:t>
      </w:r>
      <w:r w:rsidR="0088491A" w:rsidRPr="002D6B85">
        <w:rPr>
          <w:rFonts w:cs="Arial"/>
          <w:sz w:val="24"/>
          <w:szCs w:val="24"/>
        </w:rPr>
        <w:t xml:space="preserve"> z dnia 2 grudnia 1999 roku o narodowym spisie powszechnym ludności i mieszkań w 2002 roku (Dz. U. z 2000 r. poz. 1). gospodarstwo domowe to </w:t>
      </w:r>
      <w:r w:rsidR="0088491A" w:rsidRPr="002D6B85">
        <w:rPr>
          <w:rFonts w:cs="Arial"/>
          <w:i/>
          <w:iCs/>
          <w:sz w:val="24"/>
          <w:szCs w:val="24"/>
        </w:rPr>
        <w:t>„zespół osób zamieszkujących razem i wspólnie utrzymujących się. Osoby samotne utrzymujące się samodzielnie tworzą jednoosobowe gospodarstwa domowe”</w:t>
      </w:r>
      <w:r w:rsidR="0088491A" w:rsidRPr="002D6B85">
        <w:rPr>
          <w:rFonts w:cs="Arial"/>
          <w:sz w:val="24"/>
          <w:szCs w:val="24"/>
        </w:rPr>
        <w:t xml:space="preserve">. </w:t>
      </w:r>
      <w:r w:rsidR="002D6B85" w:rsidRPr="002D6B85">
        <w:rPr>
          <w:rFonts w:cs="Arial"/>
          <w:sz w:val="24"/>
          <w:szCs w:val="24"/>
        </w:rPr>
        <w:t xml:space="preserve">Natomiast w artykule 3 punkt 3 tejże ustawy osobno zdefiniowany został „obiekt zbiorowego zakwaterowania” jako </w:t>
      </w:r>
      <w:r w:rsidR="002D6B85" w:rsidRPr="002D6B85">
        <w:rPr>
          <w:rFonts w:cs="Arial"/>
          <w:i/>
          <w:sz w:val="24"/>
          <w:szCs w:val="24"/>
        </w:rPr>
        <w:t>obiekt, gdzie przebywa więk</w:t>
      </w:r>
      <w:r w:rsidR="002D6B85" w:rsidRPr="002D6B85">
        <w:rPr>
          <w:rFonts w:cs="Arial"/>
          <w:i/>
          <w:sz w:val="24"/>
          <w:szCs w:val="24"/>
        </w:rPr>
        <w:t>sza liczba osób, np. internat, dom akademicki lu</w:t>
      </w:r>
      <w:r w:rsidR="002D6B85" w:rsidRPr="002D6B85">
        <w:rPr>
          <w:rFonts w:cs="Arial"/>
          <w:i/>
          <w:sz w:val="24"/>
          <w:szCs w:val="24"/>
        </w:rPr>
        <w:t xml:space="preserve">b studencki, hotel pracowniczy, </w:t>
      </w:r>
      <w:r w:rsidR="002D6B85" w:rsidRPr="002D6B85">
        <w:rPr>
          <w:rFonts w:cs="Arial"/>
          <w:i/>
          <w:sz w:val="24"/>
          <w:szCs w:val="24"/>
        </w:rPr>
        <w:t>dom dziecka, zakład wychowawczy, dom rencisty, dom pomocy społ</w:t>
      </w:r>
      <w:r w:rsidR="002D6B85" w:rsidRPr="002D6B85">
        <w:rPr>
          <w:rFonts w:cs="Arial"/>
          <w:i/>
          <w:sz w:val="24"/>
          <w:szCs w:val="24"/>
        </w:rPr>
        <w:t xml:space="preserve">ecznej, dom </w:t>
      </w:r>
      <w:r w:rsidR="002D6B85" w:rsidRPr="002D6B85">
        <w:rPr>
          <w:rFonts w:cs="Arial"/>
          <w:i/>
          <w:sz w:val="24"/>
          <w:szCs w:val="24"/>
        </w:rPr>
        <w:t xml:space="preserve">zakonny, klasztor, szpital, sanatorium, schronisko </w:t>
      </w:r>
      <w:r w:rsidR="002D6B85" w:rsidRPr="002D6B85">
        <w:rPr>
          <w:rFonts w:cs="Arial"/>
          <w:i/>
          <w:sz w:val="24"/>
          <w:szCs w:val="24"/>
        </w:rPr>
        <w:t>turystyczne, hotel, motel, pen</w:t>
      </w:r>
      <w:r w:rsidR="002D6B85" w:rsidRPr="002D6B85">
        <w:rPr>
          <w:rFonts w:cs="Arial"/>
          <w:i/>
          <w:sz w:val="24"/>
          <w:szCs w:val="24"/>
        </w:rPr>
        <w:t>sjonat, noclegownia</w:t>
      </w:r>
      <w:r w:rsidR="002D6B85" w:rsidRPr="002D6B85">
        <w:rPr>
          <w:rFonts w:cs="Arial"/>
          <w:sz w:val="24"/>
          <w:szCs w:val="24"/>
        </w:rPr>
        <w:t xml:space="preserve">. </w:t>
      </w:r>
    </w:p>
    <w:p w14:paraId="4EA22B82" w14:textId="6CD291B0" w:rsidR="0002645F" w:rsidRPr="002D6B85" w:rsidRDefault="0002645F" w:rsidP="002D6B85">
      <w:pPr>
        <w:spacing w:after="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Mając na uwadze powyższe, zapis zawarty w artykule </w:t>
      </w:r>
      <w:r w:rsidRPr="002D6B85">
        <w:rPr>
          <w:sz w:val="24"/>
          <w:szCs w:val="24"/>
        </w:rPr>
        <w:t xml:space="preserve">5 ustęp 3a ustawy – Prawo energetyczne </w:t>
      </w:r>
      <w:r>
        <w:rPr>
          <w:sz w:val="24"/>
          <w:szCs w:val="24"/>
        </w:rPr>
        <w:t xml:space="preserve">dotyczący obowiązku </w:t>
      </w:r>
      <w:r>
        <w:rPr>
          <w:rFonts w:cs="Arial"/>
          <w:sz w:val="24"/>
          <w:szCs w:val="24"/>
        </w:rPr>
        <w:t xml:space="preserve">zawierania umów kompleksowych na </w:t>
      </w:r>
      <w:r>
        <w:rPr>
          <w:sz w:val="24"/>
          <w:szCs w:val="24"/>
        </w:rPr>
        <w:t xml:space="preserve">dostarczanie </w:t>
      </w:r>
      <w:r w:rsidRPr="002D6B85">
        <w:rPr>
          <w:sz w:val="24"/>
          <w:szCs w:val="24"/>
        </w:rPr>
        <w:t>energii elektrycznej do odbiorcy w gospodarstwie domowym</w:t>
      </w:r>
      <w:r>
        <w:rPr>
          <w:sz w:val="24"/>
          <w:szCs w:val="24"/>
        </w:rPr>
        <w:t xml:space="preserve"> nie ma zastosowania do </w:t>
      </w:r>
      <w:r w:rsidRPr="002D6B85">
        <w:rPr>
          <w:rFonts w:cs="Arial"/>
          <w:sz w:val="24"/>
          <w:szCs w:val="24"/>
        </w:rPr>
        <w:t>obiekt</w:t>
      </w:r>
      <w:r>
        <w:rPr>
          <w:rFonts w:cs="Arial"/>
          <w:sz w:val="24"/>
          <w:szCs w:val="24"/>
        </w:rPr>
        <w:t xml:space="preserve">ów </w:t>
      </w:r>
      <w:r w:rsidRPr="002D6B85">
        <w:rPr>
          <w:rFonts w:cs="Arial"/>
          <w:sz w:val="24"/>
          <w:szCs w:val="24"/>
        </w:rPr>
        <w:t>zbiorowego zakwaterowani</w:t>
      </w:r>
      <w:r w:rsidR="00FD6357">
        <w:rPr>
          <w:rFonts w:cs="Arial"/>
          <w:sz w:val="24"/>
          <w:szCs w:val="24"/>
        </w:rPr>
        <w:t>a.</w:t>
      </w:r>
    </w:p>
    <w:p w14:paraId="31DC2A75" w14:textId="77777777" w:rsidR="0088491A" w:rsidRPr="0088491A" w:rsidRDefault="0088491A" w:rsidP="004303CE">
      <w:pPr>
        <w:spacing w:after="0" w:line="276" w:lineRule="auto"/>
        <w:rPr>
          <w:sz w:val="24"/>
          <w:szCs w:val="24"/>
        </w:rPr>
      </w:pPr>
    </w:p>
    <w:p w14:paraId="36685604" w14:textId="09AED47A" w:rsidR="006A26E0" w:rsidRPr="0088491A" w:rsidRDefault="006A26E0" w:rsidP="004303CE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88491A">
        <w:rPr>
          <w:rFonts w:cstheme="minorHAnsi"/>
          <w:b/>
          <w:color w:val="000000" w:themeColor="text1"/>
          <w:sz w:val="24"/>
          <w:szCs w:val="24"/>
        </w:rPr>
        <w:t>Pytanie 2</w:t>
      </w:r>
      <w:r w:rsidRPr="0088491A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69A1DC32" w14:textId="63D8708A" w:rsidR="006A26E0" w:rsidRDefault="006A26E0" w:rsidP="006A26E0">
      <w:pPr>
        <w:spacing w:after="0" w:line="276" w:lineRule="auto"/>
        <w:rPr>
          <w:rFonts w:eastAsia="Times New Roman" w:cs="Times New Roman"/>
          <w:sz w:val="24"/>
          <w:szCs w:val="24"/>
          <w:lang w:eastAsia="pl-PL"/>
        </w:rPr>
      </w:pPr>
      <w:r w:rsidRPr="0088491A">
        <w:rPr>
          <w:sz w:val="24"/>
          <w:szCs w:val="24"/>
        </w:rPr>
        <w:t xml:space="preserve">Czy budynek DS posiada instalacje PV- jeśli tak to o jakiej mocy? jaki jest status </w:t>
      </w:r>
      <w:proofErr w:type="spellStart"/>
      <w:r w:rsidRPr="0088491A">
        <w:rPr>
          <w:sz w:val="24"/>
          <w:szCs w:val="24"/>
        </w:rPr>
        <w:t>ppe</w:t>
      </w:r>
      <w:proofErr w:type="spellEnd"/>
      <w:r w:rsidRPr="0088491A">
        <w:rPr>
          <w:sz w:val="24"/>
          <w:szCs w:val="24"/>
        </w:rPr>
        <w:t xml:space="preserve"> prosument/wytwórca?</w:t>
      </w:r>
      <w:r w:rsidR="0021780C" w:rsidRPr="0088491A">
        <w:rPr>
          <w:sz w:val="24"/>
          <w:szCs w:val="24"/>
        </w:rPr>
        <w:br/>
      </w:r>
      <w:r>
        <w:rPr>
          <w:rFonts w:cstheme="minorHAnsi"/>
          <w:b/>
          <w:color w:val="000000" w:themeColor="text1"/>
          <w:sz w:val="24"/>
          <w:szCs w:val="24"/>
        </w:rPr>
        <w:t>Odpowiedź na pytanie 2</w:t>
      </w:r>
      <w:r w:rsidRPr="004303CE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33A01D03" w14:textId="2A42657A" w:rsidR="004C5B63" w:rsidRDefault="006A26E0" w:rsidP="004303CE">
      <w:pPr>
        <w:spacing w:after="0" w:line="276" w:lineRule="auto"/>
        <w:rPr>
          <w:sz w:val="24"/>
          <w:szCs w:val="24"/>
        </w:rPr>
      </w:pPr>
      <w:r w:rsidRPr="004C5B63">
        <w:rPr>
          <w:sz w:val="24"/>
          <w:szCs w:val="24"/>
        </w:rPr>
        <w:t xml:space="preserve">Zamawiający nie posiada </w:t>
      </w:r>
      <w:r>
        <w:rPr>
          <w:sz w:val="24"/>
          <w:szCs w:val="24"/>
        </w:rPr>
        <w:t xml:space="preserve">instalacji PV ani nie posiada </w:t>
      </w:r>
      <w:r w:rsidRPr="004C5B63">
        <w:rPr>
          <w:sz w:val="24"/>
          <w:szCs w:val="24"/>
        </w:rPr>
        <w:t>statusu prosumenta/wytwórcy</w:t>
      </w:r>
      <w:r>
        <w:rPr>
          <w:sz w:val="24"/>
          <w:szCs w:val="24"/>
        </w:rPr>
        <w:t>.</w:t>
      </w:r>
    </w:p>
    <w:p w14:paraId="65954344" w14:textId="77777777" w:rsidR="006A26E0" w:rsidRPr="004303CE" w:rsidRDefault="006A26E0" w:rsidP="004303CE">
      <w:pPr>
        <w:spacing w:after="0" w:line="276" w:lineRule="auto"/>
        <w:rPr>
          <w:sz w:val="24"/>
          <w:szCs w:val="24"/>
        </w:rPr>
      </w:pPr>
    </w:p>
    <w:p w14:paraId="287BAB90" w14:textId="5BEFAEC4" w:rsidR="004E0163" w:rsidRPr="004C5B63" w:rsidRDefault="004E0163" w:rsidP="004303CE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4C5B63">
        <w:rPr>
          <w:rFonts w:cstheme="minorHAnsi"/>
          <w:color w:val="000000" w:themeColor="text1"/>
          <w:sz w:val="24"/>
          <w:szCs w:val="24"/>
        </w:rPr>
        <w:t xml:space="preserve">Zamawiający </w:t>
      </w:r>
      <w:r w:rsidR="00A814B6" w:rsidRPr="004C5B63">
        <w:rPr>
          <w:rFonts w:cstheme="minorHAnsi"/>
          <w:color w:val="000000" w:themeColor="text1"/>
          <w:sz w:val="24"/>
          <w:szCs w:val="24"/>
        </w:rPr>
        <w:t>informuje, iż</w:t>
      </w:r>
      <w:r w:rsidRPr="004C5B63">
        <w:rPr>
          <w:rFonts w:cstheme="minorHAnsi"/>
          <w:color w:val="000000" w:themeColor="text1"/>
          <w:sz w:val="24"/>
          <w:szCs w:val="24"/>
        </w:rPr>
        <w:t xml:space="preserve"> termin składania ofert </w:t>
      </w:r>
      <w:r w:rsidR="00A814B6" w:rsidRPr="004C5B63">
        <w:rPr>
          <w:rFonts w:cstheme="minorHAnsi"/>
          <w:color w:val="000000" w:themeColor="text1"/>
          <w:sz w:val="24"/>
          <w:szCs w:val="24"/>
        </w:rPr>
        <w:t>pozostaje bez zmian i upływa w dniu</w:t>
      </w:r>
      <w:r w:rsidRPr="004C5B63">
        <w:rPr>
          <w:rFonts w:cstheme="minorHAnsi"/>
          <w:color w:val="000000" w:themeColor="text1"/>
          <w:sz w:val="24"/>
          <w:szCs w:val="24"/>
        </w:rPr>
        <w:t xml:space="preserve"> </w:t>
      </w:r>
      <w:r w:rsidR="004C5B63" w:rsidRPr="004C5B63">
        <w:rPr>
          <w:rFonts w:cstheme="minorHAnsi"/>
          <w:color w:val="000000" w:themeColor="text1"/>
          <w:sz w:val="24"/>
          <w:szCs w:val="24"/>
        </w:rPr>
        <w:t>16.10</w:t>
      </w:r>
      <w:r w:rsidRPr="004C5B63">
        <w:rPr>
          <w:rFonts w:cstheme="minorHAnsi"/>
          <w:color w:val="000000" w:themeColor="text1"/>
          <w:sz w:val="24"/>
          <w:szCs w:val="24"/>
        </w:rPr>
        <w:t>.2024 r., do godziny 0</w:t>
      </w:r>
      <w:r w:rsidR="006E60F4" w:rsidRPr="004C5B63">
        <w:rPr>
          <w:rFonts w:cstheme="minorHAnsi"/>
          <w:color w:val="000000" w:themeColor="text1"/>
          <w:sz w:val="24"/>
          <w:szCs w:val="24"/>
        </w:rPr>
        <w:t>8</w:t>
      </w:r>
      <w:r w:rsidR="006A26E0">
        <w:rPr>
          <w:rFonts w:cstheme="minorHAnsi"/>
          <w:color w:val="000000" w:themeColor="text1"/>
          <w:sz w:val="24"/>
          <w:szCs w:val="24"/>
        </w:rPr>
        <w:t>:3</w:t>
      </w:r>
      <w:r w:rsidRPr="004C5B63">
        <w:rPr>
          <w:rFonts w:cstheme="minorHAnsi"/>
          <w:color w:val="000000" w:themeColor="text1"/>
          <w:sz w:val="24"/>
          <w:szCs w:val="24"/>
        </w:rPr>
        <w:t>0. Otwarcie ofert nastąpi tego samego dnia o godzinie 0</w:t>
      </w:r>
      <w:r w:rsidR="006A26E0">
        <w:rPr>
          <w:rFonts w:cstheme="minorHAnsi"/>
          <w:color w:val="000000" w:themeColor="text1"/>
          <w:sz w:val="24"/>
          <w:szCs w:val="24"/>
        </w:rPr>
        <w:t>9:0</w:t>
      </w:r>
      <w:r w:rsidRPr="004C5B63">
        <w:rPr>
          <w:rFonts w:cstheme="minorHAnsi"/>
          <w:color w:val="000000" w:themeColor="text1"/>
          <w:sz w:val="24"/>
          <w:szCs w:val="24"/>
        </w:rPr>
        <w:t xml:space="preserve">0. </w:t>
      </w:r>
    </w:p>
    <w:p w14:paraId="078CB1AD" w14:textId="77777777" w:rsidR="006E60F4" w:rsidRDefault="006E60F4" w:rsidP="004303CE">
      <w:pPr>
        <w:spacing w:after="0" w:line="276" w:lineRule="auto"/>
        <w:ind w:left="7080"/>
        <w:rPr>
          <w:rFonts w:cstheme="minorHAnsi"/>
          <w:color w:val="000000" w:themeColor="text1"/>
          <w:sz w:val="24"/>
          <w:szCs w:val="24"/>
        </w:rPr>
      </w:pPr>
    </w:p>
    <w:p w14:paraId="1510799C" w14:textId="77777777" w:rsidR="006A26E0" w:rsidRPr="004C5B63" w:rsidRDefault="006A26E0" w:rsidP="004303CE">
      <w:pPr>
        <w:spacing w:after="0" w:line="276" w:lineRule="auto"/>
        <w:ind w:left="7080"/>
        <w:rPr>
          <w:rFonts w:cstheme="minorHAnsi"/>
          <w:color w:val="000000" w:themeColor="text1"/>
          <w:sz w:val="24"/>
          <w:szCs w:val="24"/>
        </w:rPr>
      </w:pPr>
    </w:p>
    <w:p w14:paraId="1B1FF21B" w14:textId="1AAC7D43" w:rsidR="00F910E8" w:rsidRPr="004C5B63" w:rsidRDefault="00A814B6" w:rsidP="004303CE">
      <w:pPr>
        <w:spacing w:after="0" w:line="276" w:lineRule="auto"/>
        <w:ind w:left="6372"/>
        <w:rPr>
          <w:rFonts w:cstheme="minorHAnsi"/>
          <w:color w:val="000000" w:themeColor="text1"/>
          <w:sz w:val="24"/>
          <w:szCs w:val="24"/>
        </w:rPr>
      </w:pPr>
      <w:r w:rsidRPr="004C5B63">
        <w:rPr>
          <w:rFonts w:cstheme="minorHAnsi"/>
          <w:color w:val="000000" w:themeColor="text1"/>
          <w:sz w:val="24"/>
          <w:szCs w:val="24"/>
        </w:rPr>
        <w:t xml:space="preserve">         </w:t>
      </w:r>
      <w:r w:rsidR="00F910E8" w:rsidRPr="004C5B63">
        <w:rPr>
          <w:rFonts w:cstheme="minorHAnsi"/>
          <w:color w:val="000000" w:themeColor="text1"/>
          <w:sz w:val="24"/>
          <w:szCs w:val="24"/>
        </w:rPr>
        <w:t>Kanclerz</w:t>
      </w:r>
    </w:p>
    <w:p w14:paraId="583EEC84" w14:textId="0794401A" w:rsidR="00F910E8" w:rsidRPr="004C5B63" w:rsidRDefault="00F910E8" w:rsidP="004303CE">
      <w:pPr>
        <w:spacing w:after="0" w:line="276" w:lineRule="auto"/>
        <w:ind w:left="6372"/>
        <w:rPr>
          <w:rFonts w:cstheme="minorHAnsi"/>
          <w:color w:val="000000" w:themeColor="text1"/>
          <w:sz w:val="24"/>
          <w:szCs w:val="24"/>
        </w:rPr>
      </w:pPr>
      <w:r w:rsidRPr="004C5B63">
        <w:rPr>
          <w:rFonts w:cstheme="minorHAnsi"/>
          <w:color w:val="000000" w:themeColor="text1"/>
          <w:sz w:val="24"/>
          <w:szCs w:val="24"/>
        </w:rPr>
        <w:t>Mgr inż. Maria Róg</w:t>
      </w:r>
    </w:p>
    <w:sectPr w:rsidR="00F910E8" w:rsidRPr="004C5B63" w:rsidSect="004C5B6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605D8" w14:textId="77777777" w:rsidR="00E426F7" w:rsidRDefault="00E426F7" w:rsidP="00AC53E4">
      <w:pPr>
        <w:spacing w:after="0" w:line="240" w:lineRule="auto"/>
      </w:pPr>
      <w:r>
        <w:separator/>
      </w:r>
    </w:p>
  </w:endnote>
  <w:endnote w:type="continuationSeparator" w:id="0">
    <w:p w14:paraId="6FCFCB00" w14:textId="77777777" w:rsidR="00E426F7" w:rsidRDefault="00E426F7" w:rsidP="00AC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4C51C" w14:textId="77777777" w:rsidR="00E426F7" w:rsidRDefault="00E426F7" w:rsidP="00AC53E4">
      <w:pPr>
        <w:spacing w:after="0" w:line="240" w:lineRule="auto"/>
      </w:pPr>
      <w:r>
        <w:separator/>
      </w:r>
    </w:p>
  </w:footnote>
  <w:footnote w:type="continuationSeparator" w:id="0">
    <w:p w14:paraId="3F81616B" w14:textId="77777777" w:rsidR="00E426F7" w:rsidRDefault="00E426F7" w:rsidP="00AC5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6893"/>
    <w:multiLevelType w:val="hybridMultilevel"/>
    <w:tmpl w:val="C3A04F9A"/>
    <w:lvl w:ilvl="0" w:tplc="2FCCFFB0">
      <w:start w:val="1"/>
      <w:numFmt w:val="decimal"/>
      <w:lvlText w:val="3.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653A8"/>
    <w:multiLevelType w:val="multilevel"/>
    <w:tmpl w:val="9DB24E9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596D6D59"/>
    <w:multiLevelType w:val="multilevel"/>
    <w:tmpl w:val="64AA32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07"/>
    <w:rsid w:val="00004184"/>
    <w:rsid w:val="00013EF2"/>
    <w:rsid w:val="0002645F"/>
    <w:rsid w:val="00037ABC"/>
    <w:rsid w:val="00040AA3"/>
    <w:rsid w:val="00085F15"/>
    <w:rsid w:val="00091FDC"/>
    <w:rsid w:val="000A2D66"/>
    <w:rsid w:val="000B3204"/>
    <w:rsid w:val="000D5D35"/>
    <w:rsid w:val="000D672F"/>
    <w:rsid w:val="000E50CD"/>
    <w:rsid w:val="00103C7E"/>
    <w:rsid w:val="0012110E"/>
    <w:rsid w:val="001239F5"/>
    <w:rsid w:val="0013306E"/>
    <w:rsid w:val="0013448D"/>
    <w:rsid w:val="0013602E"/>
    <w:rsid w:val="00136CB8"/>
    <w:rsid w:val="00140EAF"/>
    <w:rsid w:val="00147225"/>
    <w:rsid w:val="0015294A"/>
    <w:rsid w:val="001833B4"/>
    <w:rsid w:val="00190563"/>
    <w:rsid w:val="00190A04"/>
    <w:rsid w:val="001912E4"/>
    <w:rsid w:val="001A1B75"/>
    <w:rsid w:val="001B759D"/>
    <w:rsid w:val="001C4D5D"/>
    <w:rsid w:val="001D0040"/>
    <w:rsid w:val="001D33FB"/>
    <w:rsid w:val="001D489A"/>
    <w:rsid w:val="001E0765"/>
    <w:rsid w:val="001E344A"/>
    <w:rsid w:val="00215418"/>
    <w:rsid w:val="0021780C"/>
    <w:rsid w:val="00222D93"/>
    <w:rsid w:val="00226EBA"/>
    <w:rsid w:val="002274B3"/>
    <w:rsid w:val="0023406F"/>
    <w:rsid w:val="0028749C"/>
    <w:rsid w:val="002A3645"/>
    <w:rsid w:val="002B31E2"/>
    <w:rsid w:val="002B61F0"/>
    <w:rsid w:val="002C3F02"/>
    <w:rsid w:val="002D46BE"/>
    <w:rsid w:val="002D5AD1"/>
    <w:rsid w:val="002D6B85"/>
    <w:rsid w:val="002E596A"/>
    <w:rsid w:val="0030746F"/>
    <w:rsid w:val="00310276"/>
    <w:rsid w:val="003138EC"/>
    <w:rsid w:val="00337DE4"/>
    <w:rsid w:val="00337E3B"/>
    <w:rsid w:val="003432A6"/>
    <w:rsid w:val="00347E90"/>
    <w:rsid w:val="00356470"/>
    <w:rsid w:val="003675C0"/>
    <w:rsid w:val="00381D2D"/>
    <w:rsid w:val="00382E8A"/>
    <w:rsid w:val="00387004"/>
    <w:rsid w:val="003A06F3"/>
    <w:rsid w:val="003A4362"/>
    <w:rsid w:val="003B4218"/>
    <w:rsid w:val="003C3D91"/>
    <w:rsid w:val="003F5962"/>
    <w:rsid w:val="00413DD0"/>
    <w:rsid w:val="00422D60"/>
    <w:rsid w:val="004303CE"/>
    <w:rsid w:val="0043182D"/>
    <w:rsid w:val="00470608"/>
    <w:rsid w:val="00471F32"/>
    <w:rsid w:val="00480C2B"/>
    <w:rsid w:val="004943AC"/>
    <w:rsid w:val="004A0E85"/>
    <w:rsid w:val="004A2CD4"/>
    <w:rsid w:val="004A7162"/>
    <w:rsid w:val="004C5B63"/>
    <w:rsid w:val="004C640F"/>
    <w:rsid w:val="004D5992"/>
    <w:rsid w:val="004D6A8E"/>
    <w:rsid w:val="004E0163"/>
    <w:rsid w:val="004E49AA"/>
    <w:rsid w:val="004E6BF9"/>
    <w:rsid w:val="004E7CEE"/>
    <w:rsid w:val="004F63D0"/>
    <w:rsid w:val="00514EAB"/>
    <w:rsid w:val="0052144F"/>
    <w:rsid w:val="005245B3"/>
    <w:rsid w:val="005479AF"/>
    <w:rsid w:val="00552E57"/>
    <w:rsid w:val="00553A05"/>
    <w:rsid w:val="00557C26"/>
    <w:rsid w:val="005672AC"/>
    <w:rsid w:val="005772B4"/>
    <w:rsid w:val="00581F76"/>
    <w:rsid w:val="005A596E"/>
    <w:rsid w:val="005C0516"/>
    <w:rsid w:val="005C4028"/>
    <w:rsid w:val="005D0588"/>
    <w:rsid w:val="006311D9"/>
    <w:rsid w:val="0063760D"/>
    <w:rsid w:val="006465F2"/>
    <w:rsid w:val="006537DA"/>
    <w:rsid w:val="00660162"/>
    <w:rsid w:val="00670A4B"/>
    <w:rsid w:val="006A0C8F"/>
    <w:rsid w:val="006A26E0"/>
    <w:rsid w:val="006A5C5A"/>
    <w:rsid w:val="006A63A5"/>
    <w:rsid w:val="006B25CB"/>
    <w:rsid w:val="006C444F"/>
    <w:rsid w:val="006C7BD0"/>
    <w:rsid w:val="006D045F"/>
    <w:rsid w:val="006D32D7"/>
    <w:rsid w:val="006E60F4"/>
    <w:rsid w:val="006E6D70"/>
    <w:rsid w:val="006F3B23"/>
    <w:rsid w:val="006F3D5E"/>
    <w:rsid w:val="00701749"/>
    <w:rsid w:val="007261FA"/>
    <w:rsid w:val="00754254"/>
    <w:rsid w:val="00772933"/>
    <w:rsid w:val="00781986"/>
    <w:rsid w:val="00782A59"/>
    <w:rsid w:val="007B4AE9"/>
    <w:rsid w:val="007B64D9"/>
    <w:rsid w:val="007D370C"/>
    <w:rsid w:val="007F6C08"/>
    <w:rsid w:val="0081399B"/>
    <w:rsid w:val="00814C6A"/>
    <w:rsid w:val="00823761"/>
    <w:rsid w:val="00875112"/>
    <w:rsid w:val="00880BD2"/>
    <w:rsid w:val="0088491A"/>
    <w:rsid w:val="008A65EB"/>
    <w:rsid w:val="008A6DB7"/>
    <w:rsid w:val="008D5F71"/>
    <w:rsid w:val="008D74BF"/>
    <w:rsid w:val="008F6A48"/>
    <w:rsid w:val="00902091"/>
    <w:rsid w:val="009107A7"/>
    <w:rsid w:val="00955724"/>
    <w:rsid w:val="009641FB"/>
    <w:rsid w:val="00970467"/>
    <w:rsid w:val="00970D63"/>
    <w:rsid w:val="0097719D"/>
    <w:rsid w:val="00987C58"/>
    <w:rsid w:val="009941F7"/>
    <w:rsid w:val="00996DD6"/>
    <w:rsid w:val="009A110D"/>
    <w:rsid w:val="009B0760"/>
    <w:rsid w:val="009C16CB"/>
    <w:rsid w:val="009C2939"/>
    <w:rsid w:val="009D0512"/>
    <w:rsid w:val="009E59C1"/>
    <w:rsid w:val="00A039DA"/>
    <w:rsid w:val="00A0491C"/>
    <w:rsid w:val="00A0706D"/>
    <w:rsid w:val="00A32301"/>
    <w:rsid w:val="00A3483A"/>
    <w:rsid w:val="00A80214"/>
    <w:rsid w:val="00A814B6"/>
    <w:rsid w:val="00A81CD4"/>
    <w:rsid w:val="00A84438"/>
    <w:rsid w:val="00AA2699"/>
    <w:rsid w:val="00AB4ED2"/>
    <w:rsid w:val="00AC53E4"/>
    <w:rsid w:val="00AE7FBC"/>
    <w:rsid w:val="00AF0E74"/>
    <w:rsid w:val="00AF2AA6"/>
    <w:rsid w:val="00B02CD8"/>
    <w:rsid w:val="00B13896"/>
    <w:rsid w:val="00B223BC"/>
    <w:rsid w:val="00B33E31"/>
    <w:rsid w:val="00B7433D"/>
    <w:rsid w:val="00BA178E"/>
    <w:rsid w:val="00BA4025"/>
    <w:rsid w:val="00BA7CD6"/>
    <w:rsid w:val="00BB24DE"/>
    <w:rsid w:val="00BB6707"/>
    <w:rsid w:val="00BD0C77"/>
    <w:rsid w:val="00BE008A"/>
    <w:rsid w:val="00C11D15"/>
    <w:rsid w:val="00C14DFD"/>
    <w:rsid w:val="00C1794D"/>
    <w:rsid w:val="00C312D4"/>
    <w:rsid w:val="00C35DCB"/>
    <w:rsid w:val="00C44212"/>
    <w:rsid w:val="00C51E5B"/>
    <w:rsid w:val="00C54D7F"/>
    <w:rsid w:val="00C92237"/>
    <w:rsid w:val="00CB5AF5"/>
    <w:rsid w:val="00CC76F8"/>
    <w:rsid w:val="00CD14E4"/>
    <w:rsid w:val="00CD248B"/>
    <w:rsid w:val="00CE0DEC"/>
    <w:rsid w:val="00CE666A"/>
    <w:rsid w:val="00CF6510"/>
    <w:rsid w:val="00D02707"/>
    <w:rsid w:val="00D07139"/>
    <w:rsid w:val="00D078EE"/>
    <w:rsid w:val="00D27FB8"/>
    <w:rsid w:val="00D37C49"/>
    <w:rsid w:val="00D46400"/>
    <w:rsid w:val="00D563FB"/>
    <w:rsid w:val="00D639EC"/>
    <w:rsid w:val="00D85A8D"/>
    <w:rsid w:val="00D96EA6"/>
    <w:rsid w:val="00DA5763"/>
    <w:rsid w:val="00DB2C06"/>
    <w:rsid w:val="00DC3C27"/>
    <w:rsid w:val="00DC6162"/>
    <w:rsid w:val="00DE77E9"/>
    <w:rsid w:val="00E03A82"/>
    <w:rsid w:val="00E34684"/>
    <w:rsid w:val="00E426F7"/>
    <w:rsid w:val="00E6044B"/>
    <w:rsid w:val="00E738D6"/>
    <w:rsid w:val="00E76232"/>
    <w:rsid w:val="00E77C7E"/>
    <w:rsid w:val="00E8478A"/>
    <w:rsid w:val="00E92E1A"/>
    <w:rsid w:val="00EF176A"/>
    <w:rsid w:val="00F213E3"/>
    <w:rsid w:val="00F25CA3"/>
    <w:rsid w:val="00F35A78"/>
    <w:rsid w:val="00F43808"/>
    <w:rsid w:val="00F85390"/>
    <w:rsid w:val="00F9087B"/>
    <w:rsid w:val="00F910E8"/>
    <w:rsid w:val="00F931FB"/>
    <w:rsid w:val="00FA3E8F"/>
    <w:rsid w:val="00FB0DF0"/>
    <w:rsid w:val="00FB36F2"/>
    <w:rsid w:val="00FB4F3E"/>
    <w:rsid w:val="00FD21D6"/>
    <w:rsid w:val="00FD6357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71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D0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3E4"/>
  </w:style>
  <w:style w:type="character" w:customStyle="1" w:styleId="hgkelc">
    <w:name w:val="hgkelc"/>
    <w:basedOn w:val="Domylnaczcionkaakapitu"/>
    <w:rsid w:val="00552E5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48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48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483A"/>
    <w:rPr>
      <w:vertAlign w:val="superscript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C179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C179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D04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D0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3E4"/>
  </w:style>
  <w:style w:type="character" w:customStyle="1" w:styleId="hgkelc">
    <w:name w:val="hgkelc"/>
    <w:basedOn w:val="Domylnaczcionkaakapitu"/>
    <w:rsid w:val="00552E5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48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48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483A"/>
    <w:rPr>
      <w:vertAlign w:val="superscript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C179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C179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D04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Matuszczyk</cp:lastModifiedBy>
  <cp:revision>3</cp:revision>
  <cp:lastPrinted>2024-07-08T11:46:00Z</cp:lastPrinted>
  <dcterms:created xsi:type="dcterms:W3CDTF">2024-09-18T05:47:00Z</dcterms:created>
  <dcterms:modified xsi:type="dcterms:W3CDTF">2024-09-18T09:11:00Z</dcterms:modified>
</cp:coreProperties>
</file>