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061A" w14:textId="77777777" w:rsidR="006C021B" w:rsidRDefault="00DC3760" w:rsidP="00DC3760">
      <w:p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906BFC">
        <w:rPr>
          <w:rFonts w:ascii="Arial" w:hAnsi="Arial" w:cs="Arial"/>
          <w:b/>
          <w:bCs/>
          <w:sz w:val="24"/>
          <w:szCs w:val="24"/>
        </w:rPr>
        <w:t xml:space="preserve">Załącznik nr 2 do SWZ </w:t>
      </w:r>
    </w:p>
    <w:p w14:paraId="23687FC5" w14:textId="09CB2389" w:rsidR="00DC3760" w:rsidRPr="00906BFC" w:rsidRDefault="00DC3760" w:rsidP="00DC3760">
      <w:p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906BFC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7AFA6EEC" w14:textId="77777777" w:rsidR="00DC3760" w:rsidRPr="00906BFC" w:rsidRDefault="00DC3760" w:rsidP="00DC376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sz w:val="24"/>
          <w:szCs w:val="24"/>
        </w:rPr>
        <w:t>:</w:t>
      </w:r>
    </w:p>
    <w:p w14:paraId="747E4313" w14:textId="77777777" w:rsidR="00DC3760" w:rsidRDefault="00DC3760" w:rsidP="00DC3760">
      <w:pPr>
        <w:pStyle w:val="Akapitzlist"/>
        <w:spacing w:before="120"/>
        <w:ind w:left="0"/>
        <w:contextualSpacing w:val="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 xml:space="preserve">Przedmiotem zamówienia jest dostawa </w:t>
      </w:r>
      <w:proofErr w:type="spellStart"/>
      <w:r w:rsidRPr="00906BFC">
        <w:rPr>
          <w:rFonts w:ascii="Arial" w:hAnsi="Arial" w:cs="Arial"/>
          <w:sz w:val="24"/>
          <w:szCs w:val="24"/>
        </w:rPr>
        <w:t>porozymetru</w:t>
      </w:r>
      <w:proofErr w:type="spellEnd"/>
      <w:r w:rsidRPr="00906BFC">
        <w:rPr>
          <w:rFonts w:ascii="Arial" w:hAnsi="Arial" w:cs="Arial"/>
          <w:sz w:val="24"/>
          <w:szCs w:val="24"/>
        </w:rPr>
        <w:t xml:space="preserve"> rtęciowego do określania struktury porów w próbkach kompozytów budowlanych wraz z komorą </w:t>
      </w:r>
      <w:proofErr w:type="spellStart"/>
      <w:r w:rsidRPr="00906BFC">
        <w:rPr>
          <w:rFonts w:ascii="Arial" w:hAnsi="Arial" w:cs="Arial"/>
          <w:sz w:val="24"/>
          <w:szCs w:val="24"/>
        </w:rPr>
        <w:t>nastołową</w:t>
      </w:r>
      <w:proofErr w:type="spellEnd"/>
      <w:r w:rsidRPr="00906BFC">
        <w:rPr>
          <w:rFonts w:ascii="Arial" w:hAnsi="Arial" w:cs="Arial"/>
          <w:sz w:val="24"/>
          <w:szCs w:val="24"/>
        </w:rPr>
        <w:t xml:space="preserve"> oraz niezbędnymi akcesoriami, urządzeniem do akwizycji danych i oprogramowaniem dla Wydziału Inżynierii Lądowej Politechniki Warszawskiej</w:t>
      </w:r>
      <w:r>
        <w:rPr>
          <w:rFonts w:ascii="Arial" w:hAnsi="Arial" w:cs="Arial"/>
          <w:sz w:val="24"/>
          <w:szCs w:val="24"/>
        </w:rPr>
        <w:t>.</w:t>
      </w:r>
    </w:p>
    <w:p w14:paraId="2AE02D1C" w14:textId="77777777" w:rsidR="00DC3760" w:rsidRPr="00906BFC" w:rsidRDefault="00DC3760" w:rsidP="00DC3760">
      <w:pPr>
        <w:pStyle w:val="Akapitzlist"/>
        <w:spacing w:before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Zamówienie jest realizowane </w:t>
      </w:r>
      <w:r w:rsidRPr="00906BFC">
        <w:rPr>
          <w:rFonts w:ascii="Arial" w:hAnsi="Arial" w:cs="Arial"/>
          <w:sz w:val="24"/>
          <w:szCs w:val="24"/>
        </w:rPr>
        <w:t>w ramach</w:t>
      </w:r>
      <w:r>
        <w:rPr>
          <w:rFonts w:ascii="Arial" w:hAnsi="Arial" w:cs="Arial"/>
          <w:sz w:val="24"/>
          <w:szCs w:val="24"/>
        </w:rPr>
        <w:t xml:space="preserve"> </w:t>
      </w:r>
      <w:r w:rsidRPr="00906BFC">
        <w:rPr>
          <w:rFonts w:ascii="Arial" w:hAnsi="Arial" w:cs="Arial"/>
          <w:sz w:val="24"/>
          <w:szCs w:val="24"/>
        </w:rPr>
        <w:t>projektu pt. „Innowacyjne elementy nawierzchni peronów kolejowych z betonu fotokatalitycznego oczyszczającego powietrze” (BRIK-II/0035/2022).</w:t>
      </w:r>
    </w:p>
    <w:p w14:paraId="752F52BA" w14:textId="77777777" w:rsidR="00DC3760" w:rsidRPr="00906BFC" w:rsidRDefault="00DC3760" w:rsidP="00DC376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>Szczegółowy opis przedmiotu zamówienia</w:t>
      </w:r>
    </w:p>
    <w:p w14:paraId="33859551" w14:textId="77777777" w:rsidR="00DC3760" w:rsidRPr="00906BFC" w:rsidRDefault="00DC3760" w:rsidP="00DC3760">
      <w:pPr>
        <w:spacing w:before="12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 xml:space="preserve">Zamówienie obejmuje dostawę porozymetru rtęciowego wraz z komorą nastołową oraz niezbędnymi akcesoriami, urządzeniem do akwizycji danych i oprogramowaniem. Przedmiot zamówienia będzie spełniał wymagania sformułowane w tabeli 1. </w:t>
      </w:r>
    </w:p>
    <w:p w14:paraId="26BE260F" w14:textId="77777777" w:rsidR="00DC3760" w:rsidRPr="00906BFC" w:rsidRDefault="00DC3760" w:rsidP="00DC3760">
      <w:pPr>
        <w:spacing w:before="12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 xml:space="preserve">Zamówienie będzie realizowane dla Wydziału Inżynierii Lądowej Politechniki Warszawskiej. Zadaniem wykonawcy będzie dostarczenie na koszt własny porozymetru rtęciowego wraz z niezbędnymi akcesoriami, urządzeniem do akwizycji danych i oprogramowaniem do pomieszczenia zlokalizowanego w gmachu Wydziału Inżynierii Lądowej Politechniki Warszawskie, a następnie uruchomienie urządzenia i zademonstrowanie poprawności jego działania, a także przeprowadzenie szkolenia z procedury obsługi urządzenia. </w:t>
      </w:r>
    </w:p>
    <w:p w14:paraId="67C6DAEC" w14:textId="77777777" w:rsidR="00DC3760" w:rsidRPr="00906BFC" w:rsidRDefault="00DC3760" w:rsidP="00DC3760">
      <w:pPr>
        <w:pStyle w:val="Akapitzlist"/>
        <w:spacing w:before="120"/>
        <w:ind w:left="0"/>
        <w:contextualSpacing w:val="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 xml:space="preserve">Przed dostarczeniem porozymetru Wykonawca będzie zobowiązany do dostarczenia oraz montażu komory nastołowej, spełniającej wymagania opisane w tabeli 1, we wskazanym przez Zamawiającego miejscu, tak żeby porozymetr rtęciowy wraz z akcesoriami mógł być ustawiony wewnątrz komory. </w:t>
      </w:r>
    </w:p>
    <w:p w14:paraId="52C988E5" w14:textId="77777777" w:rsidR="00DC3760" w:rsidRPr="00906BFC" w:rsidRDefault="00DC3760" w:rsidP="00DC3760">
      <w:pPr>
        <w:spacing w:before="12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 xml:space="preserve">Wykonawca przeprowadzi  szkolenie po uruchomieniu porozymetru dla przynajmniej 5 osób wskazanych przez Zamawiającego. Szkolenie musi obejmować co najmniej: </w:t>
      </w:r>
    </w:p>
    <w:p w14:paraId="18958805" w14:textId="77777777" w:rsidR="00DC3760" w:rsidRPr="00906BFC" w:rsidRDefault="00DC3760" w:rsidP="00DC3760">
      <w:pPr>
        <w:pStyle w:val="Akapitzlist"/>
        <w:numPr>
          <w:ilvl w:val="0"/>
          <w:numId w:val="3"/>
        </w:numPr>
        <w:spacing w:before="12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>procedurę obsługi urządzenia, w tym wykonywania pomiarów poszczególnych charakterystyk struktury porowatości;</w:t>
      </w:r>
    </w:p>
    <w:p w14:paraId="3B8FDE97" w14:textId="77777777" w:rsidR="00DC3760" w:rsidRPr="00906BFC" w:rsidRDefault="00DC3760" w:rsidP="00DC3760">
      <w:pPr>
        <w:pStyle w:val="Akapitzlist"/>
        <w:numPr>
          <w:ilvl w:val="0"/>
          <w:numId w:val="3"/>
        </w:numPr>
        <w:spacing w:before="12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 xml:space="preserve">obsługi oprogramowania do sterowania i akwizycji danych; </w:t>
      </w:r>
    </w:p>
    <w:p w14:paraId="195B183B" w14:textId="77777777" w:rsidR="00DC3760" w:rsidRPr="00906BFC" w:rsidRDefault="00DC3760" w:rsidP="00DC3760">
      <w:pPr>
        <w:pStyle w:val="Akapitzlist"/>
        <w:numPr>
          <w:ilvl w:val="0"/>
          <w:numId w:val="3"/>
        </w:numPr>
        <w:spacing w:before="12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>procedury rozpoznawania awarii, w tym przygotowanie i przedstawienie harmonogramu okresowych czynności  obsługowych i konserwacyjnych;</w:t>
      </w:r>
    </w:p>
    <w:p w14:paraId="56BD4CF3" w14:textId="77777777" w:rsidR="00DC3760" w:rsidRPr="00906BFC" w:rsidRDefault="00DC3760" w:rsidP="00DC3760">
      <w:pPr>
        <w:pStyle w:val="Akapitzlist"/>
        <w:numPr>
          <w:ilvl w:val="0"/>
          <w:numId w:val="3"/>
        </w:numPr>
        <w:spacing w:before="12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>procedurę kalibracji urządzenia;</w:t>
      </w:r>
    </w:p>
    <w:p w14:paraId="58278E07" w14:textId="5E58BDBD" w:rsidR="008C157A" w:rsidRPr="008C157A" w:rsidRDefault="00DC3760" w:rsidP="008C157A">
      <w:pPr>
        <w:pStyle w:val="Akapitzlist"/>
        <w:numPr>
          <w:ilvl w:val="0"/>
          <w:numId w:val="3"/>
        </w:numPr>
        <w:spacing w:before="12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>inne zagadnienia zalecane przez producent</w:t>
      </w:r>
      <w:r w:rsidR="008C157A">
        <w:rPr>
          <w:rFonts w:ascii="Arial" w:hAnsi="Arial" w:cs="Arial"/>
          <w:sz w:val="24"/>
          <w:szCs w:val="24"/>
        </w:rPr>
        <w:t>a</w:t>
      </w:r>
      <w:r w:rsidRPr="00906BFC">
        <w:rPr>
          <w:rFonts w:ascii="Arial" w:hAnsi="Arial" w:cs="Arial"/>
          <w:sz w:val="24"/>
          <w:szCs w:val="24"/>
        </w:rPr>
        <w:t>;</w:t>
      </w:r>
    </w:p>
    <w:p w14:paraId="0B1B66AB" w14:textId="77777777" w:rsidR="008C157A" w:rsidRDefault="008C157A" w:rsidP="00DC3760">
      <w:pPr>
        <w:pStyle w:val="Akapitzlist"/>
        <w:spacing w:before="12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30228D53" w14:textId="1AAD72D7" w:rsidR="00DC3760" w:rsidRPr="00906BFC" w:rsidRDefault="00DC3760" w:rsidP="00DC3760">
      <w:pPr>
        <w:pStyle w:val="Akapitzlist"/>
        <w:spacing w:before="120"/>
        <w:ind w:left="0"/>
        <w:contextualSpacing w:val="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 xml:space="preserve">Akceptacja wykonania zamówienia nastąpi po dostarczeniu i montażu komory nastołowej oraz  porozymetru rtęciowego wraz z akcesoriami,  urządzeniem do akwizycji danych i niezbędnym oprogramowaniem, uruchomieniu urządzenia oraz  zademonstrowaniu poprawności jego działania, a także przeprowadzeniu szkolenia z obsługi aparatury pomiarowej, co zostanie potwierdzone protokołem odbioru. </w:t>
      </w:r>
    </w:p>
    <w:p w14:paraId="3894695E" w14:textId="77777777" w:rsidR="00DC3760" w:rsidRPr="00906BFC" w:rsidRDefault="00DC3760" w:rsidP="00DC3760">
      <w:pPr>
        <w:pStyle w:val="Akapitzlist"/>
        <w:spacing w:before="12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627B9DE" w14:textId="77777777" w:rsidR="00DC3760" w:rsidRPr="00906BFC" w:rsidRDefault="00DC3760" w:rsidP="00DC3760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906BFC">
        <w:rPr>
          <w:rFonts w:ascii="Arial" w:hAnsi="Arial" w:cs="Arial"/>
          <w:sz w:val="24"/>
          <w:szCs w:val="24"/>
        </w:rPr>
        <w:t>Tabela 1. Szczegółowe wymagania odnośnie podzespołów stanowiska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057"/>
        <w:gridCol w:w="7010"/>
      </w:tblGrid>
      <w:tr w:rsidR="00DC3760" w:rsidRPr="00906BFC" w14:paraId="26E0B46F" w14:textId="77777777" w:rsidTr="004421C9">
        <w:trPr>
          <w:tblHeader/>
        </w:trPr>
        <w:tc>
          <w:tcPr>
            <w:tcW w:w="2057" w:type="dxa"/>
            <w:shd w:val="clear" w:color="auto" w:fill="E7E6E6" w:themeFill="background2"/>
            <w:vAlign w:val="center"/>
          </w:tcPr>
          <w:p w14:paraId="1D12603A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Oznaczenie wymagania</w:t>
            </w:r>
          </w:p>
        </w:tc>
        <w:tc>
          <w:tcPr>
            <w:tcW w:w="7010" w:type="dxa"/>
            <w:shd w:val="clear" w:color="auto" w:fill="E7E6E6" w:themeFill="background2"/>
            <w:vAlign w:val="center"/>
          </w:tcPr>
          <w:p w14:paraId="65025E18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 xml:space="preserve">Wymagania Minimalne </w:t>
            </w:r>
          </w:p>
        </w:tc>
      </w:tr>
      <w:tr w:rsidR="00DC3760" w:rsidRPr="00906BFC" w14:paraId="08D0C77B" w14:textId="77777777" w:rsidTr="00516B18"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14:paraId="1576C784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/>
                <w:bCs/>
                <w:sz w:val="24"/>
                <w:szCs w:val="24"/>
              </w:rPr>
              <w:t>Porozymetr rtęciowy</w:t>
            </w:r>
          </w:p>
        </w:tc>
      </w:tr>
      <w:tr w:rsidR="00DC3760" w:rsidRPr="00906BFC" w14:paraId="001D6E97" w14:textId="77777777" w:rsidTr="004421C9">
        <w:tc>
          <w:tcPr>
            <w:tcW w:w="2057" w:type="dxa"/>
          </w:tcPr>
          <w:p w14:paraId="4C8179D2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Ogólne</w:t>
            </w:r>
          </w:p>
        </w:tc>
        <w:tc>
          <w:tcPr>
            <w:tcW w:w="7010" w:type="dxa"/>
          </w:tcPr>
          <w:p w14:paraId="1E2B59B6" w14:textId="77777777" w:rsidR="00DC3760" w:rsidRPr="00906BFC" w:rsidRDefault="00DC3760" w:rsidP="00516B1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Fabrycznie nowy, nie demonstrowany wcześniej w żadnym laboratorium lub na pokazach i posiadający certyfikat CE. Rok produkcji: nie wcześniej niż 2022 r.</w:t>
            </w:r>
          </w:p>
        </w:tc>
      </w:tr>
      <w:tr w:rsidR="00DC3760" w:rsidRPr="00906BFC" w14:paraId="6438F9EF" w14:textId="77777777" w:rsidTr="004421C9">
        <w:tc>
          <w:tcPr>
            <w:tcW w:w="2057" w:type="dxa"/>
          </w:tcPr>
          <w:p w14:paraId="042857AC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Dokumentacja</w:t>
            </w:r>
          </w:p>
        </w:tc>
        <w:tc>
          <w:tcPr>
            <w:tcW w:w="7010" w:type="dxa"/>
          </w:tcPr>
          <w:p w14:paraId="1AB81989" w14:textId="77777777" w:rsidR="00DC3760" w:rsidRPr="00906BFC" w:rsidRDefault="00DC3760" w:rsidP="00516B1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 xml:space="preserve">Zostanie przekazana przez Wykonawcę w dniu dostarczenia urządzenia i będzie obejmowała: </w:t>
            </w:r>
          </w:p>
          <w:p w14:paraId="23B85986" w14:textId="77777777" w:rsidR="00DC3760" w:rsidRPr="00906BFC" w:rsidRDefault="00DC3760" w:rsidP="00DC376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pełną oryginalną dokumentację producenta z polskim tłumaczeniem, zawierającą: instrukcję działania, obsługi (zapobiegawczej i naprawczej), konserwacji, rysunki, schematy. Cała dokumentacja dostarczona w formie drukowanej, oprawiona w sposób zapobiegający zniszczeniu oraz w formie elektronicznej w formacie *.pdf, lub *.docx;</w:t>
            </w:r>
          </w:p>
          <w:p w14:paraId="724F388A" w14:textId="77777777" w:rsidR="00DC3760" w:rsidRPr="00906BFC" w:rsidRDefault="00DC3760" w:rsidP="00DC376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kartę gwarancyjną (od daty podpisania protokołu odbioru przedmiotu Zamówienia) wystawioną przez Wykonawcę w formie papierowej.</w:t>
            </w:r>
          </w:p>
        </w:tc>
      </w:tr>
      <w:tr w:rsidR="00DC3760" w:rsidRPr="00906BFC" w14:paraId="62DFC12E" w14:textId="77777777" w:rsidTr="004421C9">
        <w:tc>
          <w:tcPr>
            <w:tcW w:w="2057" w:type="dxa"/>
          </w:tcPr>
          <w:p w14:paraId="78D9285A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Funkcjonalność</w:t>
            </w:r>
          </w:p>
          <w:p w14:paraId="3DEDFF6E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10" w:type="dxa"/>
          </w:tcPr>
          <w:p w14:paraId="6E6CE6D1" w14:textId="77777777" w:rsidR="00DC3760" w:rsidRPr="00906BFC" w:rsidRDefault="00DC3760" w:rsidP="00516B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Urządzenie powinno umożliwiać pomiar: średnicy, dystrybucji makroporów i mezoporów w próbkach stałych i sproszkowanych, objętości porów z zastosowaniem intruzji i ekstruzji rtęci oraz rozmiaru cząstki w oparciu o model Mayer-Stove`a.</w:t>
            </w:r>
          </w:p>
        </w:tc>
      </w:tr>
      <w:tr w:rsidR="00DC3760" w:rsidRPr="00906BFC" w14:paraId="6E04BDA6" w14:textId="77777777" w:rsidTr="004421C9">
        <w:tc>
          <w:tcPr>
            <w:tcW w:w="2057" w:type="dxa"/>
          </w:tcPr>
          <w:p w14:paraId="3D02F939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Funkcjonalność</w:t>
            </w:r>
          </w:p>
          <w:p w14:paraId="361FCEAF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0" w:type="dxa"/>
          </w:tcPr>
          <w:p w14:paraId="7D48D448" w14:textId="77777777" w:rsidR="00DC3760" w:rsidRPr="00906BFC" w:rsidRDefault="00DC3760" w:rsidP="00516B18">
            <w:pPr>
              <w:tabs>
                <w:tab w:val="center" w:pos="4536"/>
                <w:tab w:val="right" w:pos="9072"/>
              </w:tabs>
              <w:spacing w:before="0"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Zakres pomiarowy średnicy porów dla aparatu, co najmniej od 1100 µm do 0,0065 µm.</w:t>
            </w:r>
          </w:p>
        </w:tc>
      </w:tr>
      <w:tr w:rsidR="00DC3760" w:rsidRPr="00906BFC" w14:paraId="22F29A90" w14:textId="77777777" w:rsidTr="004421C9">
        <w:tc>
          <w:tcPr>
            <w:tcW w:w="2057" w:type="dxa"/>
          </w:tcPr>
          <w:p w14:paraId="46EC6DEF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Funkcjonalność</w:t>
            </w:r>
          </w:p>
          <w:p w14:paraId="77424190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0" w:type="dxa"/>
          </w:tcPr>
          <w:p w14:paraId="43DA260D" w14:textId="77777777" w:rsidR="00DC3760" w:rsidRPr="00906BFC" w:rsidRDefault="00DC3760" w:rsidP="00516B18">
            <w:pPr>
              <w:spacing w:before="0" w:line="254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Wymagany zakres ciśnienia pracy, co najmniej w zakresie od 0,2 psia do 33 000 psi z dokładnością wskazania ciśnienia nie gorszą niż ± 0.11%.</w:t>
            </w:r>
          </w:p>
        </w:tc>
      </w:tr>
      <w:tr w:rsidR="00DC3760" w:rsidRPr="00906BFC" w14:paraId="5E946E42" w14:textId="77777777" w:rsidTr="004421C9">
        <w:tc>
          <w:tcPr>
            <w:tcW w:w="2057" w:type="dxa"/>
          </w:tcPr>
          <w:p w14:paraId="502057FC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Funkcjonalność</w:t>
            </w:r>
          </w:p>
          <w:p w14:paraId="03DC37F1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0" w:type="dxa"/>
          </w:tcPr>
          <w:p w14:paraId="325AC06A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Możliwość rejestracji co najmniej 2000 punktów pomiarowych.</w:t>
            </w:r>
          </w:p>
        </w:tc>
      </w:tr>
      <w:tr w:rsidR="00DC3760" w:rsidRPr="00906BFC" w14:paraId="471A58DB" w14:textId="77777777" w:rsidTr="004421C9">
        <w:tc>
          <w:tcPr>
            <w:tcW w:w="2057" w:type="dxa"/>
          </w:tcPr>
          <w:p w14:paraId="7F56CC50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Funkcjonalność</w:t>
            </w:r>
          </w:p>
          <w:p w14:paraId="3FE9204F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0" w:type="dxa"/>
          </w:tcPr>
          <w:p w14:paraId="6D894B4A" w14:textId="3DEFA4F5" w:rsidR="00DC3760" w:rsidRPr="00906BFC" w:rsidRDefault="00DC3760" w:rsidP="00516B18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906BFC">
              <w:rPr>
                <w:rFonts w:ascii="Arial" w:eastAsia="Times New Roman" w:hAnsi="Arial" w:cs="Arial"/>
                <w:sz w:val="24"/>
                <w:szCs w:val="24"/>
              </w:rPr>
              <w:t>Objętościowa dokładność pomiarowa dla intruzji rtęci: +/-1% objętości słupa celi pomiarowej.</w:t>
            </w:r>
          </w:p>
        </w:tc>
      </w:tr>
      <w:tr w:rsidR="00DC3760" w:rsidRPr="00906BFC" w14:paraId="18769150" w14:textId="77777777" w:rsidTr="004421C9">
        <w:tc>
          <w:tcPr>
            <w:tcW w:w="2057" w:type="dxa"/>
          </w:tcPr>
          <w:p w14:paraId="58CFB6E1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Funkcjonalność</w:t>
            </w:r>
          </w:p>
          <w:p w14:paraId="33A7B01A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10" w:type="dxa"/>
          </w:tcPr>
          <w:p w14:paraId="431BB188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Wymagana rozdzielczość odczytu objętości nie gorsza niż 0,03μL dla najmniejszej celi pomiarowej.</w:t>
            </w:r>
          </w:p>
        </w:tc>
      </w:tr>
      <w:tr w:rsidR="00DC3760" w:rsidRPr="00906BFC" w14:paraId="20A06724" w14:textId="77777777" w:rsidTr="004421C9">
        <w:tc>
          <w:tcPr>
            <w:tcW w:w="2057" w:type="dxa"/>
          </w:tcPr>
          <w:p w14:paraId="17B17AEA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Funkcjonalność</w:t>
            </w:r>
          </w:p>
          <w:p w14:paraId="0EC5161D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10" w:type="dxa"/>
          </w:tcPr>
          <w:p w14:paraId="39EE055E" w14:textId="77777777" w:rsidR="00DC3760" w:rsidRPr="00906BFC" w:rsidRDefault="00DC3760" w:rsidP="00516B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Urządzenie powinno zawierać, co najmniej 2 przetworniki ciśnienia w zakresie:</w:t>
            </w:r>
          </w:p>
          <w:p w14:paraId="7B50AEC7" w14:textId="77777777" w:rsidR="00DC3760" w:rsidRPr="00906BFC" w:rsidRDefault="00DC3760" w:rsidP="00516B18">
            <w:pPr>
              <w:pStyle w:val="Akapitzlist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- co najmniej od 0.2 psi do 50 psi</w:t>
            </w:r>
          </w:p>
          <w:p w14:paraId="614DFB02" w14:textId="77777777" w:rsidR="00DC3760" w:rsidRPr="00906BFC" w:rsidRDefault="00DC3760" w:rsidP="00516B18">
            <w:pPr>
              <w:pStyle w:val="Akapitzlist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- co najmniej od 20 psi do 33 000 psi </w:t>
            </w:r>
          </w:p>
          <w:p w14:paraId="07A3592A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(lub zamiennie odpowiednie wartości w jednoskach MPa, Pa albo kPa)</w:t>
            </w:r>
          </w:p>
        </w:tc>
      </w:tr>
      <w:tr w:rsidR="00DC3760" w:rsidRPr="00906BFC" w14:paraId="64E2E2C9" w14:textId="77777777" w:rsidTr="004421C9">
        <w:tc>
          <w:tcPr>
            <w:tcW w:w="2057" w:type="dxa"/>
          </w:tcPr>
          <w:p w14:paraId="44A1A379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Funkcjonalność 8</w:t>
            </w:r>
          </w:p>
        </w:tc>
        <w:tc>
          <w:tcPr>
            <w:tcW w:w="7010" w:type="dxa"/>
          </w:tcPr>
          <w:p w14:paraId="0809392B" w14:textId="05D1137A" w:rsidR="00DC3760" w:rsidRPr="00906BFC" w:rsidRDefault="00DC3760" w:rsidP="00516B18">
            <w:pPr>
              <w:spacing w:before="0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Rozdzielczość odczytu ciśnienia nie gorsza niż </w:t>
            </w:r>
            <w:r w:rsidR="004421C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 x 10</w:t>
            </w:r>
            <w:r w:rsidRPr="00906BF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-4</w:t>
            </w: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 psi dla stacji pomiarowej.</w:t>
            </w:r>
          </w:p>
        </w:tc>
      </w:tr>
      <w:tr w:rsidR="00DC3760" w:rsidRPr="00906BFC" w14:paraId="6BCCE2C8" w14:textId="77777777" w:rsidTr="004421C9">
        <w:tc>
          <w:tcPr>
            <w:tcW w:w="2057" w:type="dxa"/>
          </w:tcPr>
          <w:p w14:paraId="6F2333C0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Funkcjonalność</w:t>
            </w:r>
          </w:p>
          <w:p w14:paraId="34853AD2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7010" w:type="dxa"/>
          </w:tcPr>
          <w:p w14:paraId="762E5DAE" w14:textId="77777777" w:rsidR="00DC3760" w:rsidRPr="004421C9" w:rsidRDefault="00DC3760" w:rsidP="00516B18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4421C9">
              <w:rPr>
                <w:rFonts w:ascii="Arial" w:hAnsi="Arial" w:cs="Arial"/>
                <w:sz w:val="24"/>
                <w:szCs w:val="24"/>
              </w:rPr>
              <w:t>Co najmniej dwa porty niskociśnieniowe i co najmniej jeden port wysokociśnieniowy. Porty nisko i wysokociśnieniowe rozdzielone i znajdujące się w tym samym urządzeniu.</w:t>
            </w:r>
          </w:p>
        </w:tc>
      </w:tr>
      <w:tr w:rsidR="00DC3760" w:rsidRPr="00906BFC" w14:paraId="6330D37E" w14:textId="77777777" w:rsidTr="004421C9">
        <w:tc>
          <w:tcPr>
            <w:tcW w:w="2057" w:type="dxa"/>
          </w:tcPr>
          <w:p w14:paraId="2E24F530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Funkcjonalność</w:t>
            </w:r>
          </w:p>
          <w:p w14:paraId="5ADF06E1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10" w:type="dxa"/>
          </w:tcPr>
          <w:p w14:paraId="3917DAC7" w14:textId="77777777" w:rsidR="00DC3760" w:rsidRPr="004421C9" w:rsidRDefault="00DC3760" w:rsidP="00516B18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4421C9">
              <w:rPr>
                <w:rFonts w:ascii="Arial" w:eastAsia="Times New Roman" w:hAnsi="Arial" w:cs="Arial"/>
                <w:sz w:val="24"/>
                <w:szCs w:val="24"/>
              </w:rPr>
              <w:t>Pomiary w stacjach niskiego ciśnienia powinny być wykonywane w pozycji poziomej penetrometru, aby zminimalizować naturalne ciśnienie w słupie kolumny z ciekłą rtęcią.</w:t>
            </w:r>
          </w:p>
        </w:tc>
      </w:tr>
      <w:tr w:rsidR="00DC3760" w:rsidRPr="00906BFC" w14:paraId="4D5DA579" w14:textId="77777777" w:rsidTr="004421C9">
        <w:tc>
          <w:tcPr>
            <w:tcW w:w="2057" w:type="dxa"/>
          </w:tcPr>
          <w:p w14:paraId="632E6263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Funkcjonalność 11</w:t>
            </w:r>
          </w:p>
        </w:tc>
        <w:tc>
          <w:tcPr>
            <w:tcW w:w="7010" w:type="dxa"/>
          </w:tcPr>
          <w:p w14:paraId="05815319" w14:textId="29926A20" w:rsidR="00DC3760" w:rsidRPr="004421C9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Porty niskiego ciśnienia schowane całkowicie wraz z trzonem przyłączeniowym w wewnętrznej szufladzie urządzenia lub w inny sposób zamykane w przedziale obudowy zewnętrznej w celu zmniejszenia ryzyka ew. zabrudzenia rtęcią przestrzeni zewnętrznej poza aparatem w czasie wymiany próbek.</w:t>
            </w:r>
          </w:p>
        </w:tc>
      </w:tr>
      <w:tr w:rsidR="00DC3760" w:rsidRPr="00906BFC" w14:paraId="4A3BC3A2" w14:textId="77777777" w:rsidTr="004421C9">
        <w:tc>
          <w:tcPr>
            <w:tcW w:w="2057" w:type="dxa"/>
          </w:tcPr>
          <w:p w14:paraId="1CA1E010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Funkcjonalność 12</w:t>
            </w:r>
          </w:p>
        </w:tc>
        <w:tc>
          <w:tcPr>
            <w:tcW w:w="7010" w:type="dxa"/>
          </w:tcPr>
          <w:p w14:paraId="091D75C5" w14:textId="77777777" w:rsidR="00DC3760" w:rsidRPr="004421C9" w:rsidRDefault="00DC3760" w:rsidP="00516B18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4421C9">
              <w:rPr>
                <w:rFonts w:ascii="Arial" w:hAnsi="Arial" w:cs="Arial"/>
                <w:sz w:val="24"/>
                <w:szCs w:val="24"/>
              </w:rPr>
              <w:t>Zwiększanie ciśnienia można prowadzić w urządzeniu w trybie ciągłego skanowania lub w trybie krokowym. Tryb ciągłego skanowania powinien obejmować stałą prędkość oraz automatyczna regulację szybkości zwiększania ciśnienia w odpowiedzi na objętość wtłoczonej i wyciągniętej za pomocą podciśnienia rtęci. Krokowy tryb zwiększania ciśnienia powinien obejmować wybierane przez użytkownika czasy równowagi z tabeli ciśnienia.</w:t>
            </w:r>
          </w:p>
        </w:tc>
      </w:tr>
      <w:tr w:rsidR="00DC3760" w:rsidRPr="00906BFC" w14:paraId="62402DC7" w14:textId="77777777" w:rsidTr="004421C9">
        <w:tc>
          <w:tcPr>
            <w:tcW w:w="2057" w:type="dxa"/>
          </w:tcPr>
          <w:p w14:paraId="71CCF91D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Funkcjonalność</w:t>
            </w:r>
          </w:p>
          <w:p w14:paraId="5F7DB084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10" w:type="dxa"/>
          </w:tcPr>
          <w:p w14:paraId="73E98FD7" w14:textId="77777777" w:rsidR="00DC3760" w:rsidRPr="004421C9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Urządzenie powinno posiadać możliwość odczytu wartości ciśnienia przynajmniej na portach niskiego ciśnienia bez użycia komputera (na obudowie aparatu).</w:t>
            </w:r>
          </w:p>
        </w:tc>
      </w:tr>
      <w:tr w:rsidR="00DC3760" w:rsidRPr="00906BFC" w14:paraId="7C403671" w14:textId="77777777" w:rsidTr="004421C9">
        <w:tc>
          <w:tcPr>
            <w:tcW w:w="2057" w:type="dxa"/>
          </w:tcPr>
          <w:p w14:paraId="5329231A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Funkcjonalność</w:t>
            </w:r>
          </w:p>
          <w:p w14:paraId="6C34874A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010" w:type="dxa"/>
          </w:tcPr>
          <w:p w14:paraId="363722D6" w14:textId="77777777" w:rsidR="00DC3760" w:rsidRPr="004421C9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Urządzenie powinno posiadać możliwość filtracji i recyrkulacji oleju w celu zmniejszenia zużycia i utylizacji oleju hydraulicznego.</w:t>
            </w:r>
          </w:p>
        </w:tc>
      </w:tr>
      <w:tr w:rsidR="00DC3760" w:rsidRPr="00906BFC" w14:paraId="27021FCF" w14:textId="77777777" w:rsidTr="004421C9">
        <w:tc>
          <w:tcPr>
            <w:tcW w:w="2057" w:type="dxa"/>
          </w:tcPr>
          <w:p w14:paraId="467590ED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Funkcjonalność</w:t>
            </w:r>
          </w:p>
          <w:p w14:paraId="2745A1F3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7010" w:type="dxa"/>
          </w:tcPr>
          <w:p w14:paraId="3562B68D" w14:textId="70FE1A6D" w:rsidR="00DC3760" w:rsidRPr="004421C9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 xml:space="preserve">Aparat wyposażony w układ hydrauliczny i zbiornik oleju montowany wewnątrz urządzenia z automatycznym usuwaniem powietrza z układu </w:t>
            </w:r>
          </w:p>
        </w:tc>
      </w:tr>
      <w:tr w:rsidR="00DC3760" w:rsidRPr="00906BFC" w14:paraId="72BAD14A" w14:textId="77777777" w:rsidTr="004421C9">
        <w:tc>
          <w:tcPr>
            <w:tcW w:w="2057" w:type="dxa"/>
          </w:tcPr>
          <w:p w14:paraId="11886E66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Funkcjonalność</w:t>
            </w:r>
          </w:p>
          <w:p w14:paraId="3A0008B6" w14:textId="25CCF9B6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421C9" w:rsidRPr="004421C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010" w:type="dxa"/>
          </w:tcPr>
          <w:p w14:paraId="2E5AF6CD" w14:textId="77777777" w:rsidR="00DC3760" w:rsidRPr="004421C9" w:rsidRDefault="00DC3760" w:rsidP="00516B18">
            <w:pPr>
              <w:spacing w:before="0"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421C9">
              <w:rPr>
                <w:rFonts w:ascii="Arial" w:eastAsia="Times New Roman" w:hAnsi="Arial" w:cs="Arial"/>
                <w:sz w:val="24"/>
                <w:szCs w:val="24"/>
              </w:rPr>
              <w:t>Urządzenie powinno zapewniać możliwość użycia różnych naczyń pomiarowych możliwych do zamówienia u Wykonawcy (dedykowanych dla próbek stałych i próbek sypkich), o różnej średnicy kapilary i różnej objętości głowicy pomiarowej celem pełnego wykorzystania rozdzielczości pomiarowej aparatu w całym jego zakresie pracy.</w:t>
            </w:r>
          </w:p>
        </w:tc>
      </w:tr>
      <w:tr w:rsidR="00DC3760" w:rsidRPr="00906BFC" w14:paraId="7B866565" w14:textId="77777777" w:rsidTr="004421C9">
        <w:tc>
          <w:tcPr>
            <w:tcW w:w="2057" w:type="dxa"/>
          </w:tcPr>
          <w:p w14:paraId="03FBF447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Funkcjonalność</w:t>
            </w:r>
          </w:p>
          <w:p w14:paraId="73D70CF3" w14:textId="34012540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421C9" w:rsidRPr="004421C9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010" w:type="dxa"/>
          </w:tcPr>
          <w:p w14:paraId="1C18B938" w14:textId="4C43AB48" w:rsidR="00DC3760" w:rsidRPr="004421C9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t>Urządzenie powinno być wyposażone w zestaw dedykowanych penetrometrów  (co najmniej 6 sztuk) do pomiarów porowatości materiałów sypkich, granulowanych oraz brył.</w:t>
            </w:r>
            <w:r w:rsidR="004421C9" w:rsidRPr="004421C9">
              <w:rPr>
                <w:rFonts w:ascii="Arial" w:hAnsi="Arial" w:cs="Arial"/>
                <w:bCs/>
                <w:sz w:val="24"/>
                <w:szCs w:val="24"/>
              </w:rPr>
              <w:t xml:space="preserve"> Penetrometry na </w:t>
            </w:r>
            <w:r w:rsidR="004421C9" w:rsidRPr="004421C9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próbkę używane w urządzeniu powinny być wykonane z przezroczystego szkła, aby umożliwić łatwą obserwację trzonu naczynia w celu potwierdzenia prawidłowego wypełnienia rtęcią przestrzeni wewnętrznej i braku zanieczyszczania.</w:t>
            </w:r>
            <w:r w:rsidR="004421C9">
              <w:t xml:space="preserve"> </w:t>
            </w:r>
            <w:r w:rsidR="004421C9" w:rsidRPr="004421C9">
              <w:rPr>
                <w:rFonts w:ascii="Arial" w:hAnsi="Arial" w:cs="Arial"/>
                <w:bCs/>
                <w:sz w:val="24"/>
                <w:szCs w:val="24"/>
              </w:rPr>
              <w:t xml:space="preserve">Wymagane jest, aby w komplecie penetrometrów znajdowały się co najmniej 4 penetrometry z możliwością pomiaru próbek stałych o średnicy lub szerokości </w:t>
            </w:r>
            <w:r w:rsidR="004421C9">
              <w:rPr>
                <w:rFonts w:ascii="Arial" w:hAnsi="Arial" w:cs="Arial"/>
                <w:bCs/>
                <w:sz w:val="24"/>
                <w:szCs w:val="24"/>
              </w:rPr>
              <w:t xml:space="preserve">większej niż </w:t>
            </w:r>
            <w:r w:rsidR="004421C9" w:rsidRPr="004421C9">
              <w:rPr>
                <w:rFonts w:ascii="Arial" w:hAnsi="Arial" w:cs="Arial"/>
                <w:bCs/>
                <w:sz w:val="24"/>
                <w:szCs w:val="24"/>
              </w:rPr>
              <w:t>14mm.</w:t>
            </w:r>
          </w:p>
        </w:tc>
      </w:tr>
      <w:tr w:rsidR="00DC3760" w:rsidRPr="00906BFC" w14:paraId="0EB34E07" w14:textId="77777777" w:rsidTr="004421C9">
        <w:tc>
          <w:tcPr>
            <w:tcW w:w="2057" w:type="dxa"/>
          </w:tcPr>
          <w:p w14:paraId="6DECBB8A" w14:textId="77777777" w:rsidR="00DC3760" w:rsidRPr="004421C9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21C9">
              <w:rPr>
                <w:rFonts w:ascii="Arial" w:hAnsi="Arial" w:cs="Arial"/>
                <w:bCs/>
                <w:sz w:val="24"/>
                <w:szCs w:val="24"/>
              </w:rPr>
              <w:lastRenderedPageBreak/>
              <w:t>Wymiary i masa</w:t>
            </w:r>
          </w:p>
        </w:tc>
        <w:tc>
          <w:tcPr>
            <w:tcW w:w="7010" w:type="dxa"/>
          </w:tcPr>
          <w:p w14:paraId="2DE3940C" w14:textId="77777777" w:rsidR="00DC3760" w:rsidRPr="004421C9" w:rsidRDefault="00DC3760" w:rsidP="00516B18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4421C9">
              <w:rPr>
                <w:rFonts w:ascii="Arial" w:hAnsi="Arial" w:cs="Arial"/>
                <w:sz w:val="24"/>
                <w:szCs w:val="24"/>
              </w:rPr>
              <w:t>Urządzenie o masie poniżej 200kg i poniżej 1,1m wysokości, przystosowane do instalacji w komorze nastołowej.</w:t>
            </w:r>
          </w:p>
        </w:tc>
      </w:tr>
      <w:tr w:rsidR="00DC3760" w:rsidRPr="00906BFC" w14:paraId="6BA69D26" w14:textId="77777777" w:rsidTr="004421C9">
        <w:tc>
          <w:tcPr>
            <w:tcW w:w="2057" w:type="dxa"/>
          </w:tcPr>
          <w:p w14:paraId="0FC528D4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Bezpieczeństwo stosowania</w:t>
            </w:r>
          </w:p>
          <w:p w14:paraId="19BC0F08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10" w:type="dxa"/>
          </w:tcPr>
          <w:p w14:paraId="5E995A5B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Urządzenie powinno być wyposażone w następujące systemy bezpieczeństwa: </w:t>
            </w:r>
          </w:p>
          <w:p w14:paraId="3C2C3498" w14:textId="64BFD832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- zimna pułapka umożliwiająca łatwe uzupełnianie ciekłego azotu, zapobiegająca uwalnianiu się oparów rtęci do środowiska laboratoryjnego i  zabezpieczająca układ próżniowy;</w:t>
            </w:r>
          </w:p>
          <w:p w14:paraId="06EA7567" w14:textId="7237B4ED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- przycisk awaryjnego zatrzymania dla komory wysokiego ciśnienia łatwo dostępny na obudowie urządzenia (niezależny od sterowania komputerem)</w:t>
            </w:r>
            <w:r w:rsidR="004421C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C3760" w:rsidRPr="00906BFC" w14:paraId="496424E6" w14:textId="77777777" w:rsidTr="004421C9">
        <w:tc>
          <w:tcPr>
            <w:tcW w:w="2057" w:type="dxa"/>
          </w:tcPr>
          <w:p w14:paraId="71E7A580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Ergonomia</w:t>
            </w:r>
          </w:p>
        </w:tc>
        <w:tc>
          <w:tcPr>
            <w:tcW w:w="7010" w:type="dxa"/>
          </w:tcPr>
          <w:p w14:paraId="5EC51283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Wymagana zamknięta konstrukcja stołowa porozymetru spełniająca wymagania BHP przy pracy z rtęcią, która pozwala na instalację urządzenia wewnątrz zamykanej komory nastołowej w laboratorium, na blacie roboczym o wysokości standardowej szafki laboratoryjnej, utrzymywanej w wentylowanym środowisku, dla wygodnej pracy operatora. </w:t>
            </w:r>
          </w:p>
        </w:tc>
      </w:tr>
      <w:tr w:rsidR="00DC3760" w:rsidRPr="00906BFC" w14:paraId="5F37B0BC" w14:textId="77777777" w:rsidTr="004421C9">
        <w:tc>
          <w:tcPr>
            <w:tcW w:w="2057" w:type="dxa"/>
          </w:tcPr>
          <w:p w14:paraId="21E86851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Gwarancja</w:t>
            </w:r>
          </w:p>
        </w:tc>
        <w:tc>
          <w:tcPr>
            <w:tcW w:w="7010" w:type="dxa"/>
          </w:tcPr>
          <w:p w14:paraId="6BF6C051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Wykonawca udzieli co najmniej </w:t>
            </w:r>
            <w:r w:rsidRPr="00906BFC"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  <w:r w:rsidRPr="00906BFC">
              <w:rPr>
                <w:rFonts w:ascii="Arial" w:hAnsi="Arial" w:cs="Arial"/>
                <w:bCs/>
                <w:sz w:val="24"/>
                <w:szCs w:val="24"/>
              </w:rPr>
              <w:t>miesięcznej gwarancji na urządzenie, liczonej od daty podpisania protokołu odbioru przedmiotu Zamówienia.</w:t>
            </w:r>
          </w:p>
          <w:p w14:paraId="743CDBE8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- Wszelkie koszty związane z realizacją gwarancji ponosi Wykonawca (robocizna i części zamienne);</w:t>
            </w:r>
          </w:p>
          <w:p w14:paraId="5DCD567B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- Faktyczną datę naprawy gwarancyjnej Wykonawca poświadcza w karcie gwarancyjnej;</w:t>
            </w:r>
          </w:p>
          <w:p w14:paraId="297B889F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sz w:val="24"/>
                <w:szCs w:val="24"/>
              </w:rPr>
              <w:t>- Zakres gwarancji musi obejmować, co najmniej wady fabryczne, konstrukcyjne i materiałowe urządzenia z wyłączeniem elementów zużywalnych lub szklanych naczyń pomiarowych;</w:t>
            </w:r>
          </w:p>
          <w:p w14:paraId="033510BC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- Wykonawca zapewni realizację świadczeń gwarancyjnych przez autoryzowany serwis gwarancyjny;</w:t>
            </w:r>
          </w:p>
          <w:p w14:paraId="25CFAF06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- Pracownicy serwisujący powinny posługiwać się biegle językiem polskim w kontaktach z Zamawiającym;</w:t>
            </w:r>
          </w:p>
          <w:p w14:paraId="2B7A51E6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Przez okres gwarancji Wykonawca zobowiązany jest do udzielania Zamawiającemu bezpłatnych konsultacji telefonicznych związanych z funkcjonalnością i eksploatacją urządzenia;</w:t>
            </w:r>
          </w:p>
          <w:p w14:paraId="0EA4B16F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- W okresie gwarancji Wykonawca zobowiązany jest do przeprowadzenia co najmniej 2 przeglądów okresowych, świadczonych bezpłatnie, w zakresie przewidzianym dla porozymetru, w tym wymiany części zamiennych i materiałów eksploatacyjnych.</w:t>
            </w:r>
          </w:p>
        </w:tc>
      </w:tr>
      <w:tr w:rsidR="00DC3760" w:rsidRPr="00906BFC" w14:paraId="42D0A87F" w14:textId="77777777" w:rsidTr="00516B18">
        <w:tc>
          <w:tcPr>
            <w:tcW w:w="9067" w:type="dxa"/>
            <w:gridSpan w:val="2"/>
            <w:shd w:val="clear" w:color="auto" w:fill="E7E6E6" w:themeFill="background2"/>
          </w:tcPr>
          <w:p w14:paraId="76840C16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BFC">
              <w:rPr>
                <w:rFonts w:ascii="Arial" w:hAnsi="Arial" w:cs="Arial"/>
                <w:b/>
                <w:sz w:val="24"/>
                <w:szCs w:val="24"/>
              </w:rPr>
              <w:lastRenderedPageBreak/>
              <w:t>Akcesoria do porozymetru rtęciowego</w:t>
            </w:r>
          </w:p>
        </w:tc>
      </w:tr>
      <w:tr w:rsidR="00DC3760" w:rsidRPr="00906BFC" w14:paraId="1C553F48" w14:textId="77777777" w:rsidTr="004421C9">
        <w:tc>
          <w:tcPr>
            <w:tcW w:w="2057" w:type="dxa"/>
          </w:tcPr>
          <w:p w14:paraId="59DCD764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Ogólne</w:t>
            </w:r>
          </w:p>
        </w:tc>
        <w:tc>
          <w:tcPr>
            <w:tcW w:w="7010" w:type="dxa"/>
          </w:tcPr>
          <w:p w14:paraId="08400D92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Wszystkie akcesoria fabrycznie nowe. Nie demonstrowane wcześniej w żadnym laboratorium lub na pokazach.</w:t>
            </w:r>
          </w:p>
        </w:tc>
      </w:tr>
      <w:tr w:rsidR="00DC3760" w:rsidRPr="00906BFC" w14:paraId="7B48DB5A" w14:textId="77777777" w:rsidTr="004421C9">
        <w:tc>
          <w:tcPr>
            <w:tcW w:w="2057" w:type="dxa"/>
          </w:tcPr>
          <w:p w14:paraId="0D696B33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Akcesoria </w:t>
            </w:r>
          </w:p>
          <w:p w14:paraId="2042464A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010" w:type="dxa"/>
          </w:tcPr>
          <w:p w14:paraId="298F58A8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Co najmniej dwa wzorce </w:t>
            </w:r>
            <w:r w:rsidRPr="00906BFC">
              <w:rPr>
                <w:rFonts w:ascii="Arial" w:eastAsia="Times New Roman" w:hAnsi="Arial" w:cs="Arial"/>
                <w:sz w:val="24"/>
                <w:szCs w:val="24"/>
              </w:rPr>
              <w:t>porowatości, jeden dla zakresu mezoporów i jeden dla zakresu makroporów.</w:t>
            </w:r>
          </w:p>
        </w:tc>
      </w:tr>
      <w:tr w:rsidR="00DC3760" w:rsidRPr="00906BFC" w14:paraId="130956DB" w14:textId="77777777" w:rsidTr="004421C9">
        <w:tc>
          <w:tcPr>
            <w:tcW w:w="2057" w:type="dxa"/>
          </w:tcPr>
          <w:p w14:paraId="3513FFFC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Akcesoria</w:t>
            </w:r>
          </w:p>
          <w:p w14:paraId="5B503CCA" w14:textId="77777777" w:rsidR="00DC3760" w:rsidRPr="00906BFC" w:rsidRDefault="00DC3760" w:rsidP="00516B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010" w:type="dxa"/>
          </w:tcPr>
          <w:p w14:paraId="3038EDD8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Pompa próżniowa z możliwością montażu poza obudową i w pewnej odległości od porozymetru.</w:t>
            </w:r>
          </w:p>
        </w:tc>
      </w:tr>
      <w:tr w:rsidR="00DC3760" w:rsidRPr="00906BFC" w14:paraId="0E84BA81" w14:textId="77777777" w:rsidTr="004421C9">
        <w:tc>
          <w:tcPr>
            <w:tcW w:w="2057" w:type="dxa"/>
          </w:tcPr>
          <w:p w14:paraId="6855CBCC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Akcesoria </w:t>
            </w:r>
          </w:p>
          <w:p w14:paraId="3E7852D0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10" w:type="dxa"/>
          </w:tcPr>
          <w:p w14:paraId="290DB926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Zdejmowana dolna metalowa podstawa (na której można ustawić aparat) z kanałem serwisowym typu rynienka lub kratka odpływowa, dającym w razie potrzeby możliwość łatwego usunięcia ewentualnych zanieczyszczeń rtęci podczas demontażu próbek.</w:t>
            </w:r>
          </w:p>
        </w:tc>
      </w:tr>
      <w:tr w:rsidR="00DC3760" w:rsidRPr="00906BFC" w14:paraId="23D2FC26" w14:textId="77777777" w:rsidTr="004421C9">
        <w:tc>
          <w:tcPr>
            <w:tcW w:w="2057" w:type="dxa"/>
          </w:tcPr>
          <w:p w14:paraId="14F39639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Akcesoria </w:t>
            </w:r>
          </w:p>
          <w:p w14:paraId="5FD6B463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10" w:type="dxa"/>
          </w:tcPr>
          <w:p w14:paraId="4AD33632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Zestaw zapasowych elementów urządzenia, w tym: co najmniej dwa zapasowe naczynia pomiarowe do próbek stałych i sypkich, co najmniej jedna zapasowa pułapka rtęciowa oraz co najmniej dwie zapasowe igły do ściągania nadmiaru rtęci z kapilar.</w:t>
            </w:r>
          </w:p>
        </w:tc>
      </w:tr>
      <w:tr w:rsidR="00DC3760" w:rsidRPr="00906BFC" w14:paraId="38B168A5" w14:textId="77777777" w:rsidTr="004421C9">
        <w:tc>
          <w:tcPr>
            <w:tcW w:w="2057" w:type="dxa"/>
          </w:tcPr>
          <w:p w14:paraId="70200B6E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Akcesoria </w:t>
            </w:r>
          </w:p>
          <w:p w14:paraId="18635BB2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010" w:type="dxa"/>
          </w:tcPr>
          <w:p w14:paraId="36C18253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Smar silikonowy do uszczelnień, co najmniej 2 opakowania.</w:t>
            </w:r>
          </w:p>
        </w:tc>
      </w:tr>
      <w:tr w:rsidR="00DC3760" w:rsidRPr="00906BFC" w14:paraId="30C93162" w14:textId="77777777" w:rsidTr="004421C9">
        <w:tc>
          <w:tcPr>
            <w:tcW w:w="2057" w:type="dxa"/>
          </w:tcPr>
          <w:p w14:paraId="09084827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Akcesoria </w:t>
            </w:r>
          </w:p>
          <w:p w14:paraId="1DC4BB37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010" w:type="dxa"/>
          </w:tcPr>
          <w:p w14:paraId="1F4EE58E" w14:textId="5D13E621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7 kg rtęci do wykonywania pomiarów. Rtęć powinna spełniać wymagania formułowane przez producenta porozymetru. </w:t>
            </w:r>
          </w:p>
        </w:tc>
      </w:tr>
      <w:tr w:rsidR="00DC3760" w:rsidRPr="00906BFC" w14:paraId="6EC753AC" w14:textId="77777777" w:rsidTr="00516B18">
        <w:tc>
          <w:tcPr>
            <w:tcW w:w="9067" w:type="dxa"/>
            <w:gridSpan w:val="2"/>
            <w:shd w:val="clear" w:color="auto" w:fill="E7E6E6" w:themeFill="background2"/>
          </w:tcPr>
          <w:p w14:paraId="31784A4E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BFC">
              <w:rPr>
                <w:rFonts w:ascii="Arial" w:hAnsi="Arial" w:cs="Arial"/>
                <w:b/>
                <w:sz w:val="24"/>
                <w:szCs w:val="24"/>
              </w:rPr>
              <w:t>Urządzenie do akwizycji danych wraz z oprogramowaniem</w:t>
            </w:r>
          </w:p>
        </w:tc>
      </w:tr>
      <w:tr w:rsidR="00DC3760" w:rsidRPr="00906BFC" w14:paraId="5B34EE1E" w14:textId="77777777" w:rsidTr="004421C9">
        <w:tc>
          <w:tcPr>
            <w:tcW w:w="2057" w:type="dxa"/>
          </w:tcPr>
          <w:p w14:paraId="6FE1D64E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Urządzenie</w:t>
            </w:r>
          </w:p>
        </w:tc>
        <w:tc>
          <w:tcPr>
            <w:tcW w:w="7010" w:type="dxa"/>
          </w:tcPr>
          <w:p w14:paraId="45E77309" w14:textId="77777777" w:rsidR="00DC3760" w:rsidRPr="00906BFC" w:rsidRDefault="00DC3760" w:rsidP="00516B18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Komputer przenośny typu laptop, o parametrach min. 16GB RAM, Dysk SSD min. 256GB, wraz z systemem operacyjnym MS Windows 10  (64 bit) lub Windows 11. Komputer powinien być fabrycznie nowy, nieużywany wcześniej oraz posiadać </w:t>
            </w:r>
            <w:r w:rsidRPr="00DC37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co najmniej 24 miesięczną gwarancję</w:t>
            </w: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obejmującą wady </w:t>
            </w:r>
            <w:r w:rsidRPr="00906BFC">
              <w:rPr>
                <w:rFonts w:ascii="Arial" w:hAnsi="Arial" w:cs="Arial"/>
                <w:sz w:val="24"/>
                <w:szCs w:val="24"/>
              </w:rPr>
              <w:t xml:space="preserve">fabryczne, konstrukcyjne i materiałowe. </w:t>
            </w: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Rok produkcji nie wcześniej niż 2022 r. </w:t>
            </w:r>
          </w:p>
        </w:tc>
      </w:tr>
      <w:tr w:rsidR="00DC3760" w:rsidRPr="00906BFC" w14:paraId="342F2885" w14:textId="77777777" w:rsidTr="004421C9">
        <w:tc>
          <w:tcPr>
            <w:tcW w:w="2057" w:type="dxa"/>
          </w:tcPr>
          <w:p w14:paraId="189FEA8A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Oprogramowanie</w:t>
            </w:r>
          </w:p>
          <w:p w14:paraId="49F56A5A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010" w:type="dxa"/>
          </w:tcPr>
          <w:p w14:paraId="66FDDDB4" w14:textId="77777777" w:rsidR="00DC3760" w:rsidRPr="00906BFC" w:rsidRDefault="00DC3760" w:rsidP="00516B18">
            <w:pPr>
              <w:spacing w:line="25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będzie umożliwiało sterowanie porozymetrem oraz zapisywanie wyników z portów nisko i wysokociśnieniowego w jednym pliku. Wymagana dożywotnia licencja wielostanowiskowa z możliwością instalacji na nieograniczonej liczbie komputerów.</w:t>
            </w:r>
          </w:p>
        </w:tc>
      </w:tr>
      <w:tr w:rsidR="00DC3760" w:rsidRPr="00906BFC" w14:paraId="1B101062" w14:textId="77777777" w:rsidTr="004421C9">
        <w:tc>
          <w:tcPr>
            <w:tcW w:w="2057" w:type="dxa"/>
          </w:tcPr>
          <w:p w14:paraId="10323FE6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Oprogramowanie</w:t>
            </w:r>
          </w:p>
          <w:p w14:paraId="72CA1C44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10" w:type="dxa"/>
          </w:tcPr>
          <w:p w14:paraId="4EAB4201" w14:textId="77777777" w:rsidR="00DC3760" w:rsidRPr="00906BFC" w:rsidRDefault="00DC3760" w:rsidP="00516B18">
            <w:pPr>
              <w:spacing w:line="25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będzie umożliwiało obróbkę i zbieranie danych pomiarowych z porozymetru oraz powinno prawidłowo funkcjonować w środowisku Windows 10 lub nowszym.</w:t>
            </w:r>
          </w:p>
        </w:tc>
      </w:tr>
      <w:tr w:rsidR="00DC3760" w:rsidRPr="00906BFC" w14:paraId="10838460" w14:textId="77777777" w:rsidTr="004421C9">
        <w:tc>
          <w:tcPr>
            <w:tcW w:w="2057" w:type="dxa"/>
          </w:tcPr>
          <w:p w14:paraId="52514848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Oprogramowanie</w:t>
            </w:r>
          </w:p>
          <w:p w14:paraId="134ED357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10" w:type="dxa"/>
          </w:tcPr>
          <w:p w14:paraId="520E7AA2" w14:textId="77777777" w:rsidR="00DC3760" w:rsidRPr="00906BFC" w:rsidRDefault="00DC3760" w:rsidP="00516B18">
            <w:pPr>
              <w:spacing w:line="25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Oprogramowanie będzie umożliwiało obliczanie gęstości objętościowej kompozytów budowlanych oraz będzie umożliwiało </w:t>
            </w:r>
            <w:r w:rsidRPr="00906BFC">
              <w:rPr>
                <w:rFonts w:ascii="Arial" w:eastAsia="Times New Roman" w:hAnsi="Arial" w:cs="Arial"/>
                <w:sz w:val="24"/>
                <w:szCs w:val="24"/>
              </w:rPr>
              <w:t>nakładanie krzywych porozymetrycznych z różnych eksperymentów, w celu porównania wyników i określania trendu.</w:t>
            </w:r>
          </w:p>
        </w:tc>
      </w:tr>
      <w:tr w:rsidR="00DC3760" w:rsidRPr="00906BFC" w14:paraId="61B0B348" w14:textId="77777777" w:rsidTr="004421C9">
        <w:tc>
          <w:tcPr>
            <w:tcW w:w="2057" w:type="dxa"/>
          </w:tcPr>
          <w:p w14:paraId="207A2374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Oprogramowanie</w:t>
            </w:r>
          </w:p>
          <w:p w14:paraId="08AEE50C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10" w:type="dxa"/>
          </w:tcPr>
          <w:p w14:paraId="3895B0E9" w14:textId="77777777" w:rsidR="00DC3760" w:rsidRPr="00906BFC" w:rsidRDefault="00DC3760" w:rsidP="00516B18">
            <w:pPr>
              <w:spacing w:line="25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Interfejs oprogramowania powinien być w napisany w języku polskim lub angielskim.</w:t>
            </w:r>
          </w:p>
        </w:tc>
      </w:tr>
      <w:tr w:rsidR="00DC3760" w:rsidRPr="00906BFC" w14:paraId="2EEF2FFC" w14:textId="77777777" w:rsidTr="00516B18">
        <w:tc>
          <w:tcPr>
            <w:tcW w:w="9067" w:type="dxa"/>
            <w:gridSpan w:val="2"/>
            <w:shd w:val="clear" w:color="auto" w:fill="E7E6E6" w:themeFill="background2"/>
          </w:tcPr>
          <w:p w14:paraId="52DACCC9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6B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Komora nastołowa</w:t>
            </w:r>
          </w:p>
        </w:tc>
      </w:tr>
      <w:tr w:rsidR="00DC3760" w:rsidRPr="00906BFC" w14:paraId="3461ED4D" w14:textId="77777777" w:rsidTr="004421C9">
        <w:tc>
          <w:tcPr>
            <w:tcW w:w="2057" w:type="dxa"/>
          </w:tcPr>
          <w:p w14:paraId="29109EC8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Ogólne</w:t>
            </w:r>
          </w:p>
        </w:tc>
        <w:tc>
          <w:tcPr>
            <w:tcW w:w="7010" w:type="dxa"/>
          </w:tcPr>
          <w:p w14:paraId="7DA81606" w14:textId="77777777" w:rsidR="00DC3760" w:rsidRPr="00906BFC" w:rsidRDefault="00DC3760" w:rsidP="00516B18">
            <w:pPr>
              <w:spacing w:line="25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nastołowa wraz z blatem roboczym oraz stelażem powinna być nowa, wcześniej nieużywana.</w:t>
            </w:r>
          </w:p>
        </w:tc>
      </w:tr>
      <w:tr w:rsidR="00DC3760" w:rsidRPr="00906BFC" w14:paraId="104F5D6E" w14:textId="77777777" w:rsidTr="004421C9">
        <w:tc>
          <w:tcPr>
            <w:tcW w:w="2057" w:type="dxa"/>
          </w:tcPr>
          <w:p w14:paraId="2BD96609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Wymiary </w:t>
            </w:r>
          </w:p>
        </w:tc>
        <w:tc>
          <w:tcPr>
            <w:tcW w:w="7010" w:type="dxa"/>
          </w:tcPr>
          <w:p w14:paraId="4E2C308D" w14:textId="77777777" w:rsidR="00DC3760" w:rsidRPr="00906BFC" w:rsidRDefault="00DC3760" w:rsidP="00516B18">
            <w:pPr>
              <w:spacing w:line="25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będzie miała około 1,7 m wysokości oraz co najmniej 1,6 m szerokości</w:t>
            </w:r>
          </w:p>
        </w:tc>
      </w:tr>
      <w:tr w:rsidR="00DC3760" w:rsidRPr="00906BFC" w14:paraId="594DCE02" w14:textId="77777777" w:rsidTr="004421C9">
        <w:tc>
          <w:tcPr>
            <w:tcW w:w="2057" w:type="dxa"/>
          </w:tcPr>
          <w:p w14:paraId="4FBFEE05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Blat roboczy</w:t>
            </w:r>
          </w:p>
        </w:tc>
        <w:tc>
          <w:tcPr>
            <w:tcW w:w="7010" w:type="dxa"/>
          </w:tcPr>
          <w:p w14:paraId="111B2457" w14:textId="77777777" w:rsidR="00DC3760" w:rsidRPr="00906BFC" w:rsidRDefault="00DC3760" w:rsidP="00516B18">
            <w:pPr>
              <w:spacing w:line="25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Komora zostanie dostarczona wraz z pasującym do niej blatem roboczym i stelażem, umożliwiającym umieszczenie porozymetru na wysokości ok. 80-90 cm nad podłogą. </w:t>
            </w:r>
            <w:r w:rsidRPr="00906BFC">
              <w:rPr>
                <w:rFonts w:ascii="Arial" w:hAnsi="Arial" w:cs="Arial"/>
                <w:bCs/>
                <w:sz w:val="24"/>
                <w:szCs w:val="24"/>
              </w:rPr>
              <w:t xml:space="preserve">Stacje pomiarowe w aparacie po zainstalowaniu urządzenia w komorze na blacie nie powinny być wyżej jak 130cm od powierzchni podłogi dla swobodnej obsługi. </w:t>
            </w: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Nośność blatu roboczego wraz ze stelażem powinna przekraczać masę porozymetru z co najmniej 25 kg zapasem. </w:t>
            </w:r>
          </w:p>
        </w:tc>
      </w:tr>
      <w:tr w:rsidR="00DC3760" w:rsidRPr="00906BFC" w14:paraId="2920E0B3" w14:textId="77777777" w:rsidTr="004421C9">
        <w:tc>
          <w:tcPr>
            <w:tcW w:w="2057" w:type="dxa"/>
          </w:tcPr>
          <w:p w14:paraId="18E5099B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Komora</w:t>
            </w:r>
          </w:p>
        </w:tc>
        <w:tc>
          <w:tcPr>
            <w:tcW w:w="7010" w:type="dxa"/>
          </w:tcPr>
          <w:p w14:paraId="25AE41D9" w14:textId="77777777" w:rsidR="00DC3760" w:rsidRPr="00906BFC" w:rsidRDefault="00DC3760" w:rsidP="00516B18">
            <w:pPr>
              <w:spacing w:line="25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nastołowa będzie wentylowana oraz powinna posiadać: przesuwne drzwi otwierane ku górze, zapewniające swobodny dostęp do porozymetru. Komora powinna być wyposażona również w  czujnik przepływu i wentylator dla zapewnienia odprowadzenia oparów rtęci z otoczenia aparatu lub zostać przystosowana do podłączenia do istniejącego systemu wentylacji w pomieszczeniu Zamawiającego</w:t>
            </w:r>
          </w:p>
        </w:tc>
      </w:tr>
      <w:tr w:rsidR="00DC3760" w:rsidRPr="00906BFC" w14:paraId="43E3BD0A" w14:textId="77777777" w:rsidTr="004421C9">
        <w:tc>
          <w:tcPr>
            <w:tcW w:w="2057" w:type="dxa"/>
          </w:tcPr>
          <w:p w14:paraId="6D58F5B6" w14:textId="77777777" w:rsidR="00DC3760" w:rsidRPr="00906BFC" w:rsidRDefault="00DC3760" w:rsidP="00516B18">
            <w:pPr>
              <w:spacing w:line="25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06BFC">
              <w:rPr>
                <w:rFonts w:ascii="Arial" w:hAnsi="Arial" w:cs="Arial"/>
                <w:bCs/>
                <w:sz w:val="24"/>
                <w:szCs w:val="24"/>
              </w:rPr>
              <w:t>Gwarancja</w:t>
            </w:r>
          </w:p>
        </w:tc>
        <w:tc>
          <w:tcPr>
            <w:tcW w:w="7010" w:type="dxa"/>
          </w:tcPr>
          <w:p w14:paraId="08D73A49" w14:textId="77777777" w:rsidR="00DC3760" w:rsidRPr="00906BFC" w:rsidRDefault="00DC3760" w:rsidP="00516B18">
            <w:pPr>
              <w:spacing w:line="254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Komora nastołowa wraz z blatem roboczym i stelażem będzie objęta </w:t>
            </w:r>
            <w:r w:rsidRPr="00DC37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co najmniej 12 miesięczną gwarancją</w:t>
            </w:r>
            <w:r w:rsidRPr="00906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obejmującą </w:t>
            </w:r>
            <w:r w:rsidRPr="00906BFC">
              <w:rPr>
                <w:rFonts w:ascii="Arial" w:hAnsi="Arial" w:cs="Arial"/>
                <w:sz w:val="24"/>
                <w:szCs w:val="24"/>
              </w:rPr>
              <w:t>wady fabryczne, konstrukcyjne i materiałowe</w:t>
            </w:r>
          </w:p>
        </w:tc>
      </w:tr>
    </w:tbl>
    <w:p w14:paraId="55673B76" w14:textId="77777777" w:rsidR="00506220" w:rsidRDefault="00506220"/>
    <w:sectPr w:rsidR="005062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C841" w14:textId="77777777" w:rsidR="00E20B16" w:rsidRDefault="00E20B16" w:rsidP="00AB4A80">
      <w:pPr>
        <w:spacing w:after="0" w:line="240" w:lineRule="auto"/>
      </w:pPr>
      <w:r>
        <w:separator/>
      </w:r>
    </w:p>
  </w:endnote>
  <w:endnote w:type="continuationSeparator" w:id="0">
    <w:p w14:paraId="27056DC7" w14:textId="77777777" w:rsidR="00E20B16" w:rsidRDefault="00E20B16" w:rsidP="00AB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7D00" w14:textId="5CC8D4F2" w:rsidR="00AB4A80" w:rsidRDefault="00AB4A80">
    <w:pPr>
      <w:pStyle w:val="Stopka"/>
    </w:pPr>
    <w:r>
      <w:rPr>
        <w:noProof/>
      </w:rPr>
      <w:drawing>
        <wp:inline distT="0" distB="0" distL="0" distR="0" wp14:anchorId="5957CDB8" wp14:editId="6D024C67">
          <wp:extent cx="171450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E36">
      <w:rPr>
        <w:noProof/>
        <w:lang w:eastAsia="pl-PL"/>
      </w:rPr>
      <w:drawing>
        <wp:inline distT="0" distB="0" distL="0" distR="0" wp14:anchorId="1F9E2487" wp14:editId="0378F3A2">
          <wp:extent cx="2752725" cy="473215"/>
          <wp:effectExtent l="0" t="0" r="0" b="3175"/>
          <wp:docPr id="2" name="Obraz 2" descr="C:\Users\ebroch\Desktop\belka_FE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broch\Desktop\belka_FE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95" r="28220"/>
                  <a:stretch>
                    <a:fillRect/>
                  </a:stretch>
                </pic:blipFill>
                <pic:spPr bwMode="auto">
                  <a:xfrm>
                    <a:off x="0" y="0"/>
                    <a:ext cx="2781551" cy="47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B32F" w14:textId="77777777" w:rsidR="00E20B16" w:rsidRDefault="00E20B16" w:rsidP="00AB4A80">
      <w:pPr>
        <w:spacing w:after="0" w:line="240" w:lineRule="auto"/>
      </w:pPr>
      <w:r>
        <w:separator/>
      </w:r>
    </w:p>
  </w:footnote>
  <w:footnote w:type="continuationSeparator" w:id="0">
    <w:p w14:paraId="1CF94A26" w14:textId="77777777" w:rsidR="00E20B16" w:rsidRDefault="00E20B16" w:rsidP="00AB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AA0"/>
    <w:multiLevelType w:val="hybridMultilevel"/>
    <w:tmpl w:val="1FDE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8B8"/>
    <w:multiLevelType w:val="hybridMultilevel"/>
    <w:tmpl w:val="9050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4913"/>
    <w:multiLevelType w:val="hybridMultilevel"/>
    <w:tmpl w:val="8F32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270027">
    <w:abstractNumId w:val="2"/>
  </w:num>
  <w:num w:numId="2" w16cid:durableId="1799908258">
    <w:abstractNumId w:val="1"/>
  </w:num>
  <w:num w:numId="3" w16cid:durableId="173161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0"/>
    <w:rsid w:val="00005FDF"/>
    <w:rsid w:val="001C6C3B"/>
    <w:rsid w:val="003032F5"/>
    <w:rsid w:val="004421C9"/>
    <w:rsid w:val="00506220"/>
    <w:rsid w:val="00652B1C"/>
    <w:rsid w:val="006C021B"/>
    <w:rsid w:val="00733E4A"/>
    <w:rsid w:val="008C157A"/>
    <w:rsid w:val="009D0041"/>
    <w:rsid w:val="00AB4A80"/>
    <w:rsid w:val="00DC3760"/>
    <w:rsid w:val="00E20B16"/>
    <w:rsid w:val="00E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D3DB"/>
  <w15:chartTrackingRefBased/>
  <w15:docId w15:val="{1761B46F-AB18-4844-B063-D694F5E6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60"/>
    <w:pPr>
      <w:spacing w:before="160"/>
      <w:jc w:val="both"/>
    </w:pPr>
    <w:rPr>
      <w:rFonts w:ascii="Times New Roman" w:hAnsi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A80"/>
  </w:style>
  <w:style w:type="paragraph" w:styleId="Stopka">
    <w:name w:val="footer"/>
    <w:basedOn w:val="Normalny"/>
    <w:link w:val="StopkaZnak"/>
    <w:uiPriority w:val="99"/>
    <w:unhideWhenUsed/>
    <w:rsid w:val="00AB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A80"/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99"/>
    <w:qFormat/>
    <w:rsid w:val="00DC3760"/>
    <w:pPr>
      <w:ind w:left="720"/>
      <w:contextualSpacing/>
    </w:pPr>
  </w:style>
  <w:style w:type="table" w:styleId="Tabela-Siatka">
    <w:name w:val="Table Grid"/>
    <w:basedOn w:val="Standardowy"/>
    <w:uiPriority w:val="39"/>
    <w:rsid w:val="00DC37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99"/>
    <w:qFormat/>
    <w:locked/>
    <w:rsid w:val="00DC3760"/>
    <w:rPr>
      <w:rFonts w:ascii="Times New Roman" w:hAnsi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1782</Words>
  <Characters>10695</Characters>
  <Application>Microsoft Office Word</Application>
  <DocSecurity>0</DocSecurity>
  <Lines>89</Lines>
  <Paragraphs>24</Paragraphs>
  <ScaleCrop>false</ScaleCrop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Długołęcki Andrzej</dc:creator>
  <cp:keywords/>
  <dc:description/>
  <cp:lastModifiedBy>Wawrowska Magdalena</cp:lastModifiedBy>
  <cp:revision>3</cp:revision>
  <dcterms:created xsi:type="dcterms:W3CDTF">2023-07-17T08:32:00Z</dcterms:created>
  <dcterms:modified xsi:type="dcterms:W3CDTF">2023-07-17T08:34:00Z</dcterms:modified>
</cp:coreProperties>
</file>