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4681B2A2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1618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5859A5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A16186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1398EDF7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>Nr. spr: IZP.271.</w:t>
      </w:r>
      <w:r w:rsidR="00A16186">
        <w:rPr>
          <w:rFonts w:asciiTheme="majorHAnsi" w:hAnsiTheme="majorHAnsi"/>
          <w:b/>
          <w:sz w:val="26"/>
          <w:szCs w:val="26"/>
        </w:rPr>
        <w:t>6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6FD918D2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z.U.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A16186">
        <w:rPr>
          <w:rFonts w:ascii="Tahoma" w:hAnsi="Tahoma" w:cs="Tahoma"/>
          <w:b/>
        </w:rPr>
        <w:t>592 5</w:t>
      </w:r>
      <w:r w:rsidR="00E56FFB">
        <w:rPr>
          <w:rFonts w:ascii="Tahoma" w:hAnsi="Tahoma" w:cs="Tahoma"/>
          <w:b/>
        </w:rPr>
        <w:t>00,00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F1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2022-11-09T07:12:00Z</cp:lastPrinted>
  <dcterms:created xsi:type="dcterms:W3CDTF">2024-04-17T09:43:00Z</dcterms:created>
  <dcterms:modified xsi:type="dcterms:W3CDTF">2024-04-24T09:25:00Z</dcterms:modified>
</cp:coreProperties>
</file>