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2C0DD2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>N</w:t>
      </w:r>
      <w:r w:rsidR="006B3E80">
        <w:rPr>
          <w:rFonts w:ascii="Arial" w:hAnsi="Arial" w:cs="Arial"/>
          <w:b/>
          <w:sz w:val="28"/>
          <w:szCs w:val="28"/>
        </w:rPr>
        <w:t>A 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D58544F" w14:textId="77777777" w:rsidR="00834167" w:rsidRPr="00834167" w:rsidRDefault="00834167" w:rsidP="00834167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</w:rPr>
      </w:pPr>
      <w:r w:rsidRPr="00834167">
        <w:rPr>
          <w:rFonts w:ascii="Arial" w:hAnsi="Arial" w:cs="Arial"/>
          <w:b/>
          <w:kern w:val="2"/>
          <w:sz w:val="24"/>
          <w:lang w:eastAsia="ar-SA"/>
        </w:rPr>
        <w:t>„Serwis systemu ciągłego monitoringu emisji spalin instalacji termicznej utylizacji osadów w Oczyszczalni Ścieków Pomorzany”</w:t>
      </w:r>
    </w:p>
    <w:p w14:paraId="5C837A5B" w14:textId="77777777" w:rsidR="008C6933" w:rsidRPr="005D40BF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70F71952" w14:textId="311DC19B" w:rsidR="005D40BF" w:rsidRPr="005D40BF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5D40BF">
        <w:rPr>
          <w:rFonts w:ascii="Arial" w:hAnsi="Arial" w:cs="Arial"/>
          <w:sz w:val="24"/>
          <w:szCs w:val="24"/>
        </w:rPr>
        <w:t>CPV 5041</w:t>
      </w:r>
      <w:r w:rsidR="00126F7F">
        <w:rPr>
          <w:rFonts w:ascii="Arial" w:hAnsi="Arial" w:cs="Arial"/>
          <w:sz w:val="24"/>
          <w:szCs w:val="24"/>
        </w:rPr>
        <w:t>1</w:t>
      </w:r>
      <w:r w:rsidRPr="005D40BF">
        <w:rPr>
          <w:rFonts w:ascii="Arial" w:hAnsi="Arial" w:cs="Arial"/>
          <w:sz w:val="24"/>
          <w:szCs w:val="24"/>
        </w:rPr>
        <w:t>000</w:t>
      </w:r>
      <w:r w:rsidRPr="005D40BF">
        <w:rPr>
          <w:rFonts w:ascii="Arial" w:eastAsia="Calibri" w:hAnsi="Arial" w:cs="Arial"/>
          <w:sz w:val="24"/>
          <w:szCs w:val="24"/>
        </w:rPr>
        <w:t>-</w:t>
      </w:r>
      <w:r w:rsidR="00126F7F">
        <w:rPr>
          <w:rFonts w:ascii="Arial" w:eastAsia="Calibri" w:hAnsi="Arial" w:cs="Arial"/>
          <w:sz w:val="24"/>
          <w:szCs w:val="24"/>
        </w:rPr>
        <w:t>9</w:t>
      </w:r>
      <w:r w:rsidRPr="005D40BF">
        <w:rPr>
          <w:rFonts w:ascii="Arial" w:eastAsia="Calibri" w:hAnsi="Arial" w:cs="Arial"/>
          <w:sz w:val="24"/>
          <w:szCs w:val="24"/>
        </w:rPr>
        <w:t xml:space="preserve">   Usługi w zakresie napraw i konserwacji aparatury </w:t>
      </w:r>
      <w:r w:rsidR="00126F7F">
        <w:rPr>
          <w:rFonts w:ascii="Arial" w:eastAsia="Calibri" w:hAnsi="Arial" w:cs="Arial"/>
          <w:sz w:val="24"/>
          <w:szCs w:val="24"/>
        </w:rPr>
        <w:t>pomiarowej</w:t>
      </w:r>
    </w:p>
    <w:p w14:paraId="1DD6FBEA" w14:textId="550E586C" w:rsidR="00295090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085C9398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 w:rsidR="007A5E7E">
        <w:rPr>
          <w:rFonts w:ascii="Arial" w:hAnsi="Arial" w:cs="Arial"/>
        </w:rPr>
        <w:t>Dz. U. z 2023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7A5E7E">
        <w:rPr>
          <w:rFonts w:ascii="Arial" w:hAnsi="Arial" w:cs="Arial"/>
        </w:rPr>
        <w:t>605</w:t>
      </w:r>
      <w:r w:rsidRPr="009A331C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53762C4B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77777777" w:rsidR="007C0EA7" w:rsidRPr="00E51A15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1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8240DBC" w14:textId="77777777" w:rsidR="007C0EA7" w:rsidRPr="00E51A15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2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2FC7A4" w14:textId="69A2E816" w:rsidR="007C0EA7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3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9AE8F7A" w14:textId="13266946" w:rsidR="00BB6F94" w:rsidRPr="00E51A15" w:rsidRDefault="00BB6F94" w:rsidP="00BB6F9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4</w:t>
      </w:r>
      <w:r w:rsidRPr="00E51A15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31C1133F" w14:textId="2226D766" w:rsidR="007C0EA7" w:rsidRDefault="007C0EA7" w:rsidP="007C0EA7">
      <w:pPr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</w:t>
      </w:r>
      <w:r w:rsidR="003B653E">
        <w:rPr>
          <w:rFonts w:ascii="Arial" w:hAnsi="Arial" w:cs="Arial"/>
          <w:bCs/>
          <w:sz w:val="24"/>
          <w:szCs w:val="24"/>
        </w:rPr>
        <w:t xml:space="preserve"> </w:t>
      </w:r>
      <w:r w:rsidR="00BB6F94">
        <w:rPr>
          <w:rFonts w:ascii="Arial" w:hAnsi="Arial" w:cs="Arial"/>
          <w:bCs/>
          <w:sz w:val="24"/>
          <w:szCs w:val="24"/>
        </w:rPr>
        <w:t>5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p w14:paraId="429FC2A8" w14:textId="77777777" w:rsidR="001C20DE" w:rsidRPr="00EB5B86" w:rsidRDefault="001C20DE" w:rsidP="001C2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 opis przedmiotu zamówienia</w:t>
      </w:r>
    </w:p>
    <w:p w14:paraId="13EB3D6A" w14:textId="77777777" w:rsidR="001C20DE" w:rsidRPr="00E51A15" w:rsidRDefault="001C20DE" w:rsidP="007C0EA7">
      <w:pPr>
        <w:rPr>
          <w:bCs/>
        </w:rPr>
      </w:pP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778E1E9F" w14:textId="77777777" w:rsidR="00D163F2" w:rsidRDefault="00D163F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027064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D470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441C661F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BB69489" w14:textId="77777777" w:rsidR="00F63720" w:rsidRDefault="00F63720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D470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182BFA" w:rsidRDefault="003D62E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4DF6DF29" w:rsidR="00490BE7" w:rsidRPr="004D08A8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Ofertę,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>
        <w:rPr>
          <w:rFonts w:ascii="Arial" w:hAnsi="Arial" w:cs="Arial"/>
          <w:b/>
          <w:sz w:val="24"/>
          <w:szCs w:val="24"/>
          <w:highlight w:val="yellow"/>
        </w:rPr>
        <w:br/>
      </w:r>
      <w:r w:rsidRPr="0047073C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222E45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273BDF5E" w:rsidR="00490BE7" w:rsidRPr="00234DE0" w:rsidRDefault="00490BE7" w:rsidP="00D4706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="00834167">
        <w:rPr>
          <w:rFonts w:ascii="Arial" w:hAnsi="Arial" w:cs="Arial"/>
          <w:sz w:val="24"/>
          <w:szCs w:val="24"/>
        </w:rPr>
        <w:t>Kinga Malewicz</w:t>
      </w:r>
      <w:r>
        <w:rPr>
          <w:rFonts w:ascii="Arial" w:hAnsi="Arial" w:cs="Arial"/>
          <w:sz w:val="24"/>
          <w:szCs w:val="24"/>
        </w:rPr>
        <w:t xml:space="preserve"> – tel. 91 44 </w:t>
      </w:r>
      <w:r w:rsidR="00834167">
        <w:rPr>
          <w:rFonts w:ascii="Arial" w:hAnsi="Arial" w:cs="Arial"/>
          <w:sz w:val="24"/>
          <w:szCs w:val="24"/>
        </w:rPr>
        <w:t>15 670</w:t>
      </w:r>
      <w:r w:rsidR="003B653E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 xml:space="preserve">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61A59854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382D6D" w:rsidRDefault="00AB3AA4" w:rsidP="00D47069">
      <w:pPr>
        <w:numPr>
          <w:ilvl w:val="0"/>
          <w:numId w:val="30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0B68F3F0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(Dz. U. z 2020 r. poz. 1133 oraz z 2021 r. poz. 2054) 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</w:t>
      </w:r>
      <w:r w:rsidR="004C7F26"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br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o refundacji leków, środków spożywczych specjalnego przeznaczenia żywieniowego oraz wyrobów medycznych (Dz. U. z 2021 r. poz. 523, 1292, 1559 i 2054),</w:t>
      </w:r>
    </w:p>
    <w:p w14:paraId="170B6794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78D47A06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7D2EEBA2" w14:textId="40B94A3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Default="00AB3AA4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5EBA67D1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</w:t>
      </w:r>
      <w:r w:rsidRPr="00060623">
        <w:rPr>
          <w:rFonts w:ascii="Arial" w:hAnsi="Arial" w:cs="Arial"/>
          <w:sz w:val="24"/>
          <w:szCs w:val="24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03B02D4F" w:rsidR="00060623" w:rsidRPr="00060623" w:rsidRDefault="00060623" w:rsidP="00D47069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382D6D" w:rsidRDefault="00AB3AA4" w:rsidP="00D47069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382D6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286A8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9C33E0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604195" w:rsidRDefault="006F7511" w:rsidP="009C33E0">
      <w:pPr>
        <w:tabs>
          <w:tab w:val="left" w:pos="567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604195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604195">
        <w:rPr>
          <w:rFonts w:ascii="Arial" w:hAnsi="Arial" w:cs="Arial"/>
          <w:iCs/>
          <w:sz w:val="24"/>
          <w:szCs w:val="24"/>
        </w:rPr>
        <w:t>:</w:t>
      </w:r>
    </w:p>
    <w:p w14:paraId="177AA93D" w14:textId="52E983EE" w:rsidR="005D40BF" w:rsidRPr="005D40BF" w:rsidRDefault="003B653E" w:rsidP="007A5E7E">
      <w:pPr>
        <w:pStyle w:val="Akapitzlist"/>
        <w:numPr>
          <w:ilvl w:val="3"/>
          <w:numId w:val="3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5D40BF">
        <w:rPr>
          <w:rFonts w:ascii="Arial" w:hAnsi="Arial" w:cs="Arial"/>
          <w:iCs/>
          <w:sz w:val="24"/>
          <w:szCs w:val="24"/>
        </w:rPr>
        <w:t>w</w:t>
      </w:r>
      <w:r w:rsidRPr="005D40BF">
        <w:rPr>
          <w:rFonts w:ascii="Arial" w:hAnsi="Arial" w:cs="Arial"/>
          <w:sz w:val="24"/>
          <w:szCs w:val="24"/>
        </w:rPr>
        <w:t xml:space="preserve">ykonał należycie w okresie ostatnich </w:t>
      </w:r>
      <w:r w:rsidR="005D40BF" w:rsidRPr="005D40BF">
        <w:rPr>
          <w:rFonts w:ascii="Arial" w:hAnsi="Arial" w:cs="Arial"/>
          <w:b/>
          <w:sz w:val="24"/>
          <w:szCs w:val="24"/>
        </w:rPr>
        <w:t>pięciu</w:t>
      </w:r>
      <w:r w:rsidR="00354420" w:rsidRPr="005D40BF">
        <w:rPr>
          <w:rFonts w:ascii="Arial" w:hAnsi="Arial" w:cs="Arial"/>
          <w:b/>
          <w:sz w:val="24"/>
          <w:szCs w:val="24"/>
        </w:rPr>
        <w:t xml:space="preserve"> </w:t>
      </w:r>
      <w:r w:rsidRPr="005D40BF">
        <w:rPr>
          <w:rFonts w:ascii="Arial" w:hAnsi="Arial" w:cs="Arial"/>
          <w:b/>
          <w:sz w:val="24"/>
          <w:szCs w:val="24"/>
        </w:rPr>
        <w:t>lat</w:t>
      </w:r>
      <w:r w:rsidRPr="005D40BF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minimum</w:t>
      </w:r>
      <w:r w:rsidR="00680B4E" w:rsidRPr="005D40BF">
        <w:rPr>
          <w:rFonts w:ascii="Arial" w:hAnsi="Arial" w:cs="Arial"/>
          <w:sz w:val="24"/>
          <w:szCs w:val="24"/>
        </w:rPr>
        <w:t xml:space="preserve"> </w:t>
      </w:r>
      <w:r w:rsidR="005D40BF" w:rsidRPr="005D40BF">
        <w:rPr>
          <w:rFonts w:ascii="Arial" w:hAnsi="Arial" w:cs="Arial"/>
          <w:sz w:val="24"/>
          <w:szCs w:val="24"/>
        </w:rPr>
        <w:t>trzy</w:t>
      </w:r>
      <w:r w:rsidRPr="005D40BF">
        <w:rPr>
          <w:rFonts w:ascii="Arial" w:hAnsi="Arial" w:cs="Arial"/>
          <w:sz w:val="24"/>
          <w:szCs w:val="24"/>
        </w:rPr>
        <w:t xml:space="preserve"> usługi, </w:t>
      </w:r>
      <w:r w:rsidR="005D40BF" w:rsidRPr="005D40BF">
        <w:rPr>
          <w:rFonts w:ascii="Arial" w:hAnsi="Arial" w:cs="Arial"/>
          <w:sz w:val="24"/>
          <w:szCs w:val="24"/>
        </w:rPr>
        <w:t xml:space="preserve">których przedmiotem jest </w:t>
      </w:r>
      <w:r w:rsidR="004D175D">
        <w:rPr>
          <w:rFonts w:ascii="Arial" w:hAnsi="Arial" w:cs="Arial"/>
          <w:sz w:val="24"/>
          <w:szCs w:val="24"/>
        </w:rPr>
        <w:t>przegląd okresowy, dostawa i wymiana części zużywających się systemu ciągłego monitoringu emisji spalin</w:t>
      </w:r>
      <w:r w:rsidR="005D40BF" w:rsidRPr="005D40BF">
        <w:rPr>
          <w:rFonts w:ascii="Arial" w:hAnsi="Arial" w:cs="Arial"/>
          <w:sz w:val="24"/>
          <w:szCs w:val="24"/>
        </w:rPr>
        <w:t xml:space="preserve"> o wartości co najmniej </w:t>
      </w:r>
      <w:r w:rsidR="004D175D">
        <w:rPr>
          <w:rFonts w:ascii="Arial" w:hAnsi="Arial" w:cs="Arial"/>
          <w:b/>
          <w:sz w:val="24"/>
          <w:szCs w:val="24"/>
        </w:rPr>
        <w:t>4</w:t>
      </w:r>
      <w:r w:rsidR="005D40BF" w:rsidRPr="005D40BF">
        <w:rPr>
          <w:rFonts w:ascii="Arial" w:hAnsi="Arial" w:cs="Arial"/>
          <w:b/>
          <w:sz w:val="24"/>
          <w:szCs w:val="24"/>
        </w:rPr>
        <w:t>0 000 zł netto każda</w:t>
      </w:r>
      <w:r w:rsidR="005D40BF" w:rsidRPr="005D40BF">
        <w:rPr>
          <w:rFonts w:ascii="Arial" w:hAnsi="Arial" w:cs="Arial"/>
          <w:sz w:val="24"/>
          <w:szCs w:val="24"/>
        </w:rPr>
        <w:t>.</w:t>
      </w:r>
    </w:p>
    <w:p w14:paraId="73B01CB2" w14:textId="70396B69" w:rsidR="005D40BF" w:rsidRDefault="00036B01" w:rsidP="009C33E0">
      <w:pPr>
        <w:pStyle w:val="Akapitzlist"/>
        <w:tabs>
          <w:tab w:val="left" w:pos="567"/>
        </w:tabs>
        <w:spacing w:after="0" w:line="240" w:lineRule="auto"/>
        <w:ind w:left="141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</w:t>
      </w:r>
      <w:r w:rsidR="00834167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i</w:t>
      </w:r>
      <w:r w:rsidRPr="005D40B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spełniać </w:t>
      </w:r>
      <w:r w:rsidR="00834167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co najmniej jeden z Wykonawców w całości.</w:t>
      </w:r>
    </w:p>
    <w:p w14:paraId="1B61E659" w14:textId="69F45954" w:rsidR="00EA7FD9" w:rsidRPr="00EA7FD9" w:rsidRDefault="00EA7FD9" w:rsidP="00EA7FD9">
      <w:pPr>
        <w:pStyle w:val="Akapitzlist"/>
        <w:numPr>
          <w:ilvl w:val="0"/>
          <w:numId w:val="3"/>
        </w:numPr>
        <w:tabs>
          <w:tab w:val="num" w:pos="786"/>
          <w:tab w:val="left" w:pos="1418"/>
        </w:tabs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93F50">
        <w:rPr>
          <w:rFonts w:ascii="Arial" w:hAnsi="Arial" w:cs="Arial"/>
          <w:b/>
          <w:bCs/>
          <w:sz w:val="24"/>
          <w:szCs w:val="24"/>
        </w:rPr>
        <w:t>Poleganie na</w:t>
      </w:r>
      <w:r w:rsidRPr="00EA7FD9">
        <w:rPr>
          <w:rFonts w:ascii="Arial" w:hAnsi="Arial" w:cs="Arial"/>
          <w:b/>
          <w:bCs/>
          <w:sz w:val="24"/>
          <w:szCs w:val="24"/>
        </w:rPr>
        <w:t xml:space="preserve"> potencjale podmiotów udostępniających zasoby:</w:t>
      </w:r>
    </w:p>
    <w:p w14:paraId="15CEA2E6" w14:textId="77777777" w:rsidR="00EA7FD9" w:rsidRPr="00826DA7" w:rsidRDefault="00EA7FD9" w:rsidP="00EA7FD9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26DA7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826DA7">
        <w:rPr>
          <w:rFonts w:ascii="Arial" w:hAnsi="Arial" w:cs="Arial"/>
          <w:sz w:val="24"/>
          <w:szCs w:val="24"/>
        </w:rPr>
        <w:br/>
        <w:t>w postępowaniu polegać na zdolnościach technicznych lub zawodowych lub sytuacji finansowej lub ekonomicznej podmiotów udostępniających zasoby, niezależnie od charakteru prawnego łączących go z nimi stosunków prawnych (</w:t>
      </w:r>
      <w:r w:rsidRPr="00826DA7">
        <w:rPr>
          <w:rFonts w:ascii="Arial" w:hAnsi="Arial" w:cs="Arial"/>
          <w:bCs/>
          <w:iCs/>
          <w:sz w:val="24"/>
          <w:szCs w:val="24"/>
        </w:rPr>
        <w:t>z zastrzeżeniem Rozdziału XX pkt 4 – obowiązek osobistego wykonania przez wykonawcę kluczowych zadań)</w:t>
      </w:r>
    </w:p>
    <w:p w14:paraId="334C1EBB" w14:textId="77777777" w:rsidR="00EA7FD9" w:rsidRPr="00826DA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826DA7">
        <w:rPr>
          <w:rFonts w:ascii="Arial" w:eastAsia="Calibri" w:hAnsi="Arial" w:cs="Arial"/>
          <w:b/>
          <w:bCs/>
          <w:sz w:val="24"/>
          <w:szCs w:val="24"/>
          <w:lang w:eastAsia="en-US"/>
        </w:rPr>
        <w:t>usługi</w:t>
      </w:r>
      <w:r w:rsidRPr="00826DA7">
        <w:rPr>
          <w:rFonts w:ascii="Arial" w:eastAsia="Calibri" w:hAnsi="Arial" w:cs="Arial"/>
          <w:sz w:val="24"/>
          <w:szCs w:val="24"/>
          <w:lang w:eastAsia="en-US"/>
        </w:rPr>
        <w:t>, do realizacji których te zdolności są wymagane.</w:t>
      </w:r>
    </w:p>
    <w:p w14:paraId="0A43C939" w14:textId="77777777" w:rsidR="00EA7FD9" w:rsidRPr="00826DA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028BFF4" w14:textId="0C5E6651" w:rsidR="00EA7FD9" w:rsidRPr="00834167" w:rsidRDefault="00EA7FD9" w:rsidP="00EA7FD9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826DA7">
        <w:rPr>
          <w:rFonts w:ascii="Arial" w:eastAsia="Calibri" w:hAnsi="Arial" w:cs="Arial"/>
          <w:sz w:val="24"/>
          <w:szCs w:val="24"/>
          <w:lang w:eastAsia="en-US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545C76E1" w14:textId="77777777" w:rsidR="0010151F" w:rsidRDefault="00C026E3" w:rsidP="0010151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0151F">
        <w:rPr>
          <w:rFonts w:ascii="Arial" w:hAnsi="Arial" w:cs="Arial"/>
          <w:b/>
          <w:bCs/>
          <w:sz w:val="24"/>
          <w:szCs w:val="24"/>
        </w:rPr>
        <w:t>Podwykonawcy:</w:t>
      </w:r>
    </w:p>
    <w:p w14:paraId="7F592B61" w14:textId="0D55A757" w:rsidR="00834167" w:rsidRPr="007A5E7E" w:rsidRDefault="00DE5847" w:rsidP="007A5E7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0151F">
        <w:rPr>
          <w:rFonts w:ascii="Arial" w:hAnsi="Arial" w:cs="Arial"/>
          <w:sz w:val="24"/>
          <w:szCs w:val="24"/>
        </w:rPr>
        <w:t>Zamawiający dopuszcza udział podwykonawców przy realizacji zamówienia.</w:t>
      </w: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3C12D3" w:rsidRDefault="0060016F" w:rsidP="00D47069">
      <w:pPr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004372">
      <w:pPr>
        <w:ind w:left="709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004372">
      <w:pPr>
        <w:pStyle w:val="Akapitzlist"/>
        <w:spacing w:after="0" w:line="240" w:lineRule="auto"/>
        <w:ind w:left="709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004372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5DF29719" w14:textId="2F23E777" w:rsidR="0060016F" w:rsidRDefault="00E123F8" w:rsidP="00004372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D6C7E6E" w14:textId="77777777" w:rsidR="00EA7FD9" w:rsidRPr="00826DA7" w:rsidRDefault="00EA7FD9" w:rsidP="00EA7FD9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826DA7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826DA7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826DA7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826DA7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826DA7">
        <w:rPr>
          <w:rFonts w:ascii="Arial" w:hAnsi="Arial" w:cs="Arial"/>
          <w:b/>
          <w:sz w:val="24"/>
          <w:szCs w:val="24"/>
        </w:rPr>
        <w:t>załącznik nr 4</w:t>
      </w:r>
      <w:r w:rsidRPr="00826DA7">
        <w:rPr>
          <w:rFonts w:ascii="Arial" w:hAnsi="Arial" w:cs="Arial"/>
          <w:sz w:val="24"/>
          <w:szCs w:val="24"/>
        </w:rPr>
        <w:t xml:space="preserve"> </w:t>
      </w:r>
      <w:r w:rsidRPr="00826DA7">
        <w:rPr>
          <w:rFonts w:ascii="Arial" w:hAnsi="Arial" w:cs="Arial"/>
          <w:b/>
          <w:bCs/>
          <w:sz w:val="24"/>
          <w:szCs w:val="24"/>
        </w:rPr>
        <w:t>do SWZ</w:t>
      </w:r>
      <w:r w:rsidRPr="00826DA7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0F7382C5" w14:textId="46EDDEE4" w:rsidR="00EA7FD9" w:rsidRDefault="00EA7FD9" w:rsidP="00EA7FD9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826DA7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12D46692" w14:textId="77777777" w:rsidR="00151806" w:rsidRPr="00342E69" w:rsidRDefault="00151806" w:rsidP="00004372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D47069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</w:t>
      </w:r>
      <w:r w:rsidR="00B125C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7782A27" w:rsidR="00004372" w:rsidRPr="00342E69" w:rsidRDefault="00004372" w:rsidP="00D47069">
      <w:pPr>
        <w:numPr>
          <w:ilvl w:val="1"/>
          <w:numId w:val="28"/>
        </w:numPr>
        <w:tabs>
          <w:tab w:val="clear" w:pos="786"/>
        </w:tabs>
        <w:ind w:left="709" w:hanging="425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.4)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SWZ należy złożyć:</w:t>
      </w:r>
    </w:p>
    <w:p w14:paraId="5C043ADF" w14:textId="4CF602EA" w:rsidR="003B653E" w:rsidRPr="00680B4E" w:rsidRDefault="003B653E" w:rsidP="00D47069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iCs/>
          <w:sz w:val="24"/>
          <w:szCs w:val="24"/>
        </w:rPr>
      </w:pPr>
      <w:r w:rsidRPr="00680B4E">
        <w:rPr>
          <w:rFonts w:ascii="Arial" w:hAnsi="Arial" w:cs="Arial"/>
          <w:b/>
          <w:iCs/>
          <w:sz w:val="24"/>
          <w:szCs w:val="24"/>
        </w:rPr>
        <w:t xml:space="preserve">wykaz usług </w:t>
      </w:r>
      <w:r w:rsidRPr="00680B4E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4D175D">
        <w:rPr>
          <w:rFonts w:ascii="Arial" w:hAnsi="Arial" w:cs="Arial"/>
          <w:iCs/>
          <w:sz w:val="24"/>
          <w:szCs w:val="24"/>
        </w:rPr>
        <w:t>5</w:t>
      </w:r>
      <w:r w:rsidRPr="00680B4E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 ;</w:t>
      </w:r>
    </w:p>
    <w:p w14:paraId="0E3C61B0" w14:textId="77777777" w:rsidR="00604195" w:rsidRPr="00604195" w:rsidRDefault="00604195" w:rsidP="007A5E7E">
      <w:pPr>
        <w:pStyle w:val="Akapitzlist"/>
        <w:spacing w:after="0"/>
        <w:ind w:left="105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604195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3B1E7B9" w14:textId="77777777" w:rsidR="00984CE7" w:rsidRPr="00AE3F3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E3F37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>
        <w:rPr>
          <w:rFonts w:ascii="Arial" w:hAnsi="Arial" w:cs="Arial"/>
          <w:sz w:val="24"/>
          <w:szCs w:val="24"/>
        </w:rPr>
        <w:t>4</w:t>
      </w:r>
      <w:r w:rsidRPr="00984CE7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984CE7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984CE7" w:rsidRDefault="00984CE7" w:rsidP="00D47069">
      <w:pPr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lastRenderedPageBreak/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53A4762" w14:textId="17D14FCC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BC2B2C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013BA0F3" w:rsidR="004943E9" w:rsidRPr="001C20DE" w:rsidRDefault="004943E9" w:rsidP="00D4706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C20DE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126F7F" w:rsidRPr="001C20DE">
        <w:rPr>
          <w:rFonts w:ascii="Arial" w:hAnsi="Arial" w:cs="Arial"/>
          <w:b/>
          <w:sz w:val="24"/>
          <w:szCs w:val="24"/>
        </w:rPr>
        <w:t xml:space="preserve">12 miesięcy od </w:t>
      </w:r>
      <w:r w:rsidR="00834167" w:rsidRPr="001C20DE">
        <w:rPr>
          <w:rFonts w:ascii="Arial" w:hAnsi="Arial" w:cs="Arial"/>
          <w:b/>
          <w:sz w:val="24"/>
          <w:szCs w:val="24"/>
        </w:rPr>
        <w:t>19.07.2024 r.</w:t>
      </w:r>
    </w:p>
    <w:p w14:paraId="56A19BC9" w14:textId="2D1B7D35" w:rsidR="0060016F" w:rsidRPr="003D112D" w:rsidRDefault="0060016F" w:rsidP="00D47069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1C20DE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126F7F" w:rsidRPr="001C20DE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  <w:r w:rsidR="00872BAF"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</w:t>
      </w:r>
      <w:r w:rsidR="005D40BF" w:rsidRPr="001C20D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872BAF" w:rsidRPr="003D112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licząc </w:t>
      </w:r>
      <w:r w:rsidR="003D112D" w:rsidRPr="003D112D">
        <w:rPr>
          <w:rFonts w:ascii="Arial" w:hAnsi="Arial" w:cs="Arial"/>
          <w:b w:val="0"/>
          <w:sz w:val="24"/>
          <w:szCs w:val="24"/>
        </w:rPr>
        <w:t>od dnia każdorazowego podpisania przez strony protokołu z wykonanych czynności serwisowych</w:t>
      </w:r>
      <w:r w:rsidR="001C20DE" w:rsidRPr="003D112D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1713F1E0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332CD0D" w14:textId="77777777" w:rsidR="00DE5847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60F6D">
        <w:rPr>
          <w:rFonts w:ascii="Arial" w:hAnsi="Arial" w:cs="Arial"/>
          <w:sz w:val="24"/>
          <w:szCs w:val="24"/>
        </w:rPr>
        <w:t xml:space="preserve">Zamawiający przewiduje </w:t>
      </w:r>
      <w:r w:rsidRPr="00826DA7">
        <w:rPr>
          <w:rFonts w:ascii="Arial" w:hAnsi="Arial" w:cs="Arial"/>
          <w:sz w:val="24"/>
          <w:szCs w:val="24"/>
        </w:rPr>
        <w:t xml:space="preserve">wynagrodzenie </w:t>
      </w:r>
      <w:r w:rsidRPr="00826DA7">
        <w:rPr>
          <w:rFonts w:ascii="Arial" w:hAnsi="Arial" w:cs="Arial"/>
          <w:iCs/>
          <w:sz w:val="24"/>
          <w:szCs w:val="24"/>
        </w:rPr>
        <w:t>ryczałtowe.</w:t>
      </w:r>
      <w:r w:rsidRPr="00826DA7">
        <w:rPr>
          <w:rFonts w:ascii="Arial" w:hAnsi="Arial" w:cs="Arial"/>
          <w:sz w:val="24"/>
          <w:szCs w:val="24"/>
        </w:rPr>
        <w:t xml:space="preserve"> </w:t>
      </w:r>
    </w:p>
    <w:p w14:paraId="7EF17224" w14:textId="77777777" w:rsidR="00DE5847" w:rsidRDefault="00DE5847" w:rsidP="00DE584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0FB4CA30" w14:textId="77777777" w:rsidR="00DE5847" w:rsidRPr="002F3058" w:rsidRDefault="00DE5847" w:rsidP="00DE5847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25BD57B3" w14:textId="77777777" w:rsidR="00DE5847" w:rsidRPr="003E7A90" w:rsidRDefault="00DE5847" w:rsidP="00DE5847">
      <w:p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ubezpieczenia OC i NNW;</w:t>
      </w:r>
    </w:p>
    <w:p w14:paraId="6BDA33B5" w14:textId="34521F44" w:rsidR="00DE5847" w:rsidRPr="003E7A90" w:rsidRDefault="00DE5847" w:rsidP="00DE5847">
      <w:pPr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wynagrodzenia pracowników</w:t>
      </w:r>
      <w:r w:rsidR="00126F7F">
        <w:rPr>
          <w:rFonts w:ascii="Arial" w:hAnsi="Arial" w:cs="Arial"/>
          <w:sz w:val="24"/>
          <w:szCs w:val="24"/>
        </w:rPr>
        <w:t xml:space="preserve"> wykonujących serwis</w:t>
      </w:r>
      <w:r w:rsidRPr="003E7A90">
        <w:rPr>
          <w:rFonts w:ascii="Arial" w:hAnsi="Arial" w:cs="Arial"/>
          <w:sz w:val="24"/>
          <w:szCs w:val="24"/>
        </w:rPr>
        <w:t>;</w:t>
      </w:r>
    </w:p>
    <w:p w14:paraId="09504EEA" w14:textId="3A5EC4AE" w:rsidR="004903B9" w:rsidRPr="00834167" w:rsidRDefault="00DE5847" w:rsidP="00834167">
      <w:pPr>
        <w:pStyle w:val="Akapitzlist"/>
        <w:suppressAutoHyphens/>
        <w:ind w:left="360" w:hanging="76"/>
        <w:jc w:val="both"/>
        <w:rPr>
          <w:rFonts w:ascii="Arial" w:hAnsi="Arial" w:cs="Arial"/>
          <w:sz w:val="24"/>
          <w:szCs w:val="24"/>
        </w:rPr>
      </w:pPr>
      <w:r w:rsidRPr="003E7A90">
        <w:rPr>
          <w:rFonts w:ascii="Arial" w:hAnsi="Arial" w:cs="Arial"/>
          <w:sz w:val="24"/>
          <w:szCs w:val="24"/>
        </w:rPr>
        <w:t>- koszty wyjazdu i pobytu w Szczecinie pracowników;</w:t>
      </w:r>
    </w:p>
    <w:p w14:paraId="3078AD90" w14:textId="193C82BD" w:rsidR="00126F7F" w:rsidRDefault="00126F7F" w:rsidP="005D40BF">
      <w:pPr>
        <w:pStyle w:val="Akapitzlist"/>
        <w:suppressAutoHyphens/>
        <w:ind w:left="360" w:hanging="7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- koszty materiałów eksploatacyjnych niezbędnych do wykonania serwisu;</w:t>
      </w:r>
    </w:p>
    <w:p w14:paraId="39931DDF" w14:textId="696BCE88" w:rsidR="005D40BF" w:rsidRDefault="005D40BF" w:rsidP="00834167">
      <w:pPr>
        <w:pStyle w:val="Akapitzlist"/>
        <w:suppressAutoHyphens/>
        <w:spacing w:after="0"/>
        <w:ind w:left="360"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koszty transportu i sprzętu</w:t>
      </w:r>
      <w:r w:rsidR="00126F7F">
        <w:rPr>
          <w:rFonts w:ascii="Arial" w:hAnsi="Arial" w:cs="Arial"/>
          <w:sz w:val="24"/>
          <w:szCs w:val="24"/>
        </w:rPr>
        <w:t>, części i materiałów eksploa</w:t>
      </w:r>
      <w:r w:rsidR="00834167">
        <w:rPr>
          <w:rFonts w:ascii="Arial" w:hAnsi="Arial" w:cs="Arial"/>
          <w:sz w:val="24"/>
          <w:szCs w:val="24"/>
        </w:rPr>
        <w:t>tacyjnych.</w:t>
      </w:r>
    </w:p>
    <w:p w14:paraId="32776892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29F387E6" w14:textId="77777777" w:rsidR="00DE5847" w:rsidRPr="002A4A1F" w:rsidRDefault="00DE5847" w:rsidP="00DE5847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5CCE101D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</w:t>
      </w:r>
      <w:r w:rsidRPr="00A2183B">
        <w:rPr>
          <w:rFonts w:ascii="Arial" w:hAnsi="Arial" w:cs="Arial"/>
          <w:b/>
          <w:color w:val="auto"/>
        </w:rPr>
        <w:t xml:space="preserve"> terminie do dnia</w:t>
      </w:r>
      <w:r w:rsidR="00215130">
        <w:rPr>
          <w:rFonts w:ascii="Arial" w:hAnsi="Arial" w:cs="Arial"/>
          <w:b/>
          <w:color w:val="auto"/>
        </w:rPr>
        <w:t xml:space="preserve"> </w:t>
      </w:r>
      <w:r w:rsidR="00BD36D5">
        <w:rPr>
          <w:rFonts w:ascii="Arial" w:hAnsi="Arial" w:cs="Arial"/>
          <w:b/>
          <w:color w:val="auto"/>
        </w:rPr>
        <w:t>27.06.</w:t>
      </w:r>
      <w:r w:rsidR="00A2183B" w:rsidRPr="00A2183B">
        <w:rPr>
          <w:rFonts w:ascii="Arial" w:hAnsi="Arial" w:cs="Arial"/>
          <w:b/>
          <w:color w:val="auto"/>
        </w:rPr>
        <w:t>202</w:t>
      </w:r>
      <w:r w:rsidR="00834167">
        <w:rPr>
          <w:rFonts w:ascii="Arial" w:hAnsi="Arial" w:cs="Arial"/>
          <w:b/>
          <w:color w:val="auto"/>
        </w:rPr>
        <w:t>4</w:t>
      </w:r>
      <w:r w:rsidR="00A2183B" w:rsidRPr="00A2183B">
        <w:rPr>
          <w:rFonts w:ascii="Arial" w:hAnsi="Arial" w:cs="Arial"/>
          <w:b/>
          <w:color w:val="auto"/>
        </w:rPr>
        <w:t xml:space="preserve"> r. </w:t>
      </w:r>
      <w:r w:rsidRPr="00A2183B">
        <w:rPr>
          <w:rFonts w:ascii="Arial" w:hAnsi="Arial" w:cs="Arial"/>
          <w:b/>
          <w:color w:val="auto"/>
        </w:rPr>
        <w:t xml:space="preserve">do godz. </w:t>
      </w:r>
      <w:r w:rsidR="002F3058" w:rsidRPr="00A2183B">
        <w:rPr>
          <w:rFonts w:ascii="Arial" w:hAnsi="Arial" w:cs="Arial"/>
          <w:b/>
          <w:color w:val="auto"/>
        </w:rPr>
        <w:t>11:45</w:t>
      </w:r>
      <w:r w:rsidR="00A2183B">
        <w:rPr>
          <w:rFonts w:ascii="Arial" w:hAnsi="Arial" w:cs="Arial"/>
          <w:b/>
          <w:color w:val="auto"/>
        </w:rPr>
        <w:t>.</w:t>
      </w:r>
    </w:p>
    <w:p w14:paraId="2880E330" w14:textId="708B8A13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</w:t>
      </w:r>
      <w:r w:rsidRPr="00A2183B">
        <w:rPr>
          <w:rFonts w:ascii="Arial" w:hAnsi="Arial" w:cs="Arial"/>
          <w:color w:val="auto"/>
        </w:rPr>
        <w:t xml:space="preserve">odbędzie się </w:t>
      </w:r>
      <w:r w:rsidRPr="00A2183B">
        <w:rPr>
          <w:rFonts w:ascii="Arial" w:hAnsi="Arial" w:cs="Arial"/>
          <w:b/>
          <w:color w:val="auto"/>
        </w:rPr>
        <w:t>w dniu</w:t>
      </w:r>
      <w:r w:rsidR="00215130">
        <w:rPr>
          <w:rFonts w:ascii="Arial" w:hAnsi="Arial" w:cs="Arial"/>
          <w:b/>
          <w:color w:val="auto"/>
        </w:rPr>
        <w:t xml:space="preserve"> </w:t>
      </w:r>
      <w:r w:rsidR="00BD36D5">
        <w:rPr>
          <w:rFonts w:ascii="Arial" w:hAnsi="Arial" w:cs="Arial"/>
          <w:b/>
          <w:color w:val="auto"/>
        </w:rPr>
        <w:t>27.06</w:t>
      </w:r>
      <w:r w:rsidR="00A2183B">
        <w:rPr>
          <w:rFonts w:ascii="Arial" w:hAnsi="Arial" w:cs="Arial"/>
          <w:b/>
          <w:color w:val="auto"/>
        </w:rPr>
        <w:t>.202</w:t>
      </w:r>
      <w:r w:rsidR="00D811D5">
        <w:rPr>
          <w:rFonts w:ascii="Arial" w:hAnsi="Arial" w:cs="Arial"/>
          <w:b/>
          <w:color w:val="auto"/>
        </w:rPr>
        <w:t>4</w:t>
      </w:r>
      <w:r w:rsidR="00A2183B">
        <w:rPr>
          <w:rFonts w:ascii="Arial" w:hAnsi="Arial" w:cs="Arial"/>
          <w:b/>
          <w:color w:val="auto"/>
        </w:rPr>
        <w:t xml:space="preserve"> r.</w:t>
      </w:r>
      <w:r w:rsidR="005A7C55" w:rsidRPr="00A2183B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lastRenderedPageBreak/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Default="008F4D0F" w:rsidP="00D47069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D47069">
      <w:pPr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8754B7" w:rsidRDefault="008754B7" w:rsidP="00D47069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bez odbycia wizji lokalnej lub bez sprawdzenia dokumentów niezbędnych do realizacji zamówienia – jeżeli zamawiający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656AB2F8" w:rsidR="00027F5F" w:rsidRPr="007A5E7E" w:rsidRDefault="00696863" w:rsidP="007A5E7E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5A7C55" w:rsidRDefault="00027F5F" w:rsidP="00D470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59933A82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D47069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D47069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D47069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D47069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D47069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D47069">
      <w:pPr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D47069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D47069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lastRenderedPageBreak/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D47069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D47069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D470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17142D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5BB4442D" w14:textId="6638AD49" w:rsidR="00744184" w:rsidRPr="002C29BA" w:rsidRDefault="00495486" w:rsidP="00744184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B523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D40BF">
        <w:rPr>
          <w:rFonts w:ascii="Arial" w:hAnsi="Arial" w:cs="Arial"/>
          <w:bCs w:val="0"/>
          <w:sz w:val="24"/>
          <w:szCs w:val="24"/>
        </w:rPr>
        <w:t>5</w:t>
      </w:r>
      <w:r w:rsidR="00BE7CCD" w:rsidRPr="00AB523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Cs w:val="0"/>
          <w:sz w:val="24"/>
          <w:szCs w:val="24"/>
        </w:rPr>
        <w:t xml:space="preserve">do </w:t>
      </w:r>
      <w:r w:rsidRPr="00AB523E">
        <w:rPr>
          <w:rFonts w:ascii="Arial" w:hAnsi="Arial" w:cs="Arial"/>
          <w:bCs w:val="0"/>
          <w:sz w:val="24"/>
          <w:szCs w:val="24"/>
        </w:rPr>
        <w:t>SWZ</w:t>
      </w:r>
      <w:r w:rsidRPr="00AB523E">
        <w:rPr>
          <w:rFonts w:ascii="Arial" w:hAnsi="Arial" w:cs="Arial"/>
          <w:b w:val="0"/>
          <w:sz w:val="24"/>
          <w:szCs w:val="24"/>
        </w:rPr>
        <w:t xml:space="preserve">. </w:t>
      </w:r>
      <w:r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C29BA">
        <w:rPr>
          <w:rFonts w:ascii="Arial" w:hAnsi="Arial" w:cs="Arial"/>
          <w:b w:val="0"/>
          <w:sz w:val="24"/>
          <w:szCs w:val="24"/>
        </w:rPr>
        <w:t>.</w:t>
      </w:r>
    </w:p>
    <w:p w14:paraId="1BBACAAC" w14:textId="77777777" w:rsidR="00C6145E" w:rsidRPr="00504EC8" w:rsidRDefault="004635DD" w:rsidP="0017142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04EC8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64602AB1" w14:textId="77777777" w:rsidR="00D948F2" w:rsidRPr="00504EC8" w:rsidRDefault="00D948F2" w:rsidP="00D948F2">
      <w:pPr>
        <w:numPr>
          <w:ilvl w:val="0"/>
          <w:numId w:val="34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04EC8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504EC8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504EC8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04EC8">
        <w:rPr>
          <w:rFonts w:ascii="Arial" w:hAnsi="Arial" w:cs="Arial"/>
          <w:sz w:val="24"/>
          <w:szCs w:val="24"/>
        </w:rPr>
        <w:t>:</w:t>
      </w:r>
    </w:p>
    <w:p w14:paraId="5852A715" w14:textId="77777777" w:rsidR="00D948F2" w:rsidRPr="00504EC8" w:rsidRDefault="00D948F2" w:rsidP="00D948F2">
      <w:pPr>
        <w:numPr>
          <w:ilvl w:val="0"/>
          <w:numId w:val="35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04EC8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75E0C836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04EC8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4B6DBBEC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04EC8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4BCF33C3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04EC8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Ubezpieczonego,</w:t>
      </w:r>
    </w:p>
    <w:p w14:paraId="67019050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04EC8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w związku z wprowadzeniem produktu do obrotu,</w:t>
      </w:r>
    </w:p>
    <w:p w14:paraId="420A2A0C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04EC8">
        <w:rPr>
          <w:rFonts w:ascii="Arial" w:hAnsi="Arial" w:cs="Arial"/>
          <w:iCs/>
          <w:color w:val="000000"/>
          <w:sz w:val="24"/>
          <w:szCs w:val="24"/>
        </w:rPr>
        <w:t>odpowiedzialność cywilna za szkody powstałe w związku z przedostaniem się substancji chemicznych do powietrza, wody lub gruntu, w tym koszty poniesione w celu usunięcia lub neutralizacji substancji (szkody środowiskowe),</w:t>
      </w:r>
    </w:p>
    <w:p w14:paraId="1AFBF829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504EC8">
        <w:rPr>
          <w:rFonts w:ascii="Arial" w:hAnsi="Arial" w:cs="Arial"/>
          <w:sz w:val="24"/>
          <w:szCs w:val="24"/>
        </w:rPr>
        <w:t>,</w:t>
      </w:r>
    </w:p>
    <w:p w14:paraId="4F6C02A7" w14:textId="77777777" w:rsidR="00D948F2" w:rsidRPr="00504EC8" w:rsidRDefault="00D948F2" w:rsidP="00D948F2">
      <w:pPr>
        <w:numPr>
          <w:ilvl w:val="0"/>
          <w:numId w:val="3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7DAE9EA0" w14:textId="77777777" w:rsidR="00D948F2" w:rsidRPr="00504EC8" w:rsidRDefault="00D948F2" w:rsidP="00D948F2">
      <w:pPr>
        <w:numPr>
          <w:ilvl w:val="0"/>
          <w:numId w:val="34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sz w:val="24"/>
          <w:szCs w:val="24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F0857C9" w14:textId="77777777" w:rsidR="00D948F2" w:rsidRPr="00504EC8" w:rsidRDefault="00D948F2" w:rsidP="00D948F2">
      <w:pPr>
        <w:numPr>
          <w:ilvl w:val="0"/>
          <w:numId w:val="34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E1C9701" w14:textId="77777777" w:rsidR="00D948F2" w:rsidRPr="00504EC8" w:rsidRDefault="00D948F2" w:rsidP="00D948F2">
      <w:pPr>
        <w:numPr>
          <w:ilvl w:val="0"/>
          <w:numId w:val="34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04EC8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59D9EB29" w14:textId="77777777" w:rsidR="00D948F2" w:rsidRPr="00504EC8" w:rsidRDefault="00D948F2" w:rsidP="00D948F2">
      <w:pPr>
        <w:numPr>
          <w:ilvl w:val="0"/>
          <w:numId w:val="34"/>
        </w:numPr>
        <w:ind w:hanging="357"/>
        <w:jc w:val="both"/>
        <w:rPr>
          <w:rFonts w:ascii="Garamond" w:hAnsi="Garamond" w:cs="Arial"/>
          <w:sz w:val="24"/>
          <w:szCs w:val="24"/>
        </w:rPr>
      </w:pPr>
      <w:r w:rsidRPr="00504EC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504EC8">
        <w:rPr>
          <w:rFonts w:ascii="Garamond" w:hAnsi="Garamond" w:cs="Arial"/>
          <w:sz w:val="24"/>
          <w:szCs w:val="24"/>
        </w:rPr>
        <w:t>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F1F888A" w14:textId="67CF2F4C" w:rsidR="001C20DE" w:rsidRDefault="001C20DE" w:rsidP="001C20D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A9A4EF4" w14:textId="070406D8" w:rsidR="001C20DE" w:rsidRPr="002C0DD2" w:rsidRDefault="0060016F" w:rsidP="001C20DE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0DD2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2C0DD2">
        <w:rPr>
          <w:rFonts w:ascii="Arial" w:hAnsi="Arial" w:cs="Arial"/>
          <w:b/>
          <w:bCs/>
          <w:sz w:val="24"/>
          <w:szCs w:val="24"/>
        </w:rPr>
        <w:t xml:space="preserve">em zamówienia jest </w:t>
      </w:r>
      <w:r w:rsidR="001C20DE" w:rsidRPr="002C0DD2">
        <w:rPr>
          <w:rFonts w:ascii="Arial" w:hAnsi="Arial" w:cs="Arial"/>
          <w:sz w:val="24"/>
          <w:szCs w:val="24"/>
        </w:rPr>
        <w:t>zapewnienie poprawnego i zgodnego z przepisami funkcjonowania systemu ciągłego monitoringu emisji spalin instalacji termicznej utylizacji osadów poprzez kontrolę poprawności funkcjonowania, wykonanie przeglądów serwisowych oraz wymianę części zużywających się dwóch li</w:t>
      </w:r>
      <w:r w:rsidR="00371062" w:rsidRPr="002C0DD2">
        <w:rPr>
          <w:rFonts w:ascii="Arial" w:hAnsi="Arial" w:cs="Arial"/>
          <w:sz w:val="24"/>
          <w:szCs w:val="24"/>
        </w:rPr>
        <w:t>nii pomiarowych spalin E7 i E8</w:t>
      </w:r>
      <w:r w:rsidR="001C20DE" w:rsidRPr="002C0DD2">
        <w:rPr>
          <w:rFonts w:ascii="Arial" w:hAnsi="Arial" w:cs="Arial"/>
          <w:sz w:val="24"/>
          <w:szCs w:val="24"/>
        </w:rPr>
        <w:t xml:space="preserve">, zainstalowanych w Oczyszczalni Ścieków </w:t>
      </w:r>
      <w:r w:rsidR="002C0DD2">
        <w:rPr>
          <w:rFonts w:ascii="Arial" w:hAnsi="Arial" w:cs="Arial"/>
          <w:sz w:val="24"/>
          <w:szCs w:val="24"/>
        </w:rPr>
        <w:t>„</w:t>
      </w:r>
      <w:r w:rsidR="001C20DE" w:rsidRPr="002C0DD2">
        <w:rPr>
          <w:rFonts w:ascii="Arial" w:hAnsi="Arial" w:cs="Arial"/>
          <w:sz w:val="24"/>
          <w:szCs w:val="24"/>
        </w:rPr>
        <w:t>POMORZANY</w:t>
      </w:r>
      <w:r w:rsidR="002C0DD2">
        <w:rPr>
          <w:rFonts w:ascii="Arial" w:hAnsi="Arial" w:cs="Arial"/>
          <w:sz w:val="24"/>
          <w:szCs w:val="24"/>
        </w:rPr>
        <w:t>”</w:t>
      </w:r>
      <w:r w:rsidR="001C20DE" w:rsidRPr="002C0DD2">
        <w:rPr>
          <w:rFonts w:ascii="Arial" w:hAnsi="Arial" w:cs="Arial"/>
          <w:sz w:val="24"/>
          <w:szCs w:val="24"/>
        </w:rPr>
        <w:t xml:space="preserve">, zgodnie zaleceniami dokumentacji technicznej producenta i zaleceniami wynikającymi z bieżącego przeglądu. </w:t>
      </w:r>
    </w:p>
    <w:p w14:paraId="44790C27" w14:textId="77777777" w:rsidR="00FB6BA6" w:rsidRPr="001C20DE" w:rsidRDefault="00FB6BA6" w:rsidP="00FB6BA6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14:paraId="2A0D2143" w14:textId="77777777" w:rsidR="00FB6BA6" w:rsidRPr="008E2FDD" w:rsidRDefault="00FB6BA6" w:rsidP="00FB6BA6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BA6">
        <w:rPr>
          <w:rFonts w:ascii="Arial" w:eastAsia="Times New Roman" w:hAnsi="Arial" w:cs="Arial"/>
          <w:b/>
          <w:spacing w:val="-3"/>
          <w:sz w:val="24"/>
          <w:szCs w:val="24"/>
        </w:rPr>
        <w:t>Zakres zamówie</w:t>
      </w:r>
      <w:bookmarkStart w:id="7" w:name="_GoBack"/>
      <w:bookmarkEnd w:id="7"/>
      <w:r w:rsidRPr="00FB6BA6">
        <w:rPr>
          <w:rFonts w:ascii="Arial" w:eastAsia="Times New Roman" w:hAnsi="Arial" w:cs="Arial"/>
          <w:b/>
          <w:spacing w:val="-3"/>
          <w:sz w:val="24"/>
          <w:szCs w:val="24"/>
        </w:rPr>
        <w:t>nia</w:t>
      </w:r>
      <w:r w:rsidRPr="008E2FDD">
        <w:rPr>
          <w:rFonts w:ascii="Arial" w:eastAsia="Times New Roman" w:hAnsi="Arial" w:cs="Arial"/>
          <w:spacing w:val="-3"/>
          <w:sz w:val="24"/>
          <w:szCs w:val="24"/>
        </w:rPr>
        <w:t xml:space="preserve"> został określony w szczegółowym opisie przedmiotu zamówienia stanowiącym </w:t>
      </w:r>
      <w:r w:rsidRPr="008E2FDD">
        <w:rPr>
          <w:rFonts w:ascii="Arial" w:eastAsia="Times New Roman" w:hAnsi="Arial" w:cs="Arial"/>
          <w:b/>
          <w:spacing w:val="-3"/>
          <w:sz w:val="24"/>
          <w:szCs w:val="24"/>
        </w:rPr>
        <w:t>załącznik nr 6</w:t>
      </w:r>
      <w:r w:rsidRPr="008E2FD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E2FDD">
        <w:rPr>
          <w:rFonts w:ascii="Arial" w:eastAsia="Times New Roman" w:hAnsi="Arial" w:cs="Arial"/>
          <w:b/>
          <w:bCs/>
          <w:spacing w:val="-3"/>
          <w:sz w:val="24"/>
          <w:szCs w:val="24"/>
        </w:rPr>
        <w:t>do SWZ.</w:t>
      </w:r>
      <w:r w:rsidRPr="008E2FD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54C1C54E" w14:textId="77777777" w:rsidR="00FB6BA6" w:rsidRPr="00140A74" w:rsidRDefault="00FB6BA6" w:rsidP="00FB6BA6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</w:p>
    <w:p w14:paraId="28BB237E" w14:textId="77777777" w:rsidR="00FB6BA6" w:rsidRPr="008E2FDD" w:rsidRDefault="00FB6BA6" w:rsidP="00FB6BA6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E2FDD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2E4D70AA" w14:textId="77777777" w:rsidR="00FB6BA6" w:rsidRDefault="00FB6BA6" w:rsidP="00FB6BA6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sz w:val="24"/>
          <w:szCs w:val="24"/>
        </w:rPr>
      </w:pPr>
      <w:r w:rsidRPr="008E2FDD">
        <w:rPr>
          <w:rFonts w:ascii="Arial" w:hAnsi="Arial" w:cs="Arial"/>
          <w:sz w:val="24"/>
          <w:szCs w:val="24"/>
        </w:rPr>
        <w:t>Zamawiający nie wymaga zatrudnienia przez wykonawcę w trakcie realizacji zamówienia pracowników na podstawie stosunku pracy.</w:t>
      </w:r>
    </w:p>
    <w:p w14:paraId="6BE80611" w14:textId="77777777" w:rsidR="00FB6BA6" w:rsidRPr="00BD3035" w:rsidRDefault="00FB6BA6" w:rsidP="00FB6BA6">
      <w:pPr>
        <w:shd w:val="clear" w:color="auto" w:fill="FFFFFF"/>
        <w:ind w:right="2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F3DB1FD" w14:textId="77777777" w:rsidR="00FB6BA6" w:rsidRPr="008E2FDD" w:rsidRDefault="00FB6BA6" w:rsidP="00FB6BA6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2FD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3CE1FB78" w14:textId="77777777" w:rsidR="00FB6BA6" w:rsidRPr="00C66490" w:rsidRDefault="00FB6BA6" w:rsidP="00FB6BA6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8E2FDD">
        <w:rPr>
          <w:rFonts w:ascii="Arial" w:eastAsia="Times New Roman" w:hAnsi="Arial" w:cs="Arial"/>
          <w:sz w:val="24"/>
          <w:szCs w:val="24"/>
        </w:rPr>
        <w:t>Zamawiający nie zastrzega do osobistego wykonania przez wykonawcę kluczowych zadań</w:t>
      </w:r>
      <w:r w:rsidRPr="008E2FDD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29BFE6CB" w14:textId="77777777" w:rsidR="00DF4FE1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60AE02" w14:textId="77777777" w:rsidR="007A5E7E" w:rsidRPr="00EB5B86" w:rsidRDefault="007A5E7E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lastRenderedPageBreak/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C7E5A0E" w14:textId="77777777" w:rsidR="00E51A15" w:rsidRPr="00EB5B86" w:rsidRDefault="00E51A15" w:rsidP="00E51A1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8" w:name="_Hlk100222117"/>
      <w:r w:rsidRPr="00EB5B86">
        <w:rPr>
          <w:rFonts w:ascii="Arial" w:hAnsi="Arial" w:cs="Arial"/>
          <w:bCs/>
          <w:sz w:val="24"/>
          <w:szCs w:val="24"/>
        </w:rPr>
        <w:t>ZAŁĄCZNIK NR  1</w:t>
      </w:r>
      <w:r w:rsidRPr="00EB5B86">
        <w:rPr>
          <w:rFonts w:ascii="Arial" w:hAnsi="Arial" w:cs="Arial"/>
          <w:bCs/>
          <w:sz w:val="24"/>
          <w:szCs w:val="24"/>
        </w:rPr>
        <w:tab/>
      </w:r>
      <w:r w:rsidRPr="00EB5B86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651A0CF" w14:textId="77777777" w:rsidR="00E51A15" w:rsidRPr="00EB5B86" w:rsidRDefault="00E51A15" w:rsidP="00E51A1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B5B86">
        <w:rPr>
          <w:rFonts w:ascii="Arial" w:hAnsi="Arial" w:cs="Arial"/>
          <w:bCs/>
          <w:sz w:val="24"/>
          <w:szCs w:val="24"/>
        </w:rPr>
        <w:t>ZAŁĄCZNIK NR  2</w:t>
      </w:r>
      <w:r w:rsidRPr="00EB5B86">
        <w:rPr>
          <w:rFonts w:ascii="Arial" w:hAnsi="Arial" w:cs="Arial"/>
          <w:bCs/>
          <w:sz w:val="24"/>
          <w:szCs w:val="24"/>
        </w:rPr>
        <w:tab/>
      </w:r>
      <w:r w:rsidRPr="00EB5B8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492D0E3" w14:textId="71D21AC8" w:rsidR="00E51A15" w:rsidRPr="00EB5B86" w:rsidRDefault="00E51A15" w:rsidP="00E51A1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B5B86">
        <w:rPr>
          <w:rFonts w:ascii="Arial" w:hAnsi="Arial" w:cs="Arial"/>
          <w:bCs/>
          <w:sz w:val="24"/>
          <w:szCs w:val="24"/>
        </w:rPr>
        <w:t>ZAŁĄCZNIK NR  3</w:t>
      </w:r>
      <w:r w:rsidRPr="00EB5B8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7B22E31" w14:textId="77777777" w:rsidR="00BB6F94" w:rsidRPr="00EB5B86" w:rsidRDefault="00BB6F94" w:rsidP="00BB6F9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B5B86">
        <w:rPr>
          <w:rFonts w:ascii="Arial" w:hAnsi="Arial" w:cs="Arial"/>
          <w:bCs/>
          <w:sz w:val="24"/>
          <w:szCs w:val="24"/>
        </w:rPr>
        <w:t>ZAŁĄCZNIK NR  4</w:t>
      </w:r>
      <w:r w:rsidRPr="00EB5B86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B261815" w14:textId="6C2AA17F" w:rsidR="00ED6988" w:rsidRDefault="00E51A15" w:rsidP="001C20DE">
      <w:pPr>
        <w:rPr>
          <w:rFonts w:ascii="Arial" w:hAnsi="Arial" w:cs="Arial"/>
          <w:bCs/>
          <w:sz w:val="24"/>
          <w:szCs w:val="24"/>
        </w:rPr>
      </w:pPr>
      <w:r w:rsidRPr="00EB5B86">
        <w:rPr>
          <w:rFonts w:ascii="Arial" w:hAnsi="Arial" w:cs="Arial"/>
          <w:bCs/>
          <w:sz w:val="24"/>
          <w:szCs w:val="24"/>
        </w:rPr>
        <w:t xml:space="preserve">ZAŁĄCZNIK NR  </w:t>
      </w:r>
      <w:r w:rsidR="00BB6F94" w:rsidRPr="00EB5B86">
        <w:rPr>
          <w:rFonts w:ascii="Arial" w:hAnsi="Arial" w:cs="Arial"/>
          <w:bCs/>
          <w:sz w:val="24"/>
          <w:szCs w:val="24"/>
        </w:rPr>
        <w:t>5</w:t>
      </w:r>
      <w:r w:rsidRPr="00EB5B86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  <w:bookmarkEnd w:id="8"/>
    </w:p>
    <w:p w14:paraId="2209DCBB" w14:textId="0596C22B" w:rsidR="001C20DE" w:rsidRPr="00EB5B86" w:rsidRDefault="001C20DE" w:rsidP="001C2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 opis przedmiotu zamówienia</w:t>
      </w:r>
    </w:p>
    <w:sectPr w:rsidR="001C20DE" w:rsidRPr="00EB5B8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59605" w14:textId="77777777" w:rsidR="009A280E" w:rsidRDefault="009A280E" w:rsidP="00EF0384">
      <w:r>
        <w:separator/>
      </w:r>
    </w:p>
  </w:endnote>
  <w:endnote w:type="continuationSeparator" w:id="0">
    <w:p w14:paraId="59AE8239" w14:textId="77777777" w:rsidR="009A280E" w:rsidRDefault="009A280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AC790A" w:rsidRDefault="00AC790A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2C0DD2">
          <w:rPr>
            <w:rFonts w:ascii="Arial" w:hAnsi="Arial" w:cs="Arial"/>
            <w:noProof/>
          </w:rPr>
          <w:t>18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AC790A" w:rsidRDefault="00AC7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C930F" w14:textId="77777777" w:rsidR="009A280E" w:rsidRDefault="009A280E" w:rsidP="00EF0384">
      <w:r>
        <w:separator/>
      </w:r>
    </w:p>
  </w:footnote>
  <w:footnote w:type="continuationSeparator" w:id="0">
    <w:p w14:paraId="49682437" w14:textId="77777777" w:rsidR="009A280E" w:rsidRDefault="009A280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1D049288" w:rsidR="00AC790A" w:rsidRPr="006E19D9" w:rsidRDefault="00AC790A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D163F2">
      <w:rPr>
        <w:rFonts w:ascii="Arial" w:hAnsi="Arial" w:cs="Arial"/>
        <w:b/>
      </w:rPr>
      <w:t>47</w:t>
    </w:r>
    <w:r w:rsidRPr="006E19D9">
      <w:rPr>
        <w:rFonts w:ascii="Arial" w:hAnsi="Arial" w:cs="Arial"/>
        <w:b/>
      </w:rPr>
      <w:t>/202</w:t>
    </w:r>
    <w:r w:rsidR="00834167">
      <w:rPr>
        <w:rFonts w:ascii="Arial" w:hAnsi="Arial" w:cs="Arial"/>
        <w:b/>
      </w:rPr>
      <w:t>4</w:t>
    </w:r>
  </w:p>
  <w:p w14:paraId="29121193" w14:textId="77777777" w:rsidR="00AC790A" w:rsidRDefault="00AC7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57BF7"/>
    <w:multiLevelType w:val="hybridMultilevel"/>
    <w:tmpl w:val="04FC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0489B"/>
    <w:multiLevelType w:val="hybridMultilevel"/>
    <w:tmpl w:val="618EF0B0"/>
    <w:lvl w:ilvl="0" w:tplc="A9441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C7121"/>
    <w:multiLevelType w:val="hybridMultilevel"/>
    <w:tmpl w:val="2D266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C656B"/>
    <w:multiLevelType w:val="hybridMultilevel"/>
    <w:tmpl w:val="4472347C"/>
    <w:lvl w:ilvl="0" w:tplc="D3CCBF00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5D68B7A4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23FC8"/>
    <w:multiLevelType w:val="hybridMultilevel"/>
    <w:tmpl w:val="E5A69288"/>
    <w:lvl w:ilvl="0" w:tplc="CE622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6FF61ED"/>
    <w:multiLevelType w:val="multilevel"/>
    <w:tmpl w:val="A0EC2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0"/>
  </w:num>
  <w:num w:numId="4">
    <w:abstractNumId w:val="11"/>
  </w:num>
  <w:num w:numId="5">
    <w:abstractNumId w:val="36"/>
  </w:num>
  <w:num w:numId="6">
    <w:abstractNumId w:val="30"/>
  </w:num>
  <w:num w:numId="7">
    <w:abstractNumId w:val="48"/>
    <w:lvlOverride w:ilvl="0">
      <w:startOverride w:val="1"/>
    </w:lvlOverride>
  </w:num>
  <w:num w:numId="8">
    <w:abstractNumId w:val="24"/>
  </w:num>
  <w:num w:numId="9">
    <w:abstractNumId w:val="10"/>
  </w:num>
  <w:num w:numId="10">
    <w:abstractNumId w:val="46"/>
  </w:num>
  <w:num w:numId="11">
    <w:abstractNumId w:val="4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7"/>
  </w:num>
  <w:num w:numId="15">
    <w:abstractNumId w:val="39"/>
  </w:num>
  <w:num w:numId="16">
    <w:abstractNumId w:val="13"/>
  </w:num>
  <w:num w:numId="17">
    <w:abstractNumId w:val="42"/>
  </w:num>
  <w:num w:numId="18">
    <w:abstractNumId w:val="51"/>
  </w:num>
  <w:num w:numId="19">
    <w:abstractNumId w:val="49"/>
  </w:num>
  <w:num w:numId="20">
    <w:abstractNumId w:val="25"/>
  </w:num>
  <w:num w:numId="21">
    <w:abstractNumId w:val="16"/>
  </w:num>
  <w:num w:numId="22">
    <w:abstractNumId w:val="32"/>
  </w:num>
  <w:num w:numId="23">
    <w:abstractNumId w:val="33"/>
  </w:num>
  <w:num w:numId="24">
    <w:abstractNumId w:val="31"/>
  </w:num>
  <w:num w:numId="25">
    <w:abstractNumId w:val="37"/>
  </w:num>
  <w:num w:numId="26">
    <w:abstractNumId w:val="41"/>
  </w:num>
  <w:num w:numId="27">
    <w:abstractNumId w:val="21"/>
  </w:num>
  <w:num w:numId="28">
    <w:abstractNumId w:val="34"/>
  </w:num>
  <w:num w:numId="29">
    <w:abstractNumId w:val="40"/>
  </w:num>
  <w:num w:numId="30">
    <w:abstractNumId w:val="19"/>
  </w:num>
  <w:num w:numId="31">
    <w:abstractNumId w:val="43"/>
  </w:num>
  <w:num w:numId="32">
    <w:abstractNumId w:val="29"/>
  </w:num>
  <w:num w:numId="33">
    <w:abstractNumId w:val="15"/>
  </w:num>
  <w:num w:numId="34">
    <w:abstractNumId w:val="14"/>
  </w:num>
  <w:num w:numId="35">
    <w:abstractNumId w:val="22"/>
  </w:num>
  <w:num w:numId="36">
    <w:abstractNumId w:val="47"/>
  </w:num>
  <w:num w:numId="37">
    <w:abstractNumId w:val="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 w:numId="43">
    <w:abstractNumId w:val="28"/>
  </w:num>
  <w:num w:numId="44">
    <w:abstractNumId w:val="26"/>
  </w:num>
  <w:num w:numId="45">
    <w:abstractNumId w:val="9"/>
  </w:num>
  <w:num w:numId="46">
    <w:abstractNumId w:val="38"/>
  </w:num>
  <w:num w:numId="47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201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20DE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0DD2"/>
    <w:rsid w:val="002C29BA"/>
    <w:rsid w:val="002C349B"/>
    <w:rsid w:val="002C3BB9"/>
    <w:rsid w:val="002C5001"/>
    <w:rsid w:val="002C7AB2"/>
    <w:rsid w:val="002D463B"/>
    <w:rsid w:val="002D4D5A"/>
    <w:rsid w:val="002E2C97"/>
    <w:rsid w:val="002E4A2A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1062"/>
    <w:rsid w:val="0037506F"/>
    <w:rsid w:val="00382D6D"/>
    <w:rsid w:val="00383E1E"/>
    <w:rsid w:val="003853E8"/>
    <w:rsid w:val="00385480"/>
    <w:rsid w:val="0039173A"/>
    <w:rsid w:val="00391D9F"/>
    <w:rsid w:val="00393F50"/>
    <w:rsid w:val="0039557E"/>
    <w:rsid w:val="00396082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12D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7D2D"/>
    <w:rsid w:val="005007BB"/>
    <w:rsid w:val="00500A8E"/>
    <w:rsid w:val="00504EC8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1CA5"/>
    <w:rsid w:val="007A3C47"/>
    <w:rsid w:val="007A5E7E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4167"/>
    <w:rsid w:val="00836F7D"/>
    <w:rsid w:val="0084118A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E0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7284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6F94"/>
    <w:rsid w:val="00BB7151"/>
    <w:rsid w:val="00BC2B2C"/>
    <w:rsid w:val="00BC5E19"/>
    <w:rsid w:val="00BC677E"/>
    <w:rsid w:val="00BC78FF"/>
    <w:rsid w:val="00BC7B72"/>
    <w:rsid w:val="00BD2171"/>
    <w:rsid w:val="00BD36D5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4F6B"/>
    <w:rsid w:val="00D0188F"/>
    <w:rsid w:val="00D06675"/>
    <w:rsid w:val="00D07136"/>
    <w:rsid w:val="00D10242"/>
    <w:rsid w:val="00D129E4"/>
    <w:rsid w:val="00D12C81"/>
    <w:rsid w:val="00D15320"/>
    <w:rsid w:val="00D15C86"/>
    <w:rsid w:val="00D163F2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70B3"/>
    <w:rsid w:val="00D617D8"/>
    <w:rsid w:val="00D64EA9"/>
    <w:rsid w:val="00D700E2"/>
    <w:rsid w:val="00D74DE4"/>
    <w:rsid w:val="00D81146"/>
    <w:rsid w:val="00D811D5"/>
    <w:rsid w:val="00D90309"/>
    <w:rsid w:val="00D9413D"/>
    <w:rsid w:val="00D948F2"/>
    <w:rsid w:val="00D967F1"/>
    <w:rsid w:val="00D973E9"/>
    <w:rsid w:val="00DA3417"/>
    <w:rsid w:val="00DA787A"/>
    <w:rsid w:val="00DB1113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B6BA6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27A5-9450-4038-B869-6022C9B3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12</cp:revision>
  <cp:lastPrinted>2022-06-24T12:29:00Z</cp:lastPrinted>
  <dcterms:created xsi:type="dcterms:W3CDTF">2024-05-28T12:48:00Z</dcterms:created>
  <dcterms:modified xsi:type="dcterms:W3CDTF">2024-06-18T10:02:00Z</dcterms:modified>
</cp:coreProperties>
</file>