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7E7F2E">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DD4D4D">
        <w:rPr>
          <w:rFonts w:asciiTheme="minorHAnsi" w:hAnsiTheme="minorHAnsi"/>
          <w:b/>
          <w:bCs/>
          <w:color w:val="auto"/>
          <w:sz w:val="20"/>
          <w:szCs w:val="20"/>
        </w:rPr>
        <w:t>B</w:t>
      </w:r>
      <w:r w:rsidR="00AF60E7">
        <w:rPr>
          <w:rFonts w:asciiTheme="minorHAnsi" w:hAnsiTheme="minorHAnsi"/>
          <w:b/>
          <w:bCs/>
          <w:color w:val="auto"/>
          <w:sz w:val="20"/>
          <w:szCs w:val="20"/>
        </w:rPr>
        <w:t>PC</w:t>
      </w:r>
      <w:r>
        <w:rPr>
          <w:rFonts w:asciiTheme="minorHAnsi" w:hAnsiTheme="minorHAnsi"/>
          <w:b/>
          <w:bCs/>
          <w:color w:val="auto"/>
          <w:sz w:val="20"/>
          <w:szCs w:val="20"/>
        </w:rPr>
        <w:t>/ZO</w:t>
      </w:r>
      <w:r w:rsidR="007E7F2E" w:rsidRPr="007D308F">
        <w:rPr>
          <w:rFonts w:asciiTheme="minorHAnsi" w:hAnsiTheme="minorHAnsi"/>
          <w:b/>
          <w:bCs/>
          <w:color w:val="auto"/>
          <w:sz w:val="20"/>
          <w:szCs w:val="20"/>
        </w:rPr>
        <w:t xml:space="preserve"> –</w:t>
      </w:r>
      <w:r w:rsidR="00910BF6">
        <w:rPr>
          <w:rFonts w:asciiTheme="minorHAnsi" w:hAnsiTheme="minorHAnsi"/>
          <w:b/>
          <w:bCs/>
          <w:color w:val="auto"/>
          <w:sz w:val="20"/>
          <w:szCs w:val="20"/>
        </w:rPr>
        <w:t xml:space="preserve"> 8</w:t>
      </w:r>
      <w:r w:rsidR="002A0167" w:rsidRPr="007D308F">
        <w:rPr>
          <w:rFonts w:asciiTheme="minorHAnsi" w:hAnsiTheme="minorHAnsi"/>
          <w:b/>
          <w:bCs/>
          <w:color w:val="auto"/>
          <w:sz w:val="20"/>
          <w:szCs w:val="20"/>
        </w:rPr>
        <w:t>/20</w:t>
      </w:r>
      <w:r w:rsidR="00BA035E">
        <w:rPr>
          <w:rFonts w:asciiTheme="minorHAnsi" w:hAnsiTheme="minorHAnsi"/>
          <w:b/>
          <w:bCs/>
          <w:color w:val="auto"/>
          <w:sz w:val="20"/>
          <w:szCs w:val="20"/>
        </w:rPr>
        <w:t>24</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BA035E">
        <w:rPr>
          <w:rFonts w:asciiTheme="minorHAnsi" w:hAnsiTheme="minorHAnsi"/>
          <w:b/>
          <w:bCs/>
          <w:color w:val="auto"/>
          <w:sz w:val="20"/>
          <w:szCs w:val="20"/>
        </w:rPr>
        <w:t>3</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D5364B">
        <w:rPr>
          <w:rFonts w:asciiTheme="minorHAnsi" w:hAnsiTheme="minorHAnsi"/>
          <w:b/>
          <w:bCs/>
          <w:color w:val="auto"/>
          <w:sz w:val="20"/>
          <w:szCs w:val="20"/>
        </w:rPr>
        <w:t>B</w:t>
      </w:r>
      <w:r w:rsidR="00AF60E7">
        <w:rPr>
          <w:rFonts w:asciiTheme="minorHAnsi" w:hAnsiTheme="minorHAnsi"/>
          <w:b/>
          <w:bCs/>
          <w:color w:val="auto"/>
          <w:sz w:val="20"/>
          <w:szCs w:val="20"/>
        </w:rPr>
        <w:t>PC</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w:t>
      </w:r>
      <w:r w:rsidR="00BA035E">
        <w:rPr>
          <w:rFonts w:asciiTheme="minorHAnsi" w:hAnsiTheme="minorHAnsi"/>
          <w:b/>
          <w:bCs/>
          <w:color w:val="auto"/>
          <w:sz w:val="20"/>
          <w:szCs w:val="20"/>
        </w:rPr>
        <w:t xml:space="preserve"> </w:t>
      </w:r>
      <w:r w:rsidR="00910BF6">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202</w:t>
      </w:r>
      <w:r w:rsidR="00BA035E">
        <w:rPr>
          <w:rFonts w:asciiTheme="minorHAnsi" w:hAnsiTheme="minorHAnsi"/>
          <w:b/>
          <w:bCs/>
          <w:color w:val="auto"/>
          <w:sz w:val="20"/>
          <w:szCs w:val="20"/>
        </w:rPr>
        <w:t>4</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BA035E">
        <w:rPr>
          <w:rFonts w:asciiTheme="minorHAnsi" w:hAnsiTheme="minorHAnsi"/>
          <w:b/>
          <w:color w:val="auto"/>
          <w:sz w:val="20"/>
          <w:szCs w:val="20"/>
        </w:rPr>
        <w:t xml:space="preserve">4 </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o wartości poniżej 130 000 zł, do którego na podstawie art. 2 </w:t>
      </w:r>
      <w:r w:rsidRPr="008230DC">
        <w:rPr>
          <w:rFonts w:asciiTheme="minorHAnsi" w:hAnsiTheme="minorHAnsi"/>
          <w:sz w:val="20"/>
          <w:szCs w:val="20"/>
        </w:rPr>
        <w:br/>
        <w:t>ust. 1 pkt.1 nie mają zastosowania przepisy ustawy z dnia 11 września 2019 r. Prawo zamówień publicznych (</w:t>
      </w:r>
      <w:proofErr w:type="spellStart"/>
      <w:r w:rsidR="00BA035E">
        <w:rPr>
          <w:rFonts w:asciiTheme="minorHAnsi" w:hAnsiTheme="minorHAnsi"/>
          <w:sz w:val="20"/>
          <w:szCs w:val="20"/>
        </w:rPr>
        <w:t>t.j</w:t>
      </w:r>
      <w:proofErr w:type="spellEnd"/>
      <w:r w:rsidR="00BA035E">
        <w:rPr>
          <w:rFonts w:asciiTheme="minorHAnsi" w:hAnsiTheme="minorHAnsi"/>
          <w:sz w:val="20"/>
          <w:szCs w:val="20"/>
        </w:rPr>
        <w:t xml:space="preserve">. </w:t>
      </w:r>
      <w:r w:rsidRPr="008230DC">
        <w:rPr>
          <w:rFonts w:asciiTheme="minorHAnsi" w:hAnsiTheme="minorHAnsi"/>
          <w:sz w:val="20"/>
          <w:szCs w:val="20"/>
        </w:rPr>
        <w:t>Dz. U. z 202</w:t>
      </w:r>
      <w:r w:rsidR="00BA035E">
        <w:rPr>
          <w:rFonts w:asciiTheme="minorHAnsi" w:hAnsiTheme="minorHAnsi"/>
          <w:sz w:val="20"/>
          <w:szCs w:val="20"/>
        </w:rPr>
        <w:t>3</w:t>
      </w:r>
      <w:r w:rsidRPr="008230DC">
        <w:rPr>
          <w:rFonts w:asciiTheme="minorHAnsi" w:hAnsiTheme="minorHAnsi"/>
          <w:sz w:val="20"/>
          <w:szCs w:val="20"/>
        </w:rPr>
        <w:t>.1</w:t>
      </w:r>
      <w:r w:rsidR="00BA035E">
        <w:rPr>
          <w:rFonts w:asciiTheme="minorHAnsi" w:hAnsiTheme="minorHAnsi"/>
          <w:sz w:val="20"/>
          <w:szCs w:val="20"/>
        </w:rPr>
        <w:t xml:space="preserve">605 z </w:t>
      </w:r>
      <w:proofErr w:type="spellStart"/>
      <w:r w:rsidR="00BA035E">
        <w:rPr>
          <w:rFonts w:asciiTheme="minorHAnsi" w:hAnsiTheme="minorHAnsi"/>
          <w:sz w:val="20"/>
          <w:szCs w:val="20"/>
        </w:rPr>
        <w:t>późn</w:t>
      </w:r>
      <w:proofErr w:type="spellEnd"/>
      <w:r w:rsidR="00BA035E">
        <w:rPr>
          <w:rFonts w:asciiTheme="minorHAnsi" w:hAnsiTheme="minorHAnsi"/>
          <w:sz w:val="20"/>
          <w:szCs w:val="20"/>
        </w:rPr>
        <w:t>. zm.</w:t>
      </w:r>
      <w:r w:rsidRPr="008230DC">
        <w:rPr>
          <w:rFonts w:asciiTheme="minorHAnsi" w:hAnsiTheme="minorHAnsi"/>
          <w:sz w:val="20"/>
          <w:szCs w:val="20"/>
        </w:rPr>
        <w:t xml:space="preserve">) udzielane w trybie zapytania ofertowego.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707E95" w:rsidRDefault="007E7F2E" w:rsidP="008A040A">
      <w:pPr>
        <w:pStyle w:val="Akapitzlist"/>
        <w:numPr>
          <w:ilvl w:val="1"/>
          <w:numId w:val="27"/>
        </w:numPr>
        <w:spacing w:after="120"/>
        <w:ind w:left="426" w:hanging="426"/>
        <w:contextualSpacing w:val="0"/>
        <w:jc w:val="both"/>
        <w:rPr>
          <w:rFonts w:asciiTheme="minorHAnsi" w:eastAsia="Calibri" w:hAnsiTheme="minorHAnsi"/>
          <w:sz w:val="20"/>
          <w:szCs w:val="20"/>
          <w:lang w:val="pl-PL"/>
        </w:rPr>
      </w:pPr>
      <w:r w:rsidRPr="00707E95">
        <w:rPr>
          <w:rFonts w:asciiTheme="minorHAnsi" w:hAnsiTheme="minorHAnsi"/>
          <w:sz w:val="20"/>
          <w:szCs w:val="20"/>
          <w:lang w:val="pl-PL"/>
        </w:rPr>
        <w:t>Przedmiotem niniejszej Umowy jest:</w:t>
      </w:r>
      <w:r w:rsidRPr="00707E95">
        <w:rPr>
          <w:rFonts w:asciiTheme="minorHAnsi" w:hAnsiTheme="minorHAnsi"/>
          <w:b/>
          <w:sz w:val="20"/>
          <w:szCs w:val="20"/>
          <w:lang w:val="pl-PL"/>
        </w:rPr>
        <w:t xml:space="preserve"> </w:t>
      </w:r>
      <w:r w:rsidR="00707E95" w:rsidRPr="00707E95">
        <w:rPr>
          <w:rFonts w:asciiTheme="minorHAnsi" w:eastAsia="Calibri" w:hAnsiTheme="minorHAnsi"/>
          <w:b/>
          <w:sz w:val="20"/>
          <w:szCs w:val="20"/>
          <w:lang w:val="pl-PL"/>
        </w:rPr>
        <w:t>dostawa</w:t>
      </w:r>
      <w:r w:rsidR="009656F0">
        <w:rPr>
          <w:rFonts w:asciiTheme="minorHAnsi" w:eastAsia="Calibri" w:hAnsiTheme="minorHAnsi"/>
          <w:b/>
          <w:sz w:val="20"/>
          <w:szCs w:val="20"/>
          <w:lang w:val="pl-PL"/>
        </w:rPr>
        <w:t xml:space="preserve"> </w:t>
      </w:r>
      <w:r w:rsidR="00AF60E7">
        <w:rPr>
          <w:rFonts w:asciiTheme="minorHAnsi" w:eastAsia="Calibri" w:hAnsiTheme="minorHAnsi"/>
          <w:b/>
          <w:sz w:val="20"/>
          <w:szCs w:val="20"/>
          <w:lang w:val="pl-PL"/>
        </w:rPr>
        <w:t xml:space="preserve">wodorotlenku sodu NaOH w ilości </w:t>
      </w:r>
      <w:r w:rsidR="00BA035E">
        <w:rPr>
          <w:rFonts w:asciiTheme="minorHAnsi" w:eastAsia="Calibri" w:hAnsiTheme="minorHAnsi"/>
          <w:b/>
          <w:sz w:val="20"/>
          <w:szCs w:val="20"/>
          <w:lang w:val="pl-PL"/>
        </w:rPr>
        <w:t>8</w:t>
      </w:r>
      <w:r w:rsidR="00AF60E7">
        <w:rPr>
          <w:rFonts w:asciiTheme="minorHAnsi" w:eastAsia="Calibri" w:hAnsiTheme="minorHAnsi"/>
          <w:b/>
          <w:sz w:val="20"/>
          <w:szCs w:val="20"/>
          <w:lang w:val="pl-PL"/>
        </w:rPr>
        <w:t xml:space="preserve"> 000 kg </w:t>
      </w:r>
      <w:r w:rsidR="00F44937" w:rsidRPr="00707E95">
        <w:rPr>
          <w:rFonts w:asciiTheme="minorHAnsi" w:hAnsiTheme="minorHAnsi"/>
          <w:sz w:val="20"/>
          <w:szCs w:val="20"/>
          <w:lang w:val="pl-PL"/>
        </w:rPr>
        <w:t xml:space="preserve"> </w:t>
      </w:r>
      <w:r w:rsidR="00707E95" w:rsidRPr="00707E95">
        <w:rPr>
          <w:rFonts w:asciiTheme="minorHAnsi" w:hAnsiTheme="minorHAnsi"/>
          <w:sz w:val="20"/>
          <w:szCs w:val="20"/>
          <w:lang w:val="pl-PL"/>
        </w:rPr>
        <w:t xml:space="preserve">zgodnie z treścią oferty Dostawcy </w:t>
      </w:r>
      <w:r w:rsidR="00707E95" w:rsidRPr="00707E95">
        <w:rPr>
          <w:rFonts w:asciiTheme="minorHAnsi" w:hAnsiTheme="minorHAnsi"/>
          <w:b/>
          <w:sz w:val="20"/>
          <w:szCs w:val="20"/>
          <w:lang w:val="pl-PL"/>
        </w:rPr>
        <w:t>(Załącznik Nr 1)</w:t>
      </w:r>
      <w:r w:rsidR="00707E95" w:rsidRPr="00707E95">
        <w:rPr>
          <w:rFonts w:asciiTheme="minorHAnsi" w:hAnsiTheme="minorHAnsi"/>
          <w:sz w:val="20"/>
          <w:szCs w:val="20"/>
          <w:lang w:val="pl-PL"/>
        </w:rPr>
        <w:t xml:space="preserve"> stanowiącą integralną część umowy</w:t>
      </w:r>
      <w:r w:rsidR="00F302A1">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8A040A" w:rsidRPr="008A040A" w:rsidRDefault="00707E95" w:rsidP="008A040A">
      <w:pPr>
        <w:pStyle w:val="Akapitzlist"/>
        <w:numPr>
          <w:ilvl w:val="0"/>
          <w:numId w:val="30"/>
        </w:numPr>
        <w:spacing w:after="120"/>
        <w:ind w:left="426" w:hanging="426"/>
        <w:jc w:val="both"/>
        <w:rPr>
          <w:rFonts w:asciiTheme="minorHAnsi" w:eastAsia="Calibri" w:hAnsiTheme="minorHAnsi"/>
          <w:color w:val="000000" w:themeColor="background1"/>
          <w:sz w:val="20"/>
          <w:szCs w:val="20"/>
          <w:lang w:val="pl-PL"/>
        </w:rPr>
      </w:pPr>
      <w:r w:rsidRPr="008A040A">
        <w:rPr>
          <w:rFonts w:asciiTheme="minorHAnsi" w:hAnsiTheme="minorHAnsi"/>
          <w:sz w:val="20"/>
          <w:szCs w:val="20"/>
          <w:lang w:val="pl-PL"/>
        </w:rPr>
        <w:t>Zakres zamówienia obejmuje</w:t>
      </w:r>
      <w:r w:rsidR="008A040A" w:rsidRPr="008A040A">
        <w:rPr>
          <w:rFonts w:asciiTheme="minorHAnsi" w:eastAsia="Calibri" w:hAnsiTheme="minorHAnsi"/>
          <w:color w:val="000000"/>
          <w:sz w:val="20"/>
          <w:szCs w:val="20"/>
          <w:lang w:val="pl-PL"/>
        </w:rPr>
        <w:t xml:space="preserve"> </w:t>
      </w:r>
      <w:r w:rsidR="008A040A" w:rsidRPr="008A040A">
        <w:rPr>
          <w:rFonts w:asciiTheme="minorHAnsi" w:eastAsia="Calibri" w:hAnsiTheme="minorHAnsi"/>
          <w:sz w:val="20"/>
          <w:szCs w:val="20"/>
          <w:lang w:val="pl-PL"/>
        </w:rPr>
        <w:t xml:space="preserve">Zakres zamówienia obejmuje </w:t>
      </w:r>
      <w:r w:rsidR="008A040A" w:rsidRPr="008A040A">
        <w:rPr>
          <w:rFonts w:asciiTheme="minorHAnsi" w:eastAsia="Calibri" w:hAnsiTheme="minorHAnsi"/>
          <w:b/>
          <w:sz w:val="20"/>
          <w:szCs w:val="20"/>
          <w:lang w:val="pl-PL"/>
        </w:rPr>
        <w:t xml:space="preserve">dostawę         </w:t>
      </w:r>
      <w:r w:rsidR="008A040A" w:rsidRPr="008A040A">
        <w:rPr>
          <w:rFonts w:asciiTheme="minorHAnsi" w:hAnsiTheme="minorHAnsi"/>
          <w:b/>
          <w:sz w:val="20"/>
          <w:szCs w:val="20"/>
          <w:lang w:val="pl-PL"/>
        </w:rPr>
        <w:t xml:space="preserve">wodorotlenku sodu NaOH w ilości </w:t>
      </w:r>
      <w:r w:rsidR="00BA035E">
        <w:rPr>
          <w:rFonts w:asciiTheme="minorHAnsi" w:hAnsiTheme="minorHAnsi"/>
          <w:b/>
          <w:sz w:val="20"/>
          <w:szCs w:val="20"/>
          <w:lang w:val="pl-PL"/>
        </w:rPr>
        <w:t>8</w:t>
      </w:r>
      <w:r w:rsidR="008A040A" w:rsidRPr="008A040A">
        <w:rPr>
          <w:rFonts w:asciiTheme="minorHAnsi" w:hAnsiTheme="minorHAnsi"/>
          <w:b/>
          <w:sz w:val="20"/>
          <w:szCs w:val="20"/>
          <w:lang w:val="pl-PL"/>
        </w:rPr>
        <w:t> 000 kg pakowany w worki ustawione na palecie.</w:t>
      </w:r>
      <w:r w:rsidR="008A040A" w:rsidRPr="008A040A">
        <w:rPr>
          <w:rFonts w:asciiTheme="minorHAnsi" w:hAnsiTheme="minorHAnsi"/>
          <w:sz w:val="20"/>
          <w:szCs w:val="20"/>
          <w:lang w:val="pl-PL"/>
        </w:rPr>
        <w:t xml:space="preserve"> </w:t>
      </w:r>
    </w:p>
    <w:p w:rsidR="00AF60E7" w:rsidRPr="008A040A" w:rsidRDefault="00AF60E7" w:rsidP="008A040A">
      <w:pPr>
        <w:pStyle w:val="Akapitzlist"/>
        <w:spacing w:after="0"/>
        <w:ind w:left="360"/>
        <w:jc w:val="both"/>
        <w:rPr>
          <w:rFonts w:asciiTheme="minorHAnsi" w:eastAsia="Calibri" w:hAnsiTheme="minorHAnsi"/>
          <w:color w:val="000000"/>
          <w:sz w:val="20"/>
          <w:szCs w:val="20"/>
          <w:lang w:val="pl-PL"/>
        </w:rPr>
      </w:pPr>
    </w:p>
    <w:p w:rsidR="000C0819" w:rsidRDefault="007E7F2E" w:rsidP="00AE41E4">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7E7F2E" w:rsidRPr="007D308F" w:rsidRDefault="007E7F2E" w:rsidP="007E7F2E">
      <w:pPr>
        <w:suppressAutoHyphens/>
        <w:spacing w:after="120" w:line="276" w:lineRule="auto"/>
        <w:ind w:left="-142"/>
        <w:jc w:val="center"/>
        <w:textAlignment w:val="baseline"/>
        <w:rPr>
          <w:rFonts w:cs="Arial"/>
          <w:kern w:val="3"/>
          <w:szCs w:val="20"/>
        </w:rPr>
      </w:pPr>
      <w:r w:rsidRPr="007D308F">
        <w:rPr>
          <w:rFonts w:cs="Arial"/>
          <w:b/>
          <w:kern w:val="3"/>
          <w:szCs w:val="20"/>
        </w:rPr>
        <w:t>Artykuł 2 – Cena</w:t>
      </w:r>
    </w:p>
    <w:p w:rsidR="007E7F2E" w:rsidRPr="007D308F" w:rsidRDefault="007E7F2E" w:rsidP="007E7F2E">
      <w:pPr>
        <w:suppressAutoHyphens/>
        <w:spacing w:after="120"/>
        <w:textAlignment w:val="baseline"/>
        <w:rPr>
          <w:rFonts w:cs="Arial"/>
          <w:kern w:val="3"/>
          <w:szCs w:val="20"/>
        </w:rPr>
      </w:pPr>
      <w:r w:rsidRPr="007D308F">
        <w:rPr>
          <w:rFonts w:cs="Arial"/>
          <w:kern w:val="3"/>
          <w:szCs w:val="20"/>
        </w:rPr>
        <w:t xml:space="preserve">2.1. Cena za realizację przedmiotu umowy wynosi: </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netto</w:t>
      </w:r>
      <w:proofErr w:type="spellEnd"/>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lastRenderedPageBreak/>
        <w:t>..………………………. PLN VAT</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brutto</w:t>
      </w:r>
      <w:proofErr w:type="spellEnd"/>
    </w:p>
    <w:p w:rsidR="007E7F2E" w:rsidRPr="007D308F" w:rsidRDefault="007E7F2E" w:rsidP="002A0167">
      <w:pPr>
        <w:suppressAutoHyphens/>
        <w:spacing w:after="120"/>
        <w:ind w:left="425"/>
        <w:textAlignment w:val="baseline"/>
        <w:rPr>
          <w:rFonts w:cs="Arial"/>
          <w:kern w:val="3"/>
          <w:szCs w:val="20"/>
        </w:rPr>
      </w:pPr>
      <w:r w:rsidRPr="007D308F">
        <w:rPr>
          <w:rFonts w:cs="Arial"/>
          <w:kern w:val="3"/>
          <w:szCs w:val="20"/>
        </w:rPr>
        <w:t>(słownie brutto</w:t>
      </w:r>
      <w:r w:rsidR="002A0167" w:rsidRPr="007D308F">
        <w:rPr>
          <w:rFonts w:cs="Arial"/>
          <w:kern w:val="3"/>
          <w:szCs w:val="20"/>
        </w:rPr>
        <w:t>: ……………………………………………………………………...</w:t>
      </w:r>
      <w:r w:rsidRPr="007D308F">
        <w:rPr>
          <w:rFonts w:cs="Arial"/>
          <w:kern w:val="3"/>
          <w:szCs w:val="20"/>
        </w:rPr>
        <w:t>)</w:t>
      </w:r>
    </w:p>
    <w:p w:rsidR="002A0167" w:rsidRPr="007D308F" w:rsidRDefault="002A0167" w:rsidP="002A0167">
      <w:pPr>
        <w:suppressAutoHyphens/>
        <w:spacing w:after="120"/>
        <w:ind w:left="425"/>
        <w:textAlignment w:val="baseline"/>
        <w:rPr>
          <w:rFonts w:cs="Arial"/>
          <w:kern w:val="3"/>
          <w:szCs w:val="20"/>
        </w:rPr>
      </w:pPr>
    </w:p>
    <w:p w:rsidR="007E7F2E" w:rsidRPr="007D308F" w:rsidRDefault="007E7F2E" w:rsidP="007E7F2E">
      <w:pPr>
        <w:suppressAutoHyphens/>
        <w:spacing w:line="360" w:lineRule="auto"/>
        <w:ind w:left="-142"/>
        <w:jc w:val="center"/>
        <w:textAlignment w:val="baseline"/>
        <w:rPr>
          <w:rFonts w:cs="Arial"/>
          <w:b/>
          <w:kern w:val="3"/>
          <w:szCs w:val="20"/>
        </w:rPr>
      </w:pPr>
      <w:r w:rsidRPr="007D308F">
        <w:rPr>
          <w:rFonts w:cs="Arial"/>
          <w:b/>
          <w:kern w:val="3"/>
          <w:szCs w:val="20"/>
        </w:rPr>
        <w:t>Artykuł 3 – Warunki płatności</w:t>
      </w:r>
    </w:p>
    <w:p w:rsidR="007E7F2E" w:rsidRPr="007D308F" w:rsidRDefault="007E7F2E" w:rsidP="007E7F2E">
      <w:pPr>
        <w:tabs>
          <w:tab w:val="left" w:pos="567"/>
        </w:tabs>
        <w:suppressAutoHyphens/>
        <w:spacing w:after="120" w:line="276" w:lineRule="auto"/>
        <w:ind w:left="426" w:hanging="426"/>
        <w:textAlignment w:val="baseline"/>
        <w:rPr>
          <w:rFonts w:cs="Arial"/>
          <w:kern w:val="3"/>
          <w:szCs w:val="20"/>
        </w:rPr>
      </w:pPr>
      <w:r w:rsidRPr="007D308F">
        <w:rPr>
          <w:rFonts w:cs="Arial"/>
          <w:kern w:val="3"/>
          <w:szCs w:val="20"/>
        </w:rPr>
        <w:t>3.1. Cena uzgodniona w Artykule 2 będzie płatna przez Zamawiającego na rachunek</w:t>
      </w:r>
      <w:r w:rsidR="002A0167" w:rsidRPr="007D308F">
        <w:rPr>
          <w:rFonts w:cs="Arial"/>
          <w:kern w:val="3"/>
          <w:szCs w:val="20"/>
        </w:rPr>
        <w:t xml:space="preserve"> </w:t>
      </w:r>
      <w:r w:rsidRPr="007D308F">
        <w:rPr>
          <w:rFonts w:cs="Arial"/>
          <w:kern w:val="3"/>
          <w:szCs w:val="20"/>
        </w:rPr>
        <w:t xml:space="preserve">Dostawcy, zgodnie z poniższymi zapisami </w:t>
      </w:r>
      <w:proofErr w:type="spellStart"/>
      <w:r w:rsidRPr="007D308F">
        <w:rPr>
          <w:rFonts w:cs="Arial"/>
          <w:kern w:val="3"/>
          <w:szCs w:val="20"/>
        </w:rPr>
        <w:t>tj</w:t>
      </w:r>
      <w:proofErr w:type="spellEnd"/>
      <w:r w:rsidRPr="007D308F">
        <w:rPr>
          <w:rFonts w:cs="Arial"/>
          <w:kern w:val="3"/>
          <w:szCs w:val="20"/>
        </w:rPr>
        <w:t>:</w:t>
      </w:r>
    </w:p>
    <w:p w:rsidR="007E7F2E" w:rsidRPr="007D308F" w:rsidRDefault="007E7F2E" w:rsidP="007E7F2E">
      <w:pPr>
        <w:suppressAutoHyphens/>
        <w:spacing w:after="120"/>
        <w:ind w:left="1134" w:hanging="709"/>
        <w:textAlignment w:val="baseline"/>
        <w:rPr>
          <w:rFonts w:cs="Arial"/>
          <w:szCs w:val="20"/>
        </w:rPr>
      </w:pPr>
      <w:r w:rsidRPr="007D308F">
        <w:rPr>
          <w:rFonts w:cs="Arial"/>
          <w:szCs w:val="20"/>
        </w:rPr>
        <w:t>3.1.1.</w:t>
      </w:r>
      <w:r w:rsidRPr="007D308F">
        <w:rPr>
          <w:rFonts w:cs="Arial"/>
          <w:b/>
          <w:szCs w:val="20"/>
        </w:rPr>
        <w:t xml:space="preserve"> </w:t>
      </w:r>
      <w:r w:rsidRPr="007D308F">
        <w:rPr>
          <w:rFonts w:cs="Arial"/>
          <w:szCs w:val="20"/>
        </w:rPr>
        <w:t xml:space="preserve">kwota wynosząca ………… PLN netto (słownie złotych: ……………..) wraz z należnym podatkiem VAT płatna po dostawie, na podstawie prawidłowo wystawionej faktury VAT zgodnie z Art. </w:t>
      </w:r>
      <w:r w:rsidR="005D431D">
        <w:rPr>
          <w:rFonts w:cs="Arial"/>
          <w:szCs w:val="20"/>
        </w:rPr>
        <w:t>3.</w:t>
      </w:r>
      <w:r w:rsidR="009E2F29">
        <w:rPr>
          <w:rFonts w:cs="Arial"/>
          <w:szCs w:val="20"/>
        </w:rPr>
        <w:t>3</w:t>
      </w:r>
      <w:r w:rsidR="007552AA">
        <w:rPr>
          <w:rFonts w:cs="Arial"/>
          <w:szCs w:val="20"/>
        </w:rPr>
        <w:t xml:space="preserve"> i </w:t>
      </w:r>
      <w:r w:rsidR="009E2F29">
        <w:rPr>
          <w:rFonts w:cs="Arial"/>
          <w:szCs w:val="20"/>
        </w:rPr>
        <w:t xml:space="preserve">po </w:t>
      </w:r>
      <w:r w:rsidR="007552AA">
        <w:rPr>
          <w:rFonts w:cs="Arial"/>
          <w:szCs w:val="20"/>
        </w:rPr>
        <w:t>podpisani</w:t>
      </w:r>
      <w:r w:rsidR="00781F31">
        <w:rPr>
          <w:rFonts w:cs="Arial"/>
          <w:szCs w:val="20"/>
        </w:rPr>
        <w:t>u</w:t>
      </w:r>
      <w:r w:rsidR="007552AA">
        <w:rPr>
          <w:rFonts w:cs="Arial"/>
          <w:szCs w:val="20"/>
        </w:rPr>
        <w:t xml:space="preserve"> protokołu odbioru dostawy bez uwag. </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3.2. Każda ze stron będzie ponosić swoje opłaty bankowe.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w:t>
      </w:r>
      <w:r w:rsidR="009E2F29">
        <w:rPr>
          <w:rFonts w:asciiTheme="minorHAnsi" w:hAnsiTheme="minorHAnsi" w:cs="Arial"/>
          <w:sz w:val="20"/>
          <w:szCs w:val="20"/>
        </w:rPr>
        <w:t>3</w:t>
      </w:r>
      <w:r w:rsidRPr="007D308F">
        <w:rPr>
          <w:rFonts w:asciiTheme="minorHAnsi" w:hAnsiTheme="minorHAnsi" w:cs="Arial"/>
          <w:sz w:val="20"/>
          <w:szCs w:val="20"/>
        </w:rPr>
        <w:t xml:space="preserve">. Faktura VAT </w:t>
      </w:r>
      <w:r w:rsidRPr="007D308F">
        <w:rPr>
          <w:rFonts w:asciiTheme="minorHAnsi" w:eastAsia="Lucida Sans Unicode" w:hAnsiTheme="minorHAnsi" w:cs="Arial"/>
          <w:sz w:val="20"/>
          <w:szCs w:val="20"/>
          <w:lang w:eastAsia="en-US" w:bidi="en-US"/>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7E7F2E" w:rsidRPr="003C744F" w:rsidRDefault="007E7F2E" w:rsidP="003C744F">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w:t>
      </w:r>
      <w:r w:rsidR="009E2F29">
        <w:rPr>
          <w:rFonts w:asciiTheme="minorHAnsi" w:hAnsiTheme="minorHAnsi" w:cs="Arial"/>
          <w:sz w:val="20"/>
          <w:szCs w:val="20"/>
        </w:rPr>
        <w:t>4</w:t>
      </w:r>
      <w:r w:rsidRPr="007D308F">
        <w:rPr>
          <w:rFonts w:asciiTheme="minorHAnsi" w:hAnsiTheme="minorHAnsi" w:cs="Arial"/>
          <w:sz w:val="20"/>
          <w:szCs w:val="20"/>
        </w:rPr>
        <w:t>. Za dotrzymanie terminu płatności uważa się datę obciążenia rachunku bankowego Zamawiającego.</w:t>
      </w:r>
    </w:p>
    <w:p w:rsidR="007E7F2E" w:rsidRPr="00E931DD" w:rsidRDefault="007E7F2E" w:rsidP="00E931DD">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w:t>
      </w:r>
      <w:r w:rsidR="009E2F29">
        <w:rPr>
          <w:rFonts w:asciiTheme="minorHAnsi" w:hAnsiTheme="minorHAnsi"/>
          <w:bCs/>
          <w:color w:val="00000A"/>
          <w:sz w:val="20"/>
          <w:szCs w:val="20"/>
        </w:rPr>
        <w:t>5</w:t>
      </w:r>
      <w:r w:rsidRPr="007D308F">
        <w:rPr>
          <w:rFonts w:asciiTheme="minorHAnsi" w:hAnsiTheme="minorHAnsi"/>
          <w:bCs/>
          <w:color w:val="00000A"/>
          <w:sz w:val="20"/>
          <w:szCs w:val="20"/>
        </w:rPr>
        <w:t>. Wynagrodzenie określone w artykule 2 zaspokaja wszelkie roszczenia Dostawcy z tytułu wykonania umowy.</w:t>
      </w:r>
      <w:r w:rsidR="00E931DD">
        <w:rPr>
          <w:rFonts w:asciiTheme="minorHAnsi" w:hAnsiTheme="minorHAnsi"/>
          <w:bCs/>
          <w:color w:val="00000A"/>
          <w:sz w:val="20"/>
          <w:szCs w:val="20"/>
        </w:rPr>
        <w:t xml:space="preserve">  </w:t>
      </w:r>
    </w:p>
    <w:p w:rsidR="00707E95" w:rsidRDefault="00707E95" w:rsidP="007E7F2E">
      <w:pPr>
        <w:suppressAutoHyphens/>
        <w:spacing w:after="120"/>
        <w:ind w:left="-142"/>
        <w:jc w:val="center"/>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Artykuł 4 – Realizacja dostawy</w:t>
      </w:r>
    </w:p>
    <w:p w:rsidR="007E7F2E" w:rsidRPr="007D308F" w:rsidRDefault="007E7F2E" w:rsidP="007E7F2E">
      <w:pPr>
        <w:pStyle w:val="Standard"/>
        <w:spacing w:after="120"/>
        <w:ind w:left="703" w:hanging="703"/>
        <w:jc w:val="both"/>
        <w:rPr>
          <w:rFonts w:asciiTheme="minorHAnsi" w:hAnsiTheme="minorHAnsi" w:cs="Arial"/>
          <w:b/>
          <w:sz w:val="20"/>
          <w:szCs w:val="20"/>
        </w:rPr>
      </w:pPr>
      <w:r w:rsidRPr="007D308F">
        <w:rPr>
          <w:rFonts w:asciiTheme="minorHAnsi" w:hAnsiTheme="minorHAnsi" w:cs="Arial"/>
          <w:sz w:val="20"/>
          <w:szCs w:val="20"/>
        </w:rPr>
        <w:t xml:space="preserve">4.1. Dostawca dostarczy przedmiot umowy zgodnie z bazą dostawy podaną w Artykule 1 </w:t>
      </w:r>
      <w:r w:rsidR="003C744F" w:rsidRPr="003C744F">
        <w:rPr>
          <w:rFonts w:asciiTheme="minorHAnsi" w:hAnsiTheme="minorHAnsi" w:cs="Arial"/>
          <w:b/>
          <w:sz w:val="20"/>
          <w:szCs w:val="20"/>
        </w:rPr>
        <w:t xml:space="preserve">do </w:t>
      </w:r>
      <w:r w:rsidR="001B7A11">
        <w:rPr>
          <w:rFonts w:asciiTheme="minorHAnsi" w:hAnsiTheme="minorHAnsi" w:cs="Arial"/>
          <w:b/>
          <w:sz w:val="20"/>
          <w:szCs w:val="20"/>
        </w:rPr>
        <w:t>14 dni</w:t>
      </w:r>
      <w:r w:rsidR="005D431D">
        <w:rPr>
          <w:rFonts w:asciiTheme="minorHAnsi" w:hAnsiTheme="minorHAnsi" w:cs="Arial"/>
          <w:b/>
          <w:sz w:val="20"/>
          <w:szCs w:val="20"/>
        </w:rPr>
        <w:t xml:space="preserve"> </w:t>
      </w:r>
      <w:r w:rsidR="003C744F">
        <w:rPr>
          <w:rFonts w:asciiTheme="minorHAnsi" w:hAnsiTheme="minorHAnsi" w:cs="Arial"/>
          <w:sz w:val="20"/>
          <w:szCs w:val="20"/>
        </w:rPr>
        <w:t xml:space="preserve">od daty </w:t>
      </w:r>
      <w:r w:rsidR="005D431D">
        <w:rPr>
          <w:rFonts w:asciiTheme="minorHAnsi" w:hAnsiTheme="minorHAnsi" w:cs="Arial"/>
          <w:sz w:val="20"/>
          <w:szCs w:val="20"/>
        </w:rPr>
        <w:t>zawarcia</w:t>
      </w:r>
      <w:r w:rsidR="003C744F">
        <w:rPr>
          <w:rFonts w:asciiTheme="minorHAnsi" w:hAnsiTheme="minorHAnsi" w:cs="Arial"/>
          <w:sz w:val="20"/>
          <w:szCs w:val="20"/>
        </w:rPr>
        <w:t xml:space="preserve"> </w:t>
      </w:r>
      <w:r w:rsidR="00BA035E">
        <w:rPr>
          <w:rFonts w:asciiTheme="minorHAnsi" w:hAnsiTheme="minorHAnsi" w:cs="Arial"/>
          <w:sz w:val="20"/>
          <w:szCs w:val="20"/>
        </w:rPr>
        <w:t xml:space="preserve">niniejszej </w:t>
      </w:r>
      <w:r w:rsidR="003C744F">
        <w:rPr>
          <w:rFonts w:asciiTheme="minorHAnsi" w:hAnsiTheme="minorHAnsi" w:cs="Arial"/>
          <w:sz w:val="20"/>
          <w:szCs w:val="20"/>
        </w:rPr>
        <w:t>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4.2. </w:t>
      </w:r>
      <w:r w:rsidRPr="007D308F">
        <w:rPr>
          <w:rFonts w:asciiTheme="minorHAnsi" w:hAnsiTheme="minorHAnsi" w:cs="Arial"/>
          <w:sz w:val="20"/>
          <w:szCs w:val="20"/>
        </w:rPr>
        <w:tab/>
        <w:t xml:space="preserve">Wcześniejsza dostawa jest dozwolona pod warunkiem uprzedniego poinformowania Zamawiającego.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4.3. </w:t>
      </w:r>
      <w:r w:rsidRPr="007D308F">
        <w:rPr>
          <w:rFonts w:cs="Arial"/>
          <w:kern w:val="3"/>
          <w:szCs w:val="20"/>
        </w:rPr>
        <w:tab/>
        <w:t>Przejście ryzyka przypadkowej utraty, uszkodzenia bądź pomniejszenia wartości towaru przechodzi na Zamawiającego z chwilą udokumentowanego przejęcia towaru na magazyn Zamawiającego.</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4.4.</w:t>
      </w:r>
      <w:r w:rsidRPr="007D308F">
        <w:rPr>
          <w:rFonts w:cs="Arial"/>
          <w:kern w:val="3"/>
          <w:szCs w:val="20"/>
        </w:rPr>
        <w:tab/>
        <w:t>Dostawca jest obowiązany poinformować Zamawiającego o planowanej dacie wysyłki nie później niż na trzy (3) dni przed tą datą, a także awizować Zamawiającemu wysyłkę podając:</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planowaną datę jej nadejścia do Zamawiającego,</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 xml:space="preserve">nazwę przewoźnika i dane dotyczące środka transportu, nr przesyłki </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masę brutto i netto towaru,</w:t>
      </w:r>
    </w:p>
    <w:p w:rsidR="007E7F2E"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specyfikację dostarczanego towaru.</w:t>
      </w:r>
    </w:p>
    <w:p w:rsidR="00E931DD" w:rsidRPr="00E931DD" w:rsidRDefault="00E931DD" w:rsidP="00E931DD">
      <w:pPr>
        <w:suppressAutoHyphens/>
        <w:autoSpaceDN w:val="0"/>
        <w:spacing w:after="0" w:line="276" w:lineRule="auto"/>
        <w:ind w:left="360"/>
        <w:textAlignment w:val="baseline"/>
        <w:rPr>
          <w:rFonts w:cs="Arial"/>
          <w:kern w:val="3"/>
          <w:szCs w:val="20"/>
        </w:rPr>
      </w:pP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lastRenderedPageBreak/>
        <w:t>4.</w:t>
      </w:r>
      <w:r w:rsidR="00544491">
        <w:rPr>
          <w:rFonts w:cs="Arial"/>
          <w:kern w:val="3"/>
          <w:szCs w:val="20"/>
        </w:rPr>
        <w:t>5</w:t>
      </w:r>
      <w:r w:rsidRPr="007D308F">
        <w:rPr>
          <w:rFonts w:cs="Arial"/>
          <w:kern w:val="3"/>
          <w:szCs w:val="20"/>
        </w:rPr>
        <w:t>.</w:t>
      </w:r>
      <w:r w:rsidRPr="007D308F">
        <w:rPr>
          <w:rFonts w:cs="Arial"/>
          <w:kern w:val="3"/>
          <w:szCs w:val="20"/>
        </w:rPr>
        <w:tab/>
        <w:t>Dostawca zobowiązany jest podać numer umowy na wszelkich opakowaniach i dokumentach transportowych.</w:t>
      </w:r>
    </w:p>
    <w:p w:rsidR="007E7F2E" w:rsidRPr="00C96C2B" w:rsidRDefault="007E7F2E" w:rsidP="005D431D">
      <w:pPr>
        <w:suppressAutoHyphens/>
        <w:spacing w:after="120" w:line="276" w:lineRule="auto"/>
        <w:ind w:left="567" w:hanging="567"/>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Artykuł 5 – Kary umowne</w:t>
      </w: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7E7F2E" w:rsidRPr="0043717B" w:rsidRDefault="007E7F2E" w:rsidP="00BC4F1F">
      <w:pPr>
        <w:pStyle w:val="Akapitzlist"/>
        <w:numPr>
          <w:ilvl w:val="1"/>
          <w:numId w:val="34"/>
        </w:numPr>
        <w:suppressAutoHyphens/>
        <w:spacing w:after="120"/>
        <w:ind w:left="567" w:hanging="567"/>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Strony ustalają następujące kary umowne, zwolnienie z których może nastąpić tylko w przypadku zaistnienia siły wyższej, zgodnie z Artykułem 8.</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 przedmiotu umowy w wysokości jedna dziesiąta procenta (0,1%) całkowitej obowiązującej strony ceny brutto. Zwłoka w dostawie będzie odnosić się do terminu określonego w Artykule 4.1.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 brutto przedmiotu umowy</w:t>
      </w:r>
      <w:r w:rsidR="00AE41E4">
        <w:rPr>
          <w:rFonts w:cs="Arial"/>
          <w:kern w:val="3"/>
          <w:szCs w:val="20"/>
        </w:rPr>
        <w:t>.</w:t>
      </w:r>
      <w:r w:rsidRPr="007D308F">
        <w:rPr>
          <w:rFonts w:cs="Arial"/>
          <w:kern w:val="3"/>
          <w:szCs w:val="20"/>
        </w:rPr>
        <w:t xml:space="preserve"> </w:t>
      </w: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Dostawca zapłaci Zamawiającemu karę umowną w wysokości pięć procent (5%) całkowitej obowiązującej strony ceny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należnego Dostawcy wynagrodzenia, na co Dostawca wyraża zgodę.</w:t>
      </w:r>
    </w:p>
    <w:p w:rsidR="007E7F2E" w:rsidRPr="0043717B"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Każda ze stron 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6 – Gwarancje i odpowiedzialność</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6.1. </w:t>
      </w:r>
      <w:r w:rsidRPr="007D308F">
        <w:rPr>
          <w:rFonts w:cs="Arial"/>
          <w:kern w:val="3"/>
          <w:szCs w:val="20"/>
        </w:rPr>
        <w:tab/>
        <w:t xml:space="preserve">Dostawca oświadcza i gwarantuje: </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 xml:space="preserve">6.1.1 </w:t>
      </w:r>
      <w:r w:rsidRPr="007D308F">
        <w:rPr>
          <w:rFonts w:cs="Arial"/>
          <w:szCs w:val="20"/>
        </w:rPr>
        <w:t>dostarczenie przedmiotu  umowy zgodnie z warunkami umowy, polskimi przepisami i normami,</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6.1.2. towar jest nowy, nieużywany i wolny od wszelkich wad fizycznych i prawnych oraz może być użytkowany zgodnie z przeznaczeniem.</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7 – Prawo własności</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7.1. </w:t>
      </w:r>
      <w:r w:rsidRPr="007D308F">
        <w:rPr>
          <w:rFonts w:cs="Arial"/>
          <w:kern w:val="3"/>
          <w:szCs w:val="20"/>
        </w:rPr>
        <w:tab/>
        <w:t xml:space="preserve">Dostawca zachowuje prawo własności przedmiotu umowy do momentu zapłaty ceny całkowitej przez Zamawiającego. Dostawca gwarantuje, że na przedmiocie umowy nie jest ustanowiony zastaw lub jakiekolwiek inne zabezpieczenie lub uprawnienie umowne strony trzeciej ograniczające dysponowanie nim przez Zamawiającego, jak również towar nie narusza </w:t>
      </w:r>
      <w:r w:rsidRPr="007D308F">
        <w:rPr>
          <w:rFonts w:cs="Arial"/>
          <w:kern w:val="3"/>
          <w:szCs w:val="20"/>
        </w:rPr>
        <w:lastRenderedPageBreak/>
        <w:t>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Artykuł 8 – Siła wyższa</w:t>
      </w:r>
    </w:p>
    <w:p w:rsidR="007E7F2E" w:rsidRPr="007D308F" w:rsidRDefault="007E7F2E" w:rsidP="007E7F2E">
      <w:pPr>
        <w:pStyle w:val="Standard"/>
        <w:spacing w:after="120" w:line="276" w:lineRule="auto"/>
        <w:ind w:left="567" w:hanging="567"/>
        <w:jc w:val="both"/>
        <w:rPr>
          <w:rFonts w:asciiTheme="minorHAnsi" w:hAnsiTheme="minorHAnsi"/>
          <w:sz w:val="20"/>
          <w:szCs w:val="20"/>
        </w:rPr>
      </w:pPr>
      <w:r w:rsidRPr="007D308F">
        <w:rPr>
          <w:rFonts w:asciiTheme="minorHAnsi" w:hAnsiTheme="minorHAnsi" w:cs="Arial"/>
          <w:sz w:val="20"/>
          <w:szCs w:val="20"/>
        </w:rPr>
        <w:t xml:space="preserve">8.1.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Pr="007D308F">
        <w:rPr>
          <w:rFonts w:asciiTheme="minorHAnsi" w:hAnsiTheme="minorHAnsi" w:cs="Arial"/>
          <w:sz w:val="20"/>
          <w:szCs w:val="20"/>
        </w:rPr>
        <w:t>są do uniknięcia i nie do przewidzenia dla każdej ze Stron, ale również dla każdej innej strony, która znalazłaby się na ich miejscu, przy dołożeniu wszelkiej możliwej staranności.</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8.2.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FA2073">
        <w:rPr>
          <w:rFonts w:asciiTheme="minorHAnsi" w:hAnsiTheme="minorHAnsi"/>
          <w:b/>
          <w:color w:val="000000"/>
          <w:sz w:val="20"/>
          <w:szCs w:val="20"/>
        </w:rPr>
        <w:t>9</w:t>
      </w:r>
      <w:r w:rsidRPr="007D308F">
        <w:rPr>
          <w:rFonts w:asciiTheme="minorHAnsi" w:hAnsiTheme="minorHAnsi"/>
          <w:b/>
          <w:color w:val="000000"/>
          <w:sz w:val="20"/>
          <w:szCs w:val="20"/>
        </w:rPr>
        <w:t xml:space="preserve"> – Odstąpienie od umowy</w:t>
      </w: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7E7F2E" w:rsidP="00FA2073">
      <w:pPr>
        <w:pStyle w:val="Standard"/>
        <w:numPr>
          <w:ilvl w:val="1"/>
          <w:numId w:val="18"/>
        </w:numPr>
        <w:autoSpaceDE w:val="0"/>
        <w:spacing w:before="57" w:line="276" w:lineRule="auto"/>
        <w:ind w:left="567" w:hanging="567"/>
        <w:jc w:val="both"/>
        <w:rPr>
          <w:rFonts w:asciiTheme="minorHAnsi" w:eastAsia="ArialMT" w:hAnsiTheme="minorHAnsi" w:cs="ArialMT"/>
          <w:sz w:val="20"/>
          <w:szCs w:val="20"/>
        </w:rPr>
      </w:pPr>
      <w:r w:rsidRPr="007D308F">
        <w:rPr>
          <w:rFonts w:asciiTheme="minorHAnsi" w:hAnsiTheme="minorHAnsi"/>
          <w:color w:val="000000"/>
          <w:sz w:val="20"/>
          <w:szCs w:val="20"/>
        </w:rPr>
        <w:t>Stronom przysługuje prawo odstąpienia od umowy.</w:t>
      </w:r>
      <w:r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 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7E7F2E" w:rsidRPr="007D308F" w:rsidRDefault="007E7F2E" w:rsidP="007E7F2E">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w:t>
      </w:r>
      <w:r w:rsidR="009E2F29">
        <w:rPr>
          <w:rFonts w:asciiTheme="minorHAnsi" w:eastAsia="ArialMT" w:hAnsiTheme="minorHAnsi" w:cs="ArialMT"/>
          <w:sz w:val="20"/>
          <w:szCs w:val="20"/>
        </w:rPr>
        <w:t>7</w:t>
      </w:r>
      <w:r w:rsidRPr="007D308F">
        <w:rPr>
          <w:rFonts w:asciiTheme="minorHAnsi" w:eastAsia="ArialMT" w:hAnsiTheme="minorHAnsi" w:cs="ArialMT"/>
          <w:sz w:val="20"/>
          <w:szCs w:val="20"/>
        </w:rPr>
        <w:t xml:space="preserve"> dni od powzięcia wiadomości o okolicznościach uzasadniających odstąpienie 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 Zamawiający może odstąpić od umowy, w terminie </w:t>
      </w:r>
      <w:r w:rsidR="009E2F29">
        <w:rPr>
          <w:rFonts w:asciiTheme="minorHAnsi" w:eastAsia="ArialMT" w:hAnsiTheme="minorHAnsi" w:cs="ArialMT"/>
          <w:sz w:val="20"/>
          <w:szCs w:val="20"/>
        </w:rPr>
        <w:t>7</w:t>
      </w:r>
      <w:bookmarkStart w:id="0" w:name="_GoBack"/>
      <w:bookmarkEnd w:id="0"/>
      <w:r w:rsidRPr="007D308F">
        <w:rPr>
          <w:rFonts w:asciiTheme="minorHAnsi" w:eastAsia="ArialMT" w:hAnsiTheme="minorHAnsi" w:cs="ArialMT"/>
          <w:sz w:val="20"/>
          <w:szCs w:val="20"/>
        </w:rPr>
        <w:t xml:space="preserve"> dni od powzięcia wiadomości o tych okolicznościach.</w:t>
      </w: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Artykuł 1</w:t>
      </w:r>
      <w:r w:rsidR="00FA2073">
        <w:rPr>
          <w:rFonts w:cs="Arial"/>
          <w:b/>
          <w:kern w:val="3"/>
          <w:szCs w:val="20"/>
        </w:rPr>
        <w:t>0</w:t>
      </w:r>
      <w:r w:rsidRPr="007D308F">
        <w:rPr>
          <w:rFonts w:cs="Arial"/>
          <w:b/>
          <w:kern w:val="3"/>
          <w:szCs w:val="20"/>
        </w:rPr>
        <w:t xml:space="preserve"> – Postanowienia końcowe</w:t>
      </w: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19"/>
        </w:numPr>
        <w:suppressAutoHyphens/>
        <w:autoSpaceDE w:val="0"/>
        <w:autoSpaceDN w:val="0"/>
        <w:spacing w:after="120"/>
        <w:ind w:left="851" w:hanging="851"/>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w:t>
      </w:r>
      <w:r w:rsidR="003128CD" w:rsidRPr="007D308F">
        <w:rPr>
          <w:rFonts w:asciiTheme="minorHAnsi" w:hAnsiTheme="minorHAnsi"/>
          <w:kern w:val="3"/>
          <w:sz w:val="20"/>
          <w:szCs w:val="20"/>
          <w:lang w:val="pl-PL"/>
        </w:rPr>
        <w:lastRenderedPageBreak/>
        <w:t xml:space="preserve">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7D308F">
        <w:rPr>
          <w:rFonts w:asciiTheme="minorHAnsi" w:hAnsiTheme="minorHAnsi"/>
          <w:kern w:val="3"/>
          <w:sz w:val="20"/>
          <w:szCs w:val="20"/>
          <w:lang w:val="pl-PL"/>
        </w:rPr>
        <w:t xml:space="preserve">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w:t>
      </w:r>
      <w:r w:rsidR="00CF7317">
        <w:rPr>
          <w:rFonts w:asciiTheme="minorHAnsi" w:hAnsiTheme="minorHAnsi"/>
          <w:kern w:val="3"/>
          <w:sz w:val="20"/>
          <w:szCs w:val="20"/>
          <w:lang w:val="pl-PL"/>
        </w:rPr>
        <w:t>dla siedziby Z</w:t>
      </w:r>
      <w:r w:rsidRPr="007D308F">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265F4A" w:rsidRDefault="00265F4A" w:rsidP="00265F4A">
      <w:pPr>
        <w:suppressAutoHyphens/>
        <w:autoSpaceDN w:val="0"/>
        <w:spacing w:after="0" w:line="240" w:lineRule="auto"/>
        <w:ind w:left="851"/>
        <w:textAlignment w:val="baseline"/>
        <w:rPr>
          <w:rFonts w:cs="Arial"/>
          <w:kern w:val="3"/>
          <w:szCs w:val="20"/>
        </w:rPr>
      </w:pPr>
    </w:p>
    <w:p w:rsidR="007E7F2E" w:rsidRPr="007D308F" w:rsidRDefault="007E7F2E" w:rsidP="00265F4A">
      <w:pPr>
        <w:suppressAutoHyphens/>
        <w:autoSpaceDN w:val="0"/>
        <w:spacing w:after="0" w:line="240" w:lineRule="auto"/>
        <w:ind w:firstLine="70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0"/>
        </w:numPr>
        <w:suppressAutoHyphens/>
        <w:autoSpaceDE w:val="0"/>
        <w:autoSpaceDN w:val="0"/>
        <w:spacing w:after="120"/>
        <w:ind w:left="851" w:hanging="851"/>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707E95">
        <w:rPr>
          <w:rFonts w:asciiTheme="minorHAnsi" w:hAnsiTheme="minorHAnsi"/>
          <w:kern w:val="3"/>
          <w:sz w:val="20"/>
          <w:szCs w:val="20"/>
          <w:lang w:val="pl-PL"/>
        </w:rPr>
        <w:t>B</w:t>
      </w:r>
      <w:r w:rsidR="00A1199B">
        <w:rPr>
          <w:rFonts w:asciiTheme="minorHAnsi" w:hAnsiTheme="minorHAnsi"/>
          <w:kern w:val="3"/>
          <w:sz w:val="20"/>
          <w:szCs w:val="20"/>
          <w:lang w:val="pl-PL"/>
        </w:rPr>
        <w:t>PC</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265F4A">
        <w:rPr>
          <w:rFonts w:asciiTheme="minorHAnsi" w:hAnsiTheme="minorHAnsi"/>
          <w:kern w:val="3"/>
          <w:sz w:val="20"/>
          <w:szCs w:val="20"/>
          <w:lang w:val="pl-PL"/>
        </w:rPr>
        <w:t xml:space="preserve">4.  </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1"/>
        </w:numPr>
        <w:suppressAutoHyphens/>
        <w:autoSpaceDE w:val="0"/>
        <w:autoSpaceDN w:val="0"/>
        <w:spacing w:after="120"/>
        <w:ind w:left="851" w:hanging="851"/>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Pr="007D308F">
        <w:rPr>
          <w:rFonts w:asciiTheme="minorHAnsi" w:hAnsiTheme="minorHAnsi"/>
          <w:sz w:val="20"/>
          <w:szCs w:val="20"/>
          <w:lang w:val="pl-PL"/>
        </w:rPr>
        <w:t>Kodeksu cywilnego.</w:t>
      </w:r>
    </w:p>
    <w:p w:rsidR="007E7F2E" w:rsidRPr="007D308F" w:rsidRDefault="007E7F2E" w:rsidP="007E7F2E">
      <w:pPr>
        <w:pStyle w:val="Akapitzlist"/>
        <w:numPr>
          <w:ilvl w:val="1"/>
          <w:numId w:val="21"/>
        </w:numPr>
        <w:suppressAutoHyphens/>
        <w:autoSpaceDE w:val="0"/>
        <w:autoSpaceDN w:val="0"/>
        <w:spacing w:after="120"/>
        <w:ind w:hanging="792"/>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Niniejszą umowę sporządzono w trzech jednobrzmiących egzemplarzach, dwa dla Zamawiającego, jeden dla Dostawcy.</w:t>
      </w: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034" w:rsidRDefault="008E6034" w:rsidP="006747BD">
      <w:pPr>
        <w:spacing w:after="0" w:line="240" w:lineRule="auto"/>
      </w:pPr>
      <w:r>
        <w:separator/>
      </w:r>
    </w:p>
  </w:endnote>
  <w:endnote w:type="continuationSeparator" w:id="0">
    <w:p w:rsidR="008E6034" w:rsidRDefault="008E6034"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034" w:rsidRDefault="008E6034" w:rsidP="006747BD">
      <w:pPr>
        <w:spacing w:after="0" w:line="240" w:lineRule="auto"/>
      </w:pPr>
      <w:r>
        <w:separator/>
      </w:r>
    </w:p>
  </w:footnote>
  <w:footnote w:type="continuationSeparator" w:id="0">
    <w:p w:rsidR="008E6034" w:rsidRDefault="008E6034"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8"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D75A81"/>
    <w:multiLevelType w:val="multilevel"/>
    <w:tmpl w:val="489E2E2A"/>
    <w:lvl w:ilvl="0">
      <w:start w:val="1"/>
      <w:numFmt w:val="decimal"/>
      <w:lvlText w:val="%1."/>
      <w:lvlJc w:val="left"/>
      <w:pPr>
        <w:ind w:left="1080" w:hanging="720"/>
      </w:pPr>
      <w:rPr>
        <w:rFonts w:hint="default"/>
        <w:b/>
      </w:rPr>
    </w:lvl>
    <w:lvl w:ilvl="1">
      <w:start w:val="2"/>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b w:val="0"/>
      </w:rPr>
    </w:lvl>
    <w:lvl w:ilvl="3">
      <w:start w:val="1"/>
      <w:numFmt w:val="decimal"/>
      <w:isLgl/>
      <w:lvlText w:val="%1.%2.%3.%4"/>
      <w:lvlJc w:val="left"/>
      <w:pPr>
        <w:ind w:left="1749" w:hanging="1080"/>
      </w:pPr>
      <w:rPr>
        <w:rFonts w:hint="default"/>
        <w:b/>
      </w:rPr>
    </w:lvl>
    <w:lvl w:ilvl="4">
      <w:start w:val="1"/>
      <w:numFmt w:val="decimal"/>
      <w:isLgl/>
      <w:lvlText w:val="%1.%2.%3.%4.%5"/>
      <w:lvlJc w:val="left"/>
      <w:pPr>
        <w:ind w:left="2212" w:hanging="1440"/>
      </w:pPr>
      <w:rPr>
        <w:rFonts w:hint="default"/>
        <w:b/>
      </w:rPr>
    </w:lvl>
    <w:lvl w:ilvl="5">
      <w:start w:val="1"/>
      <w:numFmt w:val="decimal"/>
      <w:isLgl/>
      <w:lvlText w:val="%1.%2.%3.%4.%5.%6"/>
      <w:lvlJc w:val="left"/>
      <w:pPr>
        <w:ind w:left="2315" w:hanging="1440"/>
      </w:pPr>
      <w:rPr>
        <w:rFonts w:hint="default"/>
        <w:b/>
      </w:rPr>
    </w:lvl>
    <w:lvl w:ilvl="6">
      <w:start w:val="1"/>
      <w:numFmt w:val="decimal"/>
      <w:isLgl/>
      <w:lvlText w:val="%1.%2.%3.%4.%5.%6.%7"/>
      <w:lvlJc w:val="left"/>
      <w:pPr>
        <w:ind w:left="2778" w:hanging="1800"/>
      </w:pPr>
      <w:rPr>
        <w:rFonts w:hint="default"/>
        <w:b/>
      </w:rPr>
    </w:lvl>
    <w:lvl w:ilvl="7">
      <w:start w:val="1"/>
      <w:numFmt w:val="decimal"/>
      <w:isLgl/>
      <w:lvlText w:val="%1.%2.%3.%4.%5.%6.%7.%8"/>
      <w:lvlJc w:val="left"/>
      <w:pPr>
        <w:ind w:left="3241" w:hanging="2160"/>
      </w:pPr>
      <w:rPr>
        <w:rFonts w:hint="default"/>
        <w:b/>
      </w:rPr>
    </w:lvl>
    <w:lvl w:ilvl="8">
      <w:start w:val="1"/>
      <w:numFmt w:val="decimal"/>
      <w:isLgl/>
      <w:lvlText w:val="%1.%2.%3.%4.%5.%6.%7.%8.%9"/>
      <w:lvlJc w:val="left"/>
      <w:pPr>
        <w:ind w:left="3344" w:hanging="2160"/>
      </w:pPr>
      <w:rPr>
        <w:rFonts w:hint="default"/>
        <w:b/>
      </w:rPr>
    </w:lvl>
  </w:abstractNum>
  <w:abstractNum w:abstractNumId="25"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C94B4C"/>
    <w:multiLevelType w:val="multilevel"/>
    <w:tmpl w:val="ACD887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1"/>
  </w:num>
  <w:num w:numId="3">
    <w:abstractNumId w:val="9"/>
  </w:num>
  <w:num w:numId="4">
    <w:abstractNumId w:val="5"/>
  </w:num>
  <w:num w:numId="5">
    <w:abstractNumId w:val="10"/>
  </w:num>
  <w:num w:numId="6">
    <w:abstractNumId w:val="13"/>
  </w:num>
  <w:num w:numId="7">
    <w:abstractNumId w:val="32"/>
  </w:num>
  <w:num w:numId="8">
    <w:abstractNumId w:val="16"/>
  </w:num>
  <w:num w:numId="9">
    <w:abstractNumId w:val="14"/>
  </w:num>
  <w:num w:numId="10">
    <w:abstractNumId w:val="25"/>
  </w:num>
  <w:num w:numId="11">
    <w:abstractNumId w:val="28"/>
  </w:num>
  <w:num w:numId="12">
    <w:abstractNumId w:val="12"/>
  </w:num>
  <w:num w:numId="13">
    <w:abstractNumId w:val="33"/>
  </w:num>
  <w:num w:numId="14">
    <w:abstractNumId w:val="1"/>
  </w:num>
  <w:num w:numId="15">
    <w:abstractNumId w:val="17"/>
  </w:num>
  <w:num w:numId="16">
    <w:abstractNumId w:val="31"/>
  </w:num>
  <w:num w:numId="17">
    <w:abstractNumId w:val="26"/>
  </w:num>
  <w:num w:numId="18">
    <w:abstractNumId w:val="19"/>
  </w:num>
  <w:num w:numId="19">
    <w:abstractNumId w:val="27"/>
  </w:num>
  <w:num w:numId="20">
    <w:abstractNumId w:val="30"/>
  </w:num>
  <w:num w:numId="21">
    <w:abstractNumId w:val="7"/>
  </w:num>
  <w:num w:numId="22">
    <w:abstractNumId w:val="4"/>
  </w:num>
  <w:num w:numId="23">
    <w:abstractNumId w:val="2"/>
  </w:num>
  <w:num w:numId="24">
    <w:abstractNumId w:val="15"/>
  </w:num>
  <w:num w:numId="25">
    <w:abstractNumId w:val="20"/>
  </w:num>
  <w:num w:numId="26">
    <w:abstractNumId w:val="18"/>
  </w:num>
  <w:num w:numId="27">
    <w:abstractNumId w:val="11"/>
  </w:num>
  <w:num w:numId="28">
    <w:abstractNumId w:val="6"/>
  </w:num>
  <w:num w:numId="29">
    <w:abstractNumId w:val="3"/>
  </w:num>
  <w:num w:numId="30">
    <w:abstractNumId w:val="29"/>
  </w:num>
  <w:num w:numId="31">
    <w:abstractNumId w:val="23"/>
  </w:num>
  <w:num w:numId="32">
    <w:abstractNumId w:va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D01C7"/>
    <w:rsid w:val="001B7A11"/>
    <w:rsid w:val="001C442E"/>
    <w:rsid w:val="00205EA0"/>
    <w:rsid w:val="0021329E"/>
    <w:rsid w:val="00231524"/>
    <w:rsid w:val="00232EA5"/>
    <w:rsid w:val="00265F4A"/>
    <w:rsid w:val="002848C3"/>
    <w:rsid w:val="002A0167"/>
    <w:rsid w:val="002B4425"/>
    <w:rsid w:val="002D48BE"/>
    <w:rsid w:val="002D6CA4"/>
    <w:rsid w:val="002F4540"/>
    <w:rsid w:val="003052AF"/>
    <w:rsid w:val="003128CD"/>
    <w:rsid w:val="00335F9F"/>
    <w:rsid w:val="00340328"/>
    <w:rsid w:val="00346C00"/>
    <w:rsid w:val="00354A18"/>
    <w:rsid w:val="00357215"/>
    <w:rsid w:val="00364C9F"/>
    <w:rsid w:val="00365564"/>
    <w:rsid w:val="003769B0"/>
    <w:rsid w:val="0037755B"/>
    <w:rsid w:val="00384B3E"/>
    <w:rsid w:val="00396565"/>
    <w:rsid w:val="003A1CEF"/>
    <w:rsid w:val="003B2BAB"/>
    <w:rsid w:val="003B4AA1"/>
    <w:rsid w:val="003C269B"/>
    <w:rsid w:val="003C744F"/>
    <w:rsid w:val="003D0E8F"/>
    <w:rsid w:val="003F4BA3"/>
    <w:rsid w:val="00402FBD"/>
    <w:rsid w:val="004137F1"/>
    <w:rsid w:val="0043410F"/>
    <w:rsid w:val="004342A7"/>
    <w:rsid w:val="0043717B"/>
    <w:rsid w:val="00445DC9"/>
    <w:rsid w:val="0045378D"/>
    <w:rsid w:val="004B4635"/>
    <w:rsid w:val="004C0A9C"/>
    <w:rsid w:val="004C3112"/>
    <w:rsid w:val="004E1996"/>
    <w:rsid w:val="004F3CA8"/>
    <w:rsid w:val="004F5805"/>
    <w:rsid w:val="004F5997"/>
    <w:rsid w:val="0052635E"/>
    <w:rsid w:val="00526CDD"/>
    <w:rsid w:val="00544491"/>
    <w:rsid w:val="005801E8"/>
    <w:rsid w:val="005B126B"/>
    <w:rsid w:val="005C031C"/>
    <w:rsid w:val="005C4DDF"/>
    <w:rsid w:val="005D1495"/>
    <w:rsid w:val="005D431D"/>
    <w:rsid w:val="005E398F"/>
    <w:rsid w:val="00650B99"/>
    <w:rsid w:val="006747BD"/>
    <w:rsid w:val="00684D49"/>
    <w:rsid w:val="00694313"/>
    <w:rsid w:val="006D6DE5"/>
    <w:rsid w:val="006E5990"/>
    <w:rsid w:val="006E7CFD"/>
    <w:rsid w:val="00707E95"/>
    <w:rsid w:val="007269B5"/>
    <w:rsid w:val="007552AA"/>
    <w:rsid w:val="00764CCE"/>
    <w:rsid w:val="00781F31"/>
    <w:rsid w:val="007D308F"/>
    <w:rsid w:val="007E0D87"/>
    <w:rsid w:val="007E7F2E"/>
    <w:rsid w:val="00805DF6"/>
    <w:rsid w:val="00821F16"/>
    <w:rsid w:val="008302B5"/>
    <w:rsid w:val="008368C0"/>
    <w:rsid w:val="0084396A"/>
    <w:rsid w:val="008474AE"/>
    <w:rsid w:val="00854B7B"/>
    <w:rsid w:val="008A040A"/>
    <w:rsid w:val="008B2CF6"/>
    <w:rsid w:val="008B53C1"/>
    <w:rsid w:val="008C1729"/>
    <w:rsid w:val="008C5410"/>
    <w:rsid w:val="008C75DD"/>
    <w:rsid w:val="008E6034"/>
    <w:rsid w:val="008F209D"/>
    <w:rsid w:val="008F2921"/>
    <w:rsid w:val="00910BF6"/>
    <w:rsid w:val="009118EF"/>
    <w:rsid w:val="0092679C"/>
    <w:rsid w:val="0096435E"/>
    <w:rsid w:val="009656F0"/>
    <w:rsid w:val="0097230B"/>
    <w:rsid w:val="009726ED"/>
    <w:rsid w:val="009C560B"/>
    <w:rsid w:val="009D4C4D"/>
    <w:rsid w:val="009D52B2"/>
    <w:rsid w:val="009E2F29"/>
    <w:rsid w:val="00A1199B"/>
    <w:rsid w:val="00A22CC4"/>
    <w:rsid w:val="00A355E1"/>
    <w:rsid w:val="00A36F46"/>
    <w:rsid w:val="00A40DA5"/>
    <w:rsid w:val="00A52C29"/>
    <w:rsid w:val="00A557F4"/>
    <w:rsid w:val="00A84B48"/>
    <w:rsid w:val="00AC03D4"/>
    <w:rsid w:val="00AC0647"/>
    <w:rsid w:val="00AC506C"/>
    <w:rsid w:val="00AD42F3"/>
    <w:rsid w:val="00AE41E4"/>
    <w:rsid w:val="00AF60E7"/>
    <w:rsid w:val="00B06A4E"/>
    <w:rsid w:val="00B61F8A"/>
    <w:rsid w:val="00B73B1B"/>
    <w:rsid w:val="00B93F15"/>
    <w:rsid w:val="00B95AA2"/>
    <w:rsid w:val="00B9730E"/>
    <w:rsid w:val="00BA035E"/>
    <w:rsid w:val="00BC4F1F"/>
    <w:rsid w:val="00C027EB"/>
    <w:rsid w:val="00C21650"/>
    <w:rsid w:val="00C30680"/>
    <w:rsid w:val="00C366E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33B76"/>
    <w:rsid w:val="00E57F98"/>
    <w:rsid w:val="00E60F2B"/>
    <w:rsid w:val="00E74F71"/>
    <w:rsid w:val="00E83423"/>
    <w:rsid w:val="00E834B6"/>
    <w:rsid w:val="00E91239"/>
    <w:rsid w:val="00E931DD"/>
    <w:rsid w:val="00EA105E"/>
    <w:rsid w:val="00EB7F95"/>
    <w:rsid w:val="00ED74A3"/>
    <w:rsid w:val="00EE015E"/>
    <w:rsid w:val="00EE493C"/>
    <w:rsid w:val="00F302A1"/>
    <w:rsid w:val="00F44937"/>
    <w:rsid w:val="00F6438B"/>
    <w:rsid w:val="00F71D49"/>
    <w:rsid w:val="00F95510"/>
    <w:rsid w:val="00FA2073"/>
    <w:rsid w:val="00FA58AE"/>
    <w:rsid w:val="00FC1FBE"/>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8B301"/>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142869613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1D333-F165-4EF5-AC22-92C39A178C75}">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723C194-C2D3-43B8-B00C-9292D036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41</TotalTime>
  <Pages>5</Pages>
  <Words>1417</Words>
  <Characters>8502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Beata Ambryszewska | Łukasiewicz – INS</cp:lastModifiedBy>
  <cp:revision>14</cp:revision>
  <cp:lastPrinted>2022-04-01T07:21:00Z</cp:lastPrinted>
  <dcterms:created xsi:type="dcterms:W3CDTF">2022-08-03T12:35:00Z</dcterms:created>
  <dcterms:modified xsi:type="dcterms:W3CDTF">2024-06-18T06:22:00Z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