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5871" w:rsidRPr="00F4491B" w:rsidRDefault="004C5871" w:rsidP="00812F86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 xml:space="preserve">Załącznik nr 1 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>do wniosku z dnia …………………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>Sygnatura sprawy: ……………………….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>Załącznik nr 1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do umowy nr …………………………….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  <w:t xml:space="preserve"> z dnia …………………</w:t>
      </w:r>
    </w:p>
    <w:p w:rsidR="004C5871" w:rsidRDefault="004C5871" w:rsidP="004B4997">
      <w:pPr>
        <w:jc w:val="center"/>
        <w:rPr>
          <w:rFonts w:ascii="Calibri" w:hAnsi="Calibri"/>
          <w:b/>
          <w:sz w:val="22"/>
          <w:szCs w:val="22"/>
        </w:rPr>
      </w:pPr>
    </w:p>
    <w:p w:rsidR="004C5871" w:rsidRDefault="004C5871" w:rsidP="004B4997">
      <w:pPr>
        <w:jc w:val="center"/>
        <w:rPr>
          <w:rFonts w:ascii="Calibri" w:hAnsi="Calibri"/>
          <w:b/>
          <w:sz w:val="22"/>
          <w:szCs w:val="22"/>
        </w:rPr>
      </w:pPr>
    </w:p>
    <w:p w:rsidR="0020207C" w:rsidRPr="0020207C" w:rsidRDefault="00BD26F8" w:rsidP="004B49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STÓŁ OPERACYJNY</w:t>
      </w:r>
      <w:r w:rsidR="00812F86">
        <w:rPr>
          <w:rFonts w:ascii="Calibri" w:hAnsi="Calibri"/>
          <w:b/>
          <w:sz w:val="22"/>
          <w:szCs w:val="22"/>
        </w:rPr>
        <w:t xml:space="preserve"> Z AKCESORIAMI</w:t>
      </w:r>
      <w:r>
        <w:rPr>
          <w:rFonts w:ascii="Calibri" w:hAnsi="Calibri"/>
          <w:b/>
          <w:sz w:val="22"/>
          <w:szCs w:val="22"/>
        </w:rPr>
        <w:t xml:space="preserve"> </w:t>
      </w:r>
      <w:r w:rsidR="00F047BF">
        <w:rPr>
          <w:rFonts w:ascii="Calibri" w:hAnsi="Calibri"/>
          <w:b/>
          <w:sz w:val="22"/>
          <w:szCs w:val="22"/>
        </w:rPr>
        <w:t>1 SZT.</w:t>
      </w:r>
    </w:p>
    <w:p w:rsidR="0020207C" w:rsidRPr="0020207C" w:rsidRDefault="0020207C" w:rsidP="004B4997">
      <w:pPr>
        <w:jc w:val="center"/>
        <w:rPr>
          <w:rFonts w:ascii="Calibri" w:hAnsi="Calibri"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>(nazwa urządzenia oraz ilość sztuk)</w:t>
      </w:r>
    </w:p>
    <w:p w:rsidR="0020207C" w:rsidRPr="0020207C" w:rsidRDefault="0020207C">
      <w:pPr>
        <w:jc w:val="center"/>
        <w:rPr>
          <w:rFonts w:ascii="Calibri" w:hAnsi="Calibri"/>
          <w:sz w:val="22"/>
          <w:szCs w:val="22"/>
        </w:rPr>
      </w:pPr>
    </w:p>
    <w:p w:rsidR="00B53BAC" w:rsidRDefault="0020207C">
      <w:pPr>
        <w:jc w:val="center"/>
        <w:rPr>
          <w:rFonts w:ascii="Calibri" w:hAnsi="Calibri"/>
          <w:b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 xml:space="preserve">dla potrzeb </w:t>
      </w:r>
      <w:r w:rsidR="00BD26F8">
        <w:rPr>
          <w:rFonts w:ascii="Calibri" w:hAnsi="Calibri"/>
          <w:b/>
          <w:sz w:val="22"/>
          <w:szCs w:val="22"/>
        </w:rPr>
        <w:t xml:space="preserve"> </w:t>
      </w:r>
      <w:r w:rsidR="00C27FE0">
        <w:rPr>
          <w:rFonts w:ascii="Calibri" w:hAnsi="Calibri"/>
          <w:b/>
          <w:sz w:val="22"/>
          <w:szCs w:val="22"/>
        </w:rPr>
        <w:t>BLOKU OPERACYJNEGO</w:t>
      </w:r>
      <w:r w:rsidRPr="0020207C">
        <w:rPr>
          <w:rFonts w:ascii="Calibri" w:hAnsi="Calibri"/>
          <w:b/>
          <w:sz w:val="22"/>
          <w:szCs w:val="22"/>
        </w:rPr>
        <w:t xml:space="preserve"> </w:t>
      </w:r>
      <w:r w:rsidR="00BB25AD">
        <w:rPr>
          <w:rFonts w:ascii="Calibri" w:hAnsi="Calibri"/>
          <w:b/>
          <w:sz w:val="22"/>
          <w:szCs w:val="22"/>
        </w:rPr>
        <w:t>KLINIC</w:t>
      </w:r>
      <w:r w:rsidR="0045259D">
        <w:rPr>
          <w:rFonts w:ascii="Calibri" w:hAnsi="Calibri"/>
          <w:b/>
          <w:sz w:val="22"/>
          <w:szCs w:val="22"/>
        </w:rPr>
        <w:t>ZNEGO CENTRUM GINEKOLOGII, POŁOŻ</w:t>
      </w:r>
      <w:r w:rsidR="00BB25AD">
        <w:rPr>
          <w:rFonts w:ascii="Calibri" w:hAnsi="Calibri"/>
          <w:b/>
          <w:sz w:val="22"/>
          <w:szCs w:val="22"/>
        </w:rPr>
        <w:t xml:space="preserve">NICTWA </w:t>
      </w:r>
    </w:p>
    <w:p w:rsidR="0020207C" w:rsidRPr="0020207C" w:rsidRDefault="00BB25A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 NEONATOLOGII </w:t>
      </w:r>
    </w:p>
    <w:p w:rsidR="0020207C" w:rsidRPr="0020207C" w:rsidRDefault="0020207C">
      <w:pPr>
        <w:jc w:val="center"/>
        <w:rPr>
          <w:rFonts w:ascii="Calibri" w:hAnsi="Calibri"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>(nazwa komórki organizacyjnej Szpitala)</w:t>
      </w:r>
    </w:p>
    <w:p w:rsidR="0020207C" w:rsidRPr="0020207C" w:rsidRDefault="0020207C">
      <w:pPr>
        <w:rPr>
          <w:rFonts w:ascii="Calibri" w:hAnsi="Calibri"/>
          <w:sz w:val="22"/>
          <w:szCs w:val="22"/>
        </w:rPr>
      </w:pPr>
    </w:p>
    <w:p w:rsidR="0020207C" w:rsidRPr="005F504F" w:rsidRDefault="0020207C">
      <w:pPr>
        <w:rPr>
          <w:rFonts w:ascii="Calibri" w:hAnsi="Calibri"/>
          <w:sz w:val="22"/>
          <w:szCs w:val="22"/>
        </w:rPr>
      </w:pPr>
      <w:r w:rsidRPr="005F504F">
        <w:rPr>
          <w:rFonts w:ascii="Calibri" w:hAnsi="Calibri"/>
          <w:b/>
          <w:sz w:val="22"/>
          <w:szCs w:val="22"/>
        </w:rPr>
        <w:t>Model/typ oferowanego urządzenia: …………….…………    Producent/firma: ……………………….…</w:t>
      </w:r>
    </w:p>
    <w:p w:rsidR="00E54446" w:rsidRDefault="0020207C">
      <w:pPr>
        <w:rPr>
          <w:rFonts w:ascii="Calibri" w:hAnsi="Calibri" w:cs="Times New Roman"/>
          <w:b/>
          <w:sz w:val="22"/>
          <w:szCs w:val="22"/>
        </w:rPr>
      </w:pPr>
      <w:r w:rsidRPr="0020207C">
        <w:rPr>
          <w:rFonts w:ascii="Calibri" w:hAnsi="Calibri" w:cs="Times New Roman"/>
          <w:b/>
          <w:sz w:val="22"/>
          <w:szCs w:val="22"/>
        </w:rPr>
        <w:t xml:space="preserve">          </w:t>
      </w:r>
    </w:p>
    <w:p w:rsidR="0020207C" w:rsidRPr="0020207C" w:rsidRDefault="0020207C">
      <w:pPr>
        <w:rPr>
          <w:rFonts w:ascii="Calibri" w:hAnsi="Calibri"/>
          <w:sz w:val="22"/>
          <w:szCs w:val="22"/>
        </w:rPr>
      </w:pPr>
      <w:r w:rsidRPr="0020207C">
        <w:rPr>
          <w:rFonts w:ascii="Calibri" w:hAnsi="Calibri" w:cs="Times New Roman"/>
          <w:b/>
          <w:sz w:val="22"/>
          <w:szCs w:val="22"/>
        </w:rPr>
        <w:t xml:space="preserve">                       </w:t>
      </w:r>
      <w:r w:rsidR="00B85294" w:rsidRPr="0020207C">
        <w:rPr>
          <w:rFonts w:ascii="Calibri" w:hAnsi="Calibri" w:cs="Times New Roman"/>
          <w:b/>
          <w:sz w:val="22"/>
          <w:szCs w:val="22"/>
        </w:rPr>
        <w:t xml:space="preserve">                           </w:t>
      </w:r>
      <w:r w:rsidRPr="0020207C">
        <w:rPr>
          <w:rFonts w:ascii="Calibri" w:hAnsi="Calibri" w:cs="Times New Roman"/>
          <w:b/>
          <w:sz w:val="22"/>
          <w:szCs w:val="22"/>
        </w:rPr>
        <w:t xml:space="preserve"> </w:t>
      </w:r>
      <w:r w:rsidRPr="0020207C">
        <w:rPr>
          <w:rFonts w:ascii="Calibri" w:hAnsi="Calibri"/>
          <w:sz w:val="22"/>
          <w:szCs w:val="22"/>
        </w:rPr>
        <w:t xml:space="preserve">(wypełnia Wykonawca)         </w:t>
      </w:r>
      <w:r w:rsidR="00B85294" w:rsidRPr="0020207C">
        <w:rPr>
          <w:rFonts w:ascii="Calibri" w:hAnsi="Calibri"/>
          <w:b/>
          <w:sz w:val="22"/>
          <w:szCs w:val="22"/>
        </w:rPr>
        <w:t xml:space="preserve">                       </w:t>
      </w:r>
      <w:r w:rsidRPr="0020207C">
        <w:rPr>
          <w:rFonts w:ascii="Calibri" w:hAnsi="Calibri"/>
          <w:sz w:val="22"/>
          <w:szCs w:val="22"/>
        </w:rPr>
        <w:t>(wypełnia Wykonawca)</w:t>
      </w:r>
    </w:p>
    <w:p w:rsidR="0020207C" w:rsidRPr="0020207C" w:rsidRDefault="0020207C">
      <w:pPr>
        <w:rPr>
          <w:rFonts w:ascii="Calibri" w:hAnsi="Calibri"/>
          <w:sz w:val="22"/>
          <w:szCs w:val="22"/>
        </w:rPr>
      </w:pPr>
    </w:p>
    <w:p w:rsidR="0020207C" w:rsidRPr="0020207C" w:rsidRDefault="004F26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Rok produkcji:  min. 202</w:t>
      </w:r>
      <w:r w:rsidR="00481D5C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rok</w:t>
      </w:r>
    </w:p>
    <w:p w:rsidR="0020207C" w:rsidRPr="0020207C" w:rsidRDefault="00F5710F">
      <w:pPr>
        <w:rPr>
          <w:rFonts w:ascii="Calibri" w:hAnsi="Calibri"/>
          <w:sz w:val="22"/>
          <w:szCs w:val="22"/>
        </w:rPr>
      </w:pPr>
      <w:r w:rsidRPr="0020207C">
        <w:rPr>
          <w:rFonts w:ascii="Calibri" w:hAnsi="Calibri" w:cs="Times New Roman"/>
          <w:b/>
          <w:sz w:val="22"/>
          <w:szCs w:val="22"/>
        </w:rPr>
        <w:t xml:space="preserve">                   </w:t>
      </w:r>
      <w:r w:rsidR="0020207C" w:rsidRPr="0020207C">
        <w:rPr>
          <w:rFonts w:ascii="Calibri" w:hAnsi="Calibri"/>
          <w:sz w:val="22"/>
          <w:szCs w:val="22"/>
        </w:rPr>
        <w:t>(wypełnia Zamawiający)</w:t>
      </w:r>
    </w:p>
    <w:tbl>
      <w:tblPr>
        <w:tblW w:w="10449" w:type="dxa"/>
        <w:tblInd w:w="-5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5415"/>
        <w:gridCol w:w="40"/>
        <w:gridCol w:w="1533"/>
        <w:gridCol w:w="26"/>
        <w:gridCol w:w="2593"/>
      </w:tblGrid>
      <w:tr w:rsidR="0020207C" w:rsidRPr="005F504F" w:rsidTr="00FE11EB"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snapToGrid w:val="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Opis prze</w:t>
            </w:r>
            <w:r w:rsidR="001B65A8">
              <w:rPr>
                <w:rFonts w:ascii="Calibri" w:hAnsi="Calibri"/>
                <w:b/>
                <w:sz w:val="22"/>
                <w:szCs w:val="22"/>
              </w:rPr>
              <w:t>dmiotu zamówienia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sz w:val="22"/>
                <w:szCs w:val="22"/>
              </w:rPr>
              <w:t>Potwierdzenie spełnienia wymagań minimalnych</w:t>
            </w:r>
          </w:p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TAK / NIE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446" w:rsidRPr="005F504F" w:rsidRDefault="00E544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0207C" w:rsidRPr="005F504F" w:rsidRDefault="00202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sz w:val="22"/>
                <w:szCs w:val="22"/>
              </w:rPr>
              <w:t>W przypadku spełnienia jednocześnie wymagań minimalnych oraz przy parametrach urządzenia wyższych niż minimalne (korzystniejszych dla Zamawiającego) należy podać parametry oferowane</w:t>
            </w:r>
          </w:p>
          <w:p w:rsidR="00E54446" w:rsidRPr="005F504F" w:rsidRDefault="00E544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0207C" w:rsidRPr="005F504F" w:rsidTr="00FE11EB">
        <w:trPr>
          <w:trHeight w:val="330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snapToGrid w:val="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0207C" w:rsidRPr="005F504F" w:rsidTr="00FE11EB"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07C" w:rsidRPr="005F504F" w:rsidRDefault="0020207C" w:rsidP="005F504F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PARAMETRY TECHNICZNE I FUNKCJONALNE URZĄDZENIA</w:t>
            </w: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536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Stół do operacji ogólnochirurgicznych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. Stół posiadający </w:t>
            </w: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odpowiednie rozwiązania konstrukcyjne umożliwiające montaż w późniejszym czasie wybranego specjalistycznego wyposażenia (przystawek) bez dokonywania przeróbek </w:t>
            </w: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br/>
              <w:t>i wymiany elementów stołu</w:t>
            </w:r>
            <w:r w:rsidR="0097147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Kolumna i podstawa stołu w osłonach ze stali nierdzewnej polerowanej, zapewniającej stabilność, trwałość oraz łatwość dezynfekcji.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Stół operacyjny z podstawą w kształcie prostokąta z osłoną podstawy umieszczoną na tyle wysoko ponad podłożem, że </w:t>
            </w: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umożliwia to łatwy dostęp dla stóp operatora i bardzo bliskie podejście do kolumny stołu.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snapToGrid w:val="0"/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Funkcje stołu realizowane przy pomocy napędu elektrohydraulicznego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in. następujących funkcji: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regulacja wysokości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przechyły boczne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pozycja Trendelenburga i anty-Trendelenburga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regulacja segmentu oparcia pleców 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poziomowanie blatu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przesuw wzdłużny blatu</w:t>
            </w:r>
          </w:p>
          <w:p w:rsidR="005F504F" w:rsidRPr="005F504F" w:rsidRDefault="008C2AB0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pozycja</w:t>
            </w:r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flex uruchamiana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 reflex uruchamiana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blokowanie/oblokowanie stołu do podłoża.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W/w funkcje uzyskiwane przy pomocy pilota przewodowego lub bezprzewodowego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1B7D35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Pilot z</w:t>
            </w:r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podświetlanymi  klawiszami funkcyjnymi, ułatwiającymi regulacje stołem w warunkach zaciemnionej sali operacyjnej.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Wymagane dodatkowe funkcje pilota: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niezależne dwa przyciski do przełączania orientacji blatu (pozycja normalna i odwrócona)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przycisk załączania funkcji stołu  (ON / OFF)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przycisk pozycji Trendelenburga dla bezpieczeństwa oznaczony innym kolorem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informacja o stanie naładowania baterii stołu z minimum 3-poziomową skalą w postaci 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diod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LED 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informacja o procesie ładowania baterii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sygnalizację podłączenia stołu do sieci 230 V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Dodatkowy panel sterowania z podświetlanymi klawiszami membranowymi umieszczony na kolumnie stołu umożliwiający sterowanie minimum następującymi funkcjami: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regulacja wysokości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przechyły boczne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pozycja Trendelenburga i anty- Trendelenburga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regulacja segmentu oparcia pleców 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przesuw wzdłużny blatu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blokowanie stołu do podłoża.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Dodatkowe wymagane funkcje panelu sterowania: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przycisk pozycji Trendelenburga dla bezpieczeństwa oznaczony innym kolorem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zabezpieczenie przed nieintencjonalnym użyciem funkcji w postaci konieczności użycia równocześnie dwóch przycisków celem aktywacji wybranej funkcji. Oprócz przycisków funkcyjnych panel musi posiadać odrębny, wyraźnie oznaczony klawisz, który należy przytrzymać wraz z klawiszem funkcyjnym. Zwolnienie klawisza musi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spowodować natychmiastowe przerwanie wykonywanych ruchów.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Panel sterowania wbudowany w kolumnę, zlokalizowany w osi długiej stołu. Nie dopuszcza się panelu zlokalizowanego od strony głowy lub nóg z uwagi na utrudniony dostęp podczas operacji.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Sygnalizacja centralnie umieszczonego blatu poprzez diodę umieszczoną na pilocie – funkcja wykorzystywana podczas przesuwu wzdłużnego blatu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Sygnalizacja podłączenia stołu do sieci 230V umieszczona na  pilocie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Pilot wyłączający się dla bezpieczeństwa po maksimum 40 sekundach – ponowna aktywacja poprzez przycisk załączający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Stół przystosowany do pracy z pilotem nożnym – wyposażony w odpowiednie gniazdo osobne niezależne od pilota ręcznego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Zasilanie bateryjne stołu 24 V. Akumulatory wbudowane wraz ze zintegrowaną ładowarką. W przypadku wyładowania baterii możliwość pracy stołu podłączonego do zasilania sieciowego. Przewód do ładowania akumulatorów odłączany od stołu.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Akumulatory pozwalające na wykonanie minimum 220 ruchów stołem (jeden ruch rozumiany jako wykonanie w pełnym zakresie regulacji stołu  w dół lub w górę lub jako regulacji w pełnym zakresie przechyłu wzdłużnego lub bocznego)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długość  blatu stołu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75422">
            <w:pPr>
              <w:jc w:val="center"/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75422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szerokość blatu (bez listew bocznych)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B42B7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szerokość blatu z listwami bocznymi maks.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wysokości blatu w zakresie co najmniej od 530 do 1000 mm (zakres wysokości liczony bez materacy)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przechyłu wzdłużnego w zakresie min. +/- 30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przechyłu bocznego w zakresie min. +/- 24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oparcia pleców w zakresie min. od - 30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80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podgłówka w zakresie min. od - 90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0 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Zakres pionowej regulacji kątowej podnóżków min. od - 90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0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oraz możliwość rozchylenia na boki o min. 180°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pozycji flex min. 210° i reflex min. 100° - każda z pozycji regulowana przy pomocy jednego przycisku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Przesuw wzdłużny blatu min. 350 mm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Dopuszczalne obciążenie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kg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75422" w:rsidRDefault="005F504F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75422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snapToGrid w:val="0"/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stołu min. 4-segmentowy składający się z następujących segmentów: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płyta głowy - odłączana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segment oparcia pleców 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segment siedziska</w:t>
            </w:r>
          </w:p>
          <w:p w:rsidR="005F504F" w:rsidRPr="005F504F" w:rsidRDefault="005F504F" w:rsidP="005F504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- dwuczęściowy segment nóg (podnóżki) – segmenty odłączane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5F504F" w:rsidRPr="005F504F" w:rsidRDefault="005F504F" w:rsidP="005F504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Możliwość zamiany miejscami płyty głowy i podnóżków</w:t>
            </w:r>
            <w:r w:rsidR="001525F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wyposażony w listwy umożliwiające montaż wyposażenia dodatkowego – listwy mocowane na każdym segmencie (podgłówka, oparcia pleców, siedziska oraz podnóżków)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stołu przezierny w projekcji AP na szerokości min. 380 mm bez elementów poprzecznych nieprzeziernych typu pręty i belki.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na całej długości przezierny dla promieni RTG. Tunel na kasety RTG co najmniej w segmencie podgłówka, oparcia pleców i siedziska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stołu bez poprzecznych belek konstrukcyjnych metalowych, nieprzeziernych dla promieni RTG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Dostępność aparatu RTG (ramię „C”) na całej długości blatu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Bardzo wysoka stabilność stołu poprzez zastosowanie w konstrukcji blatu elementów wykonywanych technologią odlewów – nie dopuszcza się elementów konstrukcyjnych blatu spawanych lub giętych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dgłówek regulowany mechanicznie.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Podnóżki regulowane góra – dół przy pomocy sprężyn gazowych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lub układu elektrohydraulicznego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Podgłówek wyposażony w uchwyt służący do przenoszenia podgłówka lub do zawieszenia pilota – uc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hwyt mocowany od strony szczytu.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Stół mobilny - przejezdny posiadający min. 4 koła o średnicy min. 70 mm.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br/>
              <w:t>Koła zabudowane w podstawie – nie wystające ponad i poza podstawę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System blokowania kół jezdnych przy pomocy elektrohydraulicznie wysuwanych pod podstawą czterech stopek, gwarantujący pewne blokowanie stołu.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Stopki blokujące stół z napędem elektrohydraulicznym posiadające mechanizm automatycznej kompensacji nierówności podłoża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Dodatkowy awaryjny system umożliwiający odblokowanie stopek i ich podniesienie poprzez pokrętło zwalniające blokadę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Podstawa nie posiadająca żadnych elementów tworzywowych, gumowych lub silikonowych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Kolumna bez harmonijkowych osłon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wykonany ze stali nierdzewnej lub stopów nierdzewnych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Materace o właściwościach przeciwodleżynowych i antybakteryjnych – wykonane z miękkiej pianki poliuretanowej pokrytej materiałem skajowym, antystatycznym łączonym za pomocą szwów ukrytych, szczelnych. Materace odejmowane. 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Grubość materacy min. 60 mm</w:t>
            </w:r>
            <w:r w:rsidR="00DA043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Dołączyć oświadczenie producenta lub badanie z niezależnej jednostki laboratoryjnej o antybakteryjności materacy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FE1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5F504F" w:rsidP="005F504F">
            <w:pPr>
              <w:numPr>
                <w:ilvl w:val="0"/>
                <w:numId w:val="5"/>
              </w:num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5F504F" w:rsidRPr="005F504F" w:rsidRDefault="00DA0431" w:rsidP="005F504F">
            <w:pPr>
              <w:snapToGrid w:val="0"/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Wyposażenie dodatkowe</w:t>
            </w:r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ramka ekranu anestezjologicznego ze sztycą pionową o długości co najmniej 740 mm z ogranicznikiem uniemożliwiającym przypadkowe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niebezpieczne opuszczenie jej na ciało pacjenta – ogranicznik ten, w razie przypadkowego zwolnienia zacisku musi zatrzymać ramkę nie niżej niż 360 mm ponad poziomem materaca – 1 szt.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podpórka ręki prosta (anestezyjna) o wymi</w:t>
            </w:r>
            <w:r w:rsidR="00DA0431">
              <w:rPr>
                <w:rFonts w:ascii="Calibri" w:hAnsi="Calibri"/>
                <w:color w:val="000000"/>
                <w:sz w:val="22"/>
                <w:szCs w:val="22"/>
              </w:rPr>
              <w:t xml:space="preserve">arach co najmniej 530 x 130 mm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 własnym zintegrowanym uchwytem mocującym – 1 szt.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wieszak kroplówki – 1 szt.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pas do mocowania ciała z miękką poduszką – 1 szt.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oparcie boczne w postaci wałka – 1 szt.</w:t>
            </w:r>
          </w:p>
          <w:p w:rsid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podkolanniki ginekologiczne typu </w:t>
            </w:r>
            <w:r w:rsidR="00AF0A22">
              <w:rPr>
                <w:rFonts w:ascii="Calibri" w:hAnsi="Calibri"/>
                <w:color w:val="000000"/>
                <w:sz w:val="22"/>
                <w:szCs w:val="22"/>
              </w:rPr>
              <w:t>Goepel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– 1 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komplet</w:t>
            </w:r>
          </w:p>
          <w:p w:rsidR="00DA0431" w:rsidRDefault="00DA0431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materac próżniowy do pozycjonowania pacjenta na stole operacyjnym, wymiar min. 70x200 cm – 1 szt.</w:t>
            </w:r>
          </w:p>
          <w:p w:rsidR="00DA0431" w:rsidRDefault="00DA0431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podpórki nożne litotomiczne; regulacja wysokości, regulacja obrotu od strony stopy, wspomaganie sprężyny gazowej. Wsparcie z tworzywa z poduszką dla stopy i podudzia, zapobiegające urazom i zatorom krążeniowym podczas długotrwałych zabiegów. Obciążenie maksymalne min. 155 kg – 2 komplety</w:t>
            </w:r>
          </w:p>
          <w:p w:rsidR="00DA0431" w:rsidRDefault="00DA0431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uchwyty mocujące do podpórek nożnych litotomicznych – 2 komplety</w:t>
            </w:r>
          </w:p>
          <w:p w:rsidR="008C2AB0" w:rsidRPr="005F504F" w:rsidRDefault="008C2AB0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dodatkowy p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ilot  z  podświetlanymi  klawiszami funkcyjnymi, ułatwiającymi regulacje stołem w warunkach zaciemnio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nej sali operacyjnej – 1 szt.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Wszystkie elementy wyposażenia z właściwymi elementami mocującymi do stołu –  uchwyty wykonane ze stali nierdzewnej</w:t>
            </w:r>
            <w:r w:rsidR="00DA043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b/>
                <w:sz w:val="22"/>
                <w:szCs w:val="22"/>
              </w:rPr>
              <w:t>INNE WYMAGANIA</w:t>
            </w:r>
          </w:p>
        </w:tc>
      </w:tr>
      <w:tr w:rsidR="005F504F" w:rsidRPr="007F787E" w:rsidTr="00FE11EB">
        <w:trPr>
          <w:trHeight w:val="32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Zapewnienie producenta lub autoryzowanego dystrybutora o dostępności części zamiennych przez okres min. 10 lat - informację dołączyć do oferty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FE11EB" w:rsidRPr="004B0DA2" w:rsidTr="00FE11EB">
        <w:trPr>
          <w:trHeight w:val="806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1EB" w:rsidRPr="001A5F0B" w:rsidRDefault="00FE11EB" w:rsidP="00FE11E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spełnia wymagania określone w ustawie z dnia 7 kwietnia 2022 r. o wyrobach medycznych (Dz. U. poz. 974).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11EB" w:rsidRPr="004B0DA2" w:rsidRDefault="00FE11EB" w:rsidP="00FE11EB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FE11EB" w:rsidRPr="004B0DA2" w:rsidTr="00FE11EB">
        <w:trPr>
          <w:trHeight w:val="94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1EB" w:rsidRPr="00241341" w:rsidRDefault="00FE11EB" w:rsidP="00FE11E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oznakowane znakiem CE zgodne z wymaganiami UE, a jeżeli ocena zgodności była przeprowadzana z udziałem jednostki notyfikowanej, to obok znaku CE ma być umieszczony numer identyfikacyjny tej jednostki.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11EB" w:rsidRDefault="00FE11EB" w:rsidP="00FE11EB">
            <w:pPr>
              <w:snapToGrid w:val="0"/>
              <w:rPr>
                <w:rFonts w:ascii="Calibri" w:hAnsi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Gwarancja min. 24 miesięcy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 okresie gwarancji przeglądy techniczne wykonywane będą nieodpłatnie.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Szkolenie pracowników w zakresie kompleksowej obsługi oferowanego urządzenia w siedzibie Zamawiającego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F504F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Zapewnienie producenta lub autoryzowanego dystrybutora o zapewnieniu serwisu gwarancyjnego i pogwarancyjnego – informacje dołączyć do oferty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i/>
                <w:noProof/>
                <w:sz w:val="22"/>
                <w:szCs w:val="22"/>
                <w:lang w:eastAsia="pl-PL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Instrukcja obsługi w języku polskim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5F504F" w:rsidRPr="007F787E" w:rsidTr="00FE11E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5F50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DA043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Przeszkolenie min. 2 pracowników technicznych do wykonywania przeglądów pogwarancyjnych </w:t>
            </w:r>
            <w:r w:rsidR="00DA0431">
              <w:rPr>
                <w:rFonts w:ascii="Calibri" w:hAnsi="Calibri"/>
                <w:sz w:val="22"/>
                <w:szCs w:val="22"/>
              </w:rPr>
              <w:t xml:space="preserve">w placówce Zamawiającego. Szkolenie zakończone certyfikatem.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</w:tbl>
    <w:p w:rsidR="005F504F" w:rsidRDefault="005F504F"/>
    <w:p w:rsidR="00B73D99" w:rsidRPr="00F9687A" w:rsidRDefault="00B73D99">
      <w:pPr>
        <w:rPr>
          <w:rFonts w:ascii="Calibri" w:hAnsi="Calibri"/>
          <w:i/>
          <w:sz w:val="22"/>
          <w:szCs w:val="22"/>
        </w:rPr>
      </w:pPr>
    </w:p>
    <w:p w:rsidR="00B73D99" w:rsidRPr="00F9687A" w:rsidRDefault="00B73D99">
      <w:pPr>
        <w:rPr>
          <w:rFonts w:ascii="Calibri" w:hAnsi="Calibri"/>
          <w:i/>
          <w:sz w:val="22"/>
          <w:szCs w:val="22"/>
        </w:rPr>
      </w:pPr>
    </w:p>
    <w:p w:rsidR="0020207C" w:rsidRPr="00F9687A" w:rsidRDefault="0020207C">
      <w:pPr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>*</w:t>
      </w:r>
      <w:r w:rsidRPr="00F9687A">
        <w:rPr>
          <w:rFonts w:ascii="Calibri" w:hAnsi="Calibri"/>
          <w:b/>
          <w:i/>
          <w:sz w:val="22"/>
          <w:szCs w:val="22"/>
        </w:rPr>
        <w:t xml:space="preserve"> </w:t>
      </w:r>
      <w:r w:rsidRPr="00F9687A">
        <w:rPr>
          <w:rFonts w:ascii="Calibri" w:hAnsi="Calibri"/>
          <w:b/>
          <w:i/>
          <w:sz w:val="22"/>
          <w:szCs w:val="22"/>
          <w:u w:val="single"/>
        </w:rPr>
        <w:t>Uwaga!</w:t>
      </w:r>
    </w:p>
    <w:p w:rsidR="0020207C" w:rsidRPr="00F9687A" w:rsidRDefault="0020207C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 xml:space="preserve">W powyższej tabeli kolumnę nr 3 wypełnia Wykonawca wpisując odpowiednio TAK lub NIE. </w:t>
      </w:r>
    </w:p>
    <w:p w:rsidR="0020207C" w:rsidRPr="00F9687A" w:rsidRDefault="0020207C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 xml:space="preserve">W przypadku zaznaczenia w kolumnie nr 3 opcji NIE lub w przypadku niespełnienia minimalnych wymagań Zamawiającego, określonych w powyższej tabeli oferta Wykonawcy zostanie odrzucona. </w:t>
      </w:r>
    </w:p>
    <w:p w:rsidR="0020207C" w:rsidRPr="00F9687A" w:rsidRDefault="0020207C">
      <w:pPr>
        <w:rPr>
          <w:rFonts w:ascii="Calibri" w:hAnsi="Calibri"/>
          <w:i/>
          <w:sz w:val="22"/>
          <w:szCs w:val="22"/>
        </w:rPr>
      </w:pPr>
    </w:p>
    <w:p w:rsidR="0020207C" w:rsidRPr="00F9687A" w:rsidRDefault="0020207C">
      <w:pPr>
        <w:jc w:val="both"/>
        <w:rPr>
          <w:rFonts w:ascii="Calibri" w:hAnsi="Calibri"/>
          <w:i/>
          <w:sz w:val="22"/>
          <w:szCs w:val="22"/>
        </w:rPr>
      </w:pPr>
    </w:p>
    <w:sectPr w:rsidR="0020207C" w:rsidRPr="00F9687A" w:rsidSect="004C5871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F1" w:rsidRDefault="001525F1" w:rsidP="004C7DA2">
      <w:r>
        <w:separator/>
      </w:r>
    </w:p>
  </w:endnote>
  <w:endnote w:type="continuationSeparator" w:id="0">
    <w:p w:rsidR="001525F1" w:rsidRDefault="001525F1" w:rsidP="004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F1" w:rsidRDefault="001525F1" w:rsidP="004C7DA2">
      <w:r>
        <w:separator/>
      </w:r>
    </w:p>
  </w:footnote>
  <w:footnote w:type="continuationSeparator" w:id="0">
    <w:p w:rsidR="001525F1" w:rsidRDefault="001525F1" w:rsidP="004C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A006A13"/>
    <w:multiLevelType w:val="singleLevel"/>
    <w:tmpl w:val="37787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14874AF"/>
    <w:multiLevelType w:val="hybridMultilevel"/>
    <w:tmpl w:val="4AFC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97"/>
    <w:rsid w:val="00044C1D"/>
    <w:rsid w:val="00065D83"/>
    <w:rsid w:val="000A0492"/>
    <w:rsid w:val="000A1C30"/>
    <w:rsid w:val="000B5C86"/>
    <w:rsid w:val="000E7FEB"/>
    <w:rsid w:val="000F35C2"/>
    <w:rsid w:val="001525F1"/>
    <w:rsid w:val="001B65A8"/>
    <w:rsid w:val="001B7D35"/>
    <w:rsid w:val="0020207C"/>
    <w:rsid w:val="002163DB"/>
    <w:rsid w:val="002566B2"/>
    <w:rsid w:val="00284E1E"/>
    <w:rsid w:val="002A0AD7"/>
    <w:rsid w:val="00354178"/>
    <w:rsid w:val="003963B2"/>
    <w:rsid w:val="003C1032"/>
    <w:rsid w:val="00411008"/>
    <w:rsid w:val="0045259D"/>
    <w:rsid w:val="00481D5C"/>
    <w:rsid w:val="004912F5"/>
    <w:rsid w:val="004B0DA2"/>
    <w:rsid w:val="004B4997"/>
    <w:rsid w:val="004C1E8E"/>
    <w:rsid w:val="004C5871"/>
    <w:rsid w:val="004C5C58"/>
    <w:rsid w:val="004C7DA2"/>
    <w:rsid w:val="004F26BD"/>
    <w:rsid w:val="00522710"/>
    <w:rsid w:val="005416C8"/>
    <w:rsid w:val="00571709"/>
    <w:rsid w:val="00575422"/>
    <w:rsid w:val="00594AB6"/>
    <w:rsid w:val="005F504F"/>
    <w:rsid w:val="00646C75"/>
    <w:rsid w:val="00652DF7"/>
    <w:rsid w:val="00662D08"/>
    <w:rsid w:val="006C5974"/>
    <w:rsid w:val="00766B94"/>
    <w:rsid w:val="007C726A"/>
    <w:rsid w:val="007F6C42"/>
    <w:rsid w:val="007F787E"/>
    <w:rsid w:val="00812F86"/>
    <w:rsid w:val="008845BC"/>
    <w:rsid w:val="008872BF"/>
    <w:rsid w:val="008C2AB0"/>
    <w:rsid w:val="008C2F6E"/>
    <w:rsid w:val="009028E4"/>
    <w:rsid w:val="00951FC4"/>
    <w:rsid w:val="00971470"/>
    <w:rsid w:val="009C656F"/>
    <w:rsid w:val="009E7CF2"/>
    <w:rsid w:val="00A16630"/>
    <w:rsid w:val="00A928F6"/>
    <w:rsid w:val="00AF0A22"/>
    <w:rsid w:val="00B04B23"/>
    <w:rsid w:val="00B253FC"/>
    <w:rsid w:val="00B42B74"/>
    <w:rsid w:val="00B50A30"/>
    <w:rsid w:val="00B53BAC"/>
    <w:rsid w:val="00B715D3"/>
    <w:rsid w:val="00B73D99"/>
    <w:rsid w:val="00B85294"/>
    <w:rsid w:val="00BB25AD"/>
    <w:rsid w:val="00BC2060"/>
    <w:rsid w:val="00BD26F8"/>
    <w:rsid w:val="00C27FE0"/>
    <w:rsid w:val="00C37667"/>
    <w:rsid w:val="00C44671"/>
    <w:rsid w:val="00C64C46"/>
    <w:rsid w:val="00CB3A85"/>
    <w:rsid w:val="00CF7F84"/>
    <w:rsid w:val="00D33E15"/>
    <w:rsid w:val="00D700E3"/>
    <w:rsid w:val="00DA0431"/>
    <w:rsid w:val="00E54446"/>
    <w:rsid w:val="00E72FC1"/>
    <w:rsid w:val="00E851CA"/>
    <w:rsid w:val="00EB2BA4"/>
    <w:rsid w:val="00EF4518"/>
    <w:rsid w:val="00F047BF"/>
    <w:rsid w:val="00F14950"/>
    <w:rsid w:val="00F17566"/>
    <w:rsid w:val="00F5710F"/>
    <w:rsid w:val="00F93D6B"/>
    <w:rsid w:val="00F9687A"/>
    <w:rsid w:val="00FA4F97"/>
    <w:rsid w:val="00FC239A"/>
    <w:rsid w:val="00FD0F89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140E3C48-FEB2-4274-B00E-8450CFD4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  <w:sz w:val="20"/>
      <w:szCs w:val="20"/>
      <w:vertAlign w:val="superscript"/>
    </w:rPr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z4">
    <w:name w:val="WW8Num3z4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rFonts w:ascii="Tahoma" w:eastAsia="Times New Roman" w:hAnsi="Tahoma" w:cs="Tahoma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cs="Calibri"/>
      <w:sz w:val="24"/>
      <w:szCs w:val="24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ematkomentarzaZnak">
    <w:name w:val="Temat komentarza Znak"/>
    <w:rPr>
      <w:b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</w:rPr>
  </w:style>
  <w:style w:type="character" w:customStyle="1" w:styleId="WW8Num5z4">
    <w:name w:val="WW8Num5z4"/>
  </w:style>
  <w:style w:type="character" w:customStyle="1" w:styleId="WW8Num5z1">
    <w:name w:val="WW8Num5z1"/>
    <w:rPr>
      <w:rFonts w:ascii="Times New Roman" w:eastAsia="Times New Roman" w:hAnsi="Times New Roman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rPr>
      <w:rFonts w:ascii="Courier New" w:eastAsia="Courier New" w:hAnsi="Courier New"/>
    </w:rPr>
  </w:style>
  <w:style w:type="character" w:customStyle="1" w:styleId="WW8Num4z0">
    <w:name w:val="WW8Num4z0"/>
    <w:rPr>
      <w:sz w:val="20"/>
      <w:vertAlign w:val="superscript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22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</w:style>
  <w:style w:type="paragraph" w:customStyle="1" w:styleId="Standard">
    <w:name w:val="Standard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matkomentarza">
    <w:name w:val="annotation subject"/>
    <w:pPr>
      <w:widowControl w:val="0"/>
      <w:suppressAutoHyphens/>
    </w:pPr>
    <w:rPr>
      <w:rFonts w:ascii="Liberation Serif" w:eastAsia="NSimSun" w:hAnsi="Liberation Serif" w:cs="Mangal"/>
      <w:b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  <w:lang w:eastAsia="ar-SA"/>
    </w:rPr>
  </w:style>
  <w:style w:type="paragraph" w:customStyle="1" w:styleId="Style35">
    <w:name w:val="Style35"/>
    <w:basedOn w:val="Normalny"/>
    <w:rsid w:val="00522710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lang w:eastAsia="pl-PL"/>
    </w:rPr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50AD3DA2</Template>
  <TotalTime>0</TotalTime>
  <Pages>6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 OBJĘTOŚCIOWA</vt:lpstr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 OBJĘTOŚCIOWA</dc:title>
  <dc:creator>Piekarski Zbigniew</dc:creator>
  <cp:lastModifiedBy>Joanna Kotwica</cp:lastModifiedBy>
  <cp:revision>3</cp:revision>
  <cp:lastPrinted>2024-02-09T11:04:00Z</cp:lastPrinted>
  <dcterms:created xsi:type="dcterms:W3CDTF">2024-03-18T11:02:00Z</dcterms:created>
  <dcterms:modified xsi:type="dcterms:W3CDTF">2024-03-18T11:03:00Z</dcterms:modified>
</cp:coreProperties>
</file>