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6CFD" w14:textId="77777777" w:rsidR="008165C9" w:rsidRPr="00B63EA3" w:rsidRDefault="008165C9" w:rsidP="00B63EA3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r w:rsidRPr="00B63EA3">
        <w:rPr>
          <w:rFonts w:cstheme="minorHAnsi"/>
          <w:b/>
          <w:i/>
          <w:color w:val="000000" w:themeColor="text1"/>
          <w:sz w:val="28"/>
          <w:szCs w:val="28"/>
        </w:rPr>
        <w:t>„Dostawa, montaż, uruchomienie kompensatora mocy biernej w budynku biurowym Nadleśnictwa Łosie”</w:t>
      </w:r>
    </w:p>
    <w:p w14:paraId="376E1A59" w14:textId="77777777" w:rsidR="008165C9" w:rsidRPr="00B63EA3" w:rsidRDefault="008165C9" w:rsidP="008165C9">
      <w:pPr>
        <w:rPr>
          <w:rFonts w:cstheme="minorHAnsi"/>
        </w:rPr>
      </w:pPr>
      <w:r w:rsidRPr="00B63EA3">
        <w:rPr>
          <w:rFonts w:cstheme="minorHAnsi"/>
        </w:rPr>
        <w:t>Zamówienie obejmuje montaż urządzenia oraz następujące prace:</w:t>
      </w:r>
    </w:p>
    <w:p w14:paraId="15F5AC84" w14:textId="77777777" w:rsidR="008165C9" w:rsidRPr="008165C9" w:rsidRDefault="008165C9" w:rsidP="008165C9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Dostawa urządzeni</w:t>
      </w:r>
      <w:r w:rsidR="005464D3">
        <w:rPr>
          <w:color w:val="000000"/>
        </w:rPr>
        <w:t>a</w:t>
      </w:r>
      <w:r w:rsidRPr="008165C9">
        <w:rPr>
          <w:color w:val="000000"/>
        </w:rPr>
        <w:t>:</w:t>
      </w:r>
    </w:p>
    <w:p w14:paraId="0CE7F1D0" w14:textId="77777777" w:rsidR="005464D3" w:rsidRPr="0014756E" w:rsidRDefault="005464D3" w:rsidP="005464D3">
      <w:pPr>
        <w:pStyle w:val="Akapitzlist"/>
        <w:rPr>
          <w:rFonts w:cstheme="minorHAnsi"/>
          <w:b/>
          <w:color w:val="000000"/>
        </w:rPr>
      </w:pPr>
      <w:r w:rsidRPr="0014756E">
        <w:rPr>
          <w:rFonts w:cstheme="minorHAnsi"/>
          <w:b/>
          <w:color w:val="000000"/>
        </w:rPr>
        <w:t>Aktywny elektroniczny kompensator mocy biernej SVG 010 – SINEXCEL 10kVar:</w:t>
      </w:r>
    </w:p>
    <w:p w14:paraId="39347255" w14:textId="77777777" w:rsidR="0014756E" w:rsidRPr="0014756E" w:rsidRDefault="0014756E" w:rsidP="001475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756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Kompensator musi realizować następujące funkcje: </w:t>
      </w:r>
    </w:p>
    <w:p w14:paraId="2C130271" w14:textId="77777777" w:rsidR="0014756E" w:rsidRPr="0014756E" w:rsidRDefault="0014756E" w:rsidP="001475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756E">
        <w:rPr>
          <w:rFonts w:asciiTheme="minorHAnsi" w:hAnsiTheme="minorHAnsi" w:cstheme="minorHAnsi"/>
          <w:i/>
          <w:iCs/>
          <w:sz w:val="22"/>
          <w:szCs w:val="22"/>
        </w:rPr>
        <w:t xml:space="preserve">- nadążna, bezstopniowa kompensacja mocy biernej (indukcyjnej i pojemnościowej) w każdej fazie niezależnie w pełnym zakresie mocy, </w:t>
      </w:r>
    </w:p>
    <w:p w14:paraId="7051818A" w14:textId="77777777" w:rsidR="0014756E" w:rsidRPr="0014756E" w:rsidRDefault="0014756E" w:rsidP="001475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756E">
        <w:rPr>
          <w:rFonts w:asciiTheme="minorHAnsi" w:hAnsiTheme="minorHAnsi" w:cstheme="minorHAnsi"/>
          <w:i/>
          <w:iCs/>
          <w:sz w:val="22"/>
          <w:szCs w:val="22"/>
        </w:rPr>
        <w:t xml:space="preserve">- aktywna filtracja wyższych harmonicznych prądu, </w:t>
      </w:r>
    </w:p>
    <w:p w14:paraId="01E378D5" w14:textId="77777777" w:rsidR="0014756E" w:rsidRPr="0014756E" w:rsidRDefault="0014756E" w:rsidP="001475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756E">
        <w:rPr>
          <w:rFonts w:asciiTheme="minorHAnsi" w:hAnsiTheme="minorHAnsi" w:cstheme="minorHAnsi"/>
          <w:i/>
          <w:iCs/>
          <w:sz w:val="22"/>
          <w:szCs w:val="22"/>
        </w:rPr>
        <w:t xml:space="preserve">- symetryzacja obciążenia w sieci 3-fazowej i odciążenie przewodu zerowego, </w:t>
      </w:r>
    </w:p>
    <w:p w14:paraId="0E9F33DC" w14:textId="77777777" w:rsidR="0014756E" w:rsidRPr="0014756E" w:rsidRDefault="0014756E" w:rsidP="001475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756E">
        <w:rPr>
          <w:rFonts w:asciiTheme="minorHAnsi" w:hAnsiTheme="minorHAnsi" w:cstheme="minorHAnsi"/>
          <w:i/>
          <w:iCs/>
          <w:sz w:val="22"/>
          <w:szCs w:val="22"/>
        </w:rPr>
        <w:t xml:space="preserve">- redukcja migotania światła (flickera) do wartości 5-krotnie niższych niż bez SVG, </w:t>
      </w:r>
    </w:p>
    <w:p w14:paraId="0C954669" w14:textId="77777777" w:rsidR="0014756E" w:rsidRPr="0014756E" w:rsidRDefault="0014756E" w:rsidP="0014756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756E">
        <w:rPr>
          <w:rFonts w:asciiTheme="minorHAnsi" w:hAnsiTheme="minorHAnsi" w:cstheme="minorHAnsi"/>
          <w:i/>
          <w:iCs/>
          <w:sz w:val="22"/>
          <w:szCs w:val="22"/>
        </w:rPr>
        <w:t xml:space="preserve">- redukcja wahań napięcia, </w:t>
      </w:r>
    </w:p>
    <w:p w14:paraId="55BAD933" w14:textId="77777777" w:rsidR="0014756E" w:rsidRDefault="0014756E" w:rsidP="0014756E">
      <w:pPr>
        <w:spacing w:after="0" w:line="240" w:lineRule="auto"/>
        <w:jc w:val="both"/>
        <w:rPr>
          <w:rFonts w:cstheme="minorHAnsi"/>
          <w:i/>
          <w:iCs/>
        </w:rPr>
      </w:pPr>
      <w:r w:rsidRPr="0014756E">
        <w:rPr>
          <w:rFonts w:cstheme="minorHAnsi"/>
          <w:i/>
          <w:iCs/>
        </w:rPr>
        <w:t xml:space="preserve">- radykalne ograniczenie strat mocy w układzie zasilającym (w przewodach fazowych i zerowym, w transformatorach zasilających). </w:t>
      </w:r>
    </w:p>
    <w:p w14:paraId="7C2B560F" w14:textId="77777777" w:rsidR="0014756E" w:rsidRDefault="0014756E" w:rsidP="0014756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i/>
          <w:iCs/>
        </w:rPr>
        <w:t>- możliwość zmniejszenia obciążenia układu zasilającego oraz redukcji strat mocy.</w:t>
      </w:r>
    </w:p>
    <w:p w14:paraId="25918A2B" w14:textId="77777777" w:rsidR="0014756E" w:rsidRPr="0014756E" w:rsidRDefault="0014756E" w:rsidP="0014756E">
      <w:pPr>
        <w:spacing w:after="0" w:line="240" w:lineRule="auto"/>
        <w:rPr>
          <w:rFonts w:eastAsia="Times New Roman" w:cstheme="minorHAnsi"/>
          <w:lang w:eastAsia="pl-PL"/>
        </w:rPr>
      </w:pPr>
    </w:p>
    <w:p w14:paraId="5B6E4BE4" w14:textId="77777777" w:rsidR="005464D3" w:rsidRPr="005464D3" w:rsidRDefault="0014756E" w:rsidP="005464D3">
      <w:pPr>
        <w:spacing w:after="0"/>
        <w:rPr>
          <w:rFonts w:cstheme="minorHAnsi"/>
          <w:color w:val="000000"/>
        </w:rPr>
      </w:pPr>
      <w:r>
        <w:rPr>
          <w:rFonts w:eastAsia="Times New Roman" w:cstheme="minorHAnsi"/>
          <w:b/>
          <w:bCs/>
          <w:lang w:eastAsia="pl-PL"/>
        </w:rPr>
        <w:t>Dane techniczne:</w:t>
      </w:r>
    </w:p>
    <w:p w14:paraId="3162537A" w14:textId="77777777" w:rsidR="005464D3" w:rsidRPr="005464D3" w:rsidRDefault="005464D3" w:rsidP="005464D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zakres napięć i częstotliwości: 228V ~ 456V / 50/60HZ</w:t>
      </w:r>
      <w:r w:rsidRPr="005464D3">
        <w:rPr>
          <w:rFonts w:eastAsia="MS Gothic" w:cstheme="minorHAnsi"/>
          <w:lang w:eastAsia="pl-PL"/>
        </w:rPr>
        <w:t>（</w:t>
      </w:r>
      <w:r w:rsidRPr="005464D3">
        <w:rPr>
          <w:rFonts w:eastAsia="Times New Roman" w:cstheme="minorHAnsi"/>
          <w:lang w:eastAsia="pl-PL"/>
        </w:rPr>
        <w:t>zakres : 45Hz</w:t>
      </w:r>
      <w:r w:rsidRPr="005464D3">
        <w:rPr>
          <w:rFonts w:eastAsia="MS Gothic" w:cstheme="minorHAnsi"/>
          <w:lang w:eastAsia="pl-PL"/>
        </w:rPr>
        <w:t>～</w:t>
      </w:r>
      <w:r w:rsidRPr="005464D3">
        <w:rPr>
          <w:rFonts w:eastAsia="Times New Roman" w:cstheme="minorHAnsi"/>
          <w:lang w:eastAsia="pl-PL"/>
        </w:rPr>
        <w:t>62Hz),</w:t>
      </w:r>
    </w:p>
    <w:p w14:paraId="24294D82" w14:textId="77777777" w:rsidR="005464D3" w:rsidRPr="005464D3" w:rsidRDefault="005464D3" w:rsidP="005464D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kompensacja harmonicznych</w:t>
      </w:r>
      <w:r w:rsidR="00B63EA3">
        <w:rPr>
          <w:rFonts w:eastAsia="Times New Roman" w:cstheme="minorHAnsi"/>
          <w:lang w:eastAsia="pl-PL"/>
        </w:rPr>
        <w:t xml:space="preserve"> -</w:t>
      </w:r>
      <w:r w:rsidRPr="005464D3">
        <w:rPr>
          <w:rFonts w:eastAsia="Times New Roman" w:cstheme="minorHAnsi"/>
          <w:lang w:eastAsia="pl-PL"/>
        </w:rPr>
        <w:t xml:space="preserve"> Tak</w:t>
      </w:r>
    </w:p>
    <w:p w14:paraId="5F8F3410" w14:textId="77777777" w:rsidR="005464D3" w:rsidRPr="005464D3" w:rsidRDefault="005464D3" w:rsidP="005464D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harmoniczne kompensowane 3, 5, 7, 9, 11, 13</w:t>
      </w:r>
    </w:p>
    <w:p w14:paraId="13CD40BA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Symetryzacja obciążenia</w:t>
      </w:r>
      <w:r w:rsidR="00B63EA3">
        <w:rPr>
          <w:rFonts w:eastAsia="Times New Roman" w:cstheme="minorHAnsi"/>
          <w:lang w:eastAsia="pl-PL"/>
        </w:rPr>
        <w:t xml:space="preserve"> -</w:t>
      </w:r>
      <w:r w:rsidRPr="005464D3">
        <w:rPr>
          <w:rFonts w:eastAsia="Times New Roman" w:cstheme="minorHAnsi"/>
          <w:lang w:eastAsia="pl-PL"/>
        </w:rPr>
        <w:t xml:space="preserve"> Tak</w:t>
      </w:r>
    </w:p>
    <w:p w14:paraId="4438DD29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Typ sieci: 3- fazowa 3-przewodowa lub 4-przewodowa,</w:t>
      </w:r>
    </w:p>
    <w:p w14:paraId="54895392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Połączenie modułów: </w:t>
      </w:r>
      <w:r w:rsidRPr="005464D3">
        <w:rPr>
          <w:rFonts w:eastAsia="Times New Roman" w:cstheme="minorHAnsi"/>
          <w:lang w:eastAsia="pl-PL"/>
        </w:rPr>
        <w:br/>
        <w:t>- Nie limitowana liczba modułów pracująca równolegle,</w:t>
      </w:r>
      <w:r w:rsidRPr="005464D3">
        <w:rPr>
          <w:rFonts w:eastAsia="Times New Roman" w:cstheme="minorHAnsi"/>
          <w:lang w:eastAsia="pl-PL"/>
        </w:rPr>
        <w:br/>
        <w:t>- Moduły tej samej mocy lub różnej,</w:t>
      </w:r>
    </w:p>
    <w:p w14:paraId="3357F489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Zakres prądów CT: 150/5A ~ 30000/5A (Klasa ≤0,5),</w:t>
      </w:r>
    </w:p>
    <w:p w14:paraId="504D0635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Funkcje kompensatorów: Kompensacja mocy biernej oraz symetryzacja obciążenia,</w:t>
      </w:r>
    </w:p>
    <w:p w14:paraId="35F4024F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Maksymalna moc modułów: 30kVAr,</w:t>
      </w:r>
    </w:p>
    <w:p w14:paraId="6D096F7B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Czas odpowiedzi: &lt;5ms,</w:t>
      </w:r>
    </w:p>
    <w:p w14:paraId="1E06B946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Zakres współczynnika mocy: od -1 do +1,</w:t>
      </w:r>
    </w:p>
    <w:p w14:paraId="02FE6203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Algorytm sterowania: kompensacja chwilowej mocy biernej pojemnościowej i indukcyjnej,</w:t>
      </w:r>
    </w:p>
    <w:p w14:paraId="7402CDAD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Topologia sterowania: 3-poziomowa,</w:t>
      </w:r>
    </w:p>
    <w:p w14:paraId="2A9955B8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Tryby pracy (6 możliwości ustawień priorytetu pracy urządzenia dla kompensacji mocy biernej i symetryzacji obciążenia):</w:t>
      </w:r>
      <w:r w:rsidRPr="005464D3">
        <w:rPr>
          <w:rFonts w:eastAsia="Times New Roman" w:cstheme="minorHAnsi"/>
          <w:lang w:eastAsia="pl-PL"/>
        </w:rPr>
        <w:br/>
        <w:t>- Tylko kompensacja mocy biernej,</w:t>
      </w:r>
      <w:r w:rsidRPr="005464D3">
        <w:rPr>
          <w:rFonts w:eastAsia="Times New Roman" w:cstheme="minorHAnsi"/>
          <w:lang w:eastAsia="pl-PL"/>
        </w:rPr>
        <w:br/>
        <w:t>- Tylko symetryzacja obciążenia,</w:t>
      </w:r>
      <w:r w:rsidRPr="005464D3">
        <w:rPr>
          <w:rFonts w:eastAsia="Times New Roman" w:cstheme="minorHAnsi"/>
          <w:lang w:eastAsia="pl-PL"/>
        </w:rPr>
        <w:br/>
        <w:t>- Kompensacja mocy biernej + symetryzacja obciążenia,</w:t>
      </w:r>
      <w:r w:rsidRPr="005464D3">
        <w:rPr>
          <w:rFonts w:eastAsia="Times New Roman" w:cstheme="minorHAnsi"/>
          <w:lang w:eastAsia="pl-PL"/>
        </w:rPr>
        <w:br/>
        <w:t>- Symetryzacja obciążenia + kompensacja mocy biernej,</w:t>
      </w:r>
      <w:r w:rsidRPr="005464D3">
        <w:rPr>
          <w:rFonts w:eastAsia="Times New Roman" w:cstheme="minorHAnsi"/>
          <w:lang w:eastAsia="pl-PL"/>
        </w:rPr>
        <w:br/>
        <w:t>- Stała wartość kompensacji mocy biernej,</w:t>
      </w:r>
      <w:r w:rsidRPr="005464D3">
        <w:rPr>
          <w:rFonts w:eastAsia="Times New Roman" w:cstheme="minorHAnsi"/>
          <w:lang w:eastAsia="pl-PL"/>
        </w:rPr>
        <w:br/>
        <w:t>- Auto-aging,</w:t>
      </w:r>
    </w:p>
    <w:p w14:paraId="577A4597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Częstotliwość przełączeń: do 20kHz,</w:t>
      </w:r>
    </w:p>
    <w:p w14:paraId="08CC9238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Sprawność: &gt;=97%,</w:t>
      </w:r>
    </w:p>
    <w:p w14:paraId="2B121216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Strata mocy: &lt;3%,</w:t>
      </w:r>
    </w:p>
    <w:p w14:paraId="6F4CA21E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Maksymalna wartość THDu: 15%,</w:t>
      </w:r>
    </w:p>
    <w:p w14:paraId="69F447B7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Zabezpieczenia:</w:t>
      </w:r>
      <w:r w:rsidRPr="005464D3">
        <w:rPr>
          <w:rFonts w:eastAsia="Times New Roman" w:cstheme="minorHAnsi"/>
          <w:lang w:eastAsia="pl-PL"/>
        </w:rPr>
        <w:br/>
        <w:t xml:space="preserve">- zabezpieczenie nad / pod napięciowe, </w:t>
      </w:r>
      <w:r w:rsidRPr="005464D3">
        <w:rPr>
          <w:rFonts w:eastAsia="Times New Roman" w:cstheme="minorHAnsi"/>
          <w:lang w:eastAsia="pl-PL"/>
        </w:rPr>
        <w:br/>
        <w:t xml:space="preserve">- zabezpieczenie zwarciowe, </w:t>
      </w:r>
      <w:r w:rsidRPr="005464D3">
        <w:rPr>
          <w:rFonts w:eastAsia="Times New Roman" w:cstheme="minorHAnsi"/>
          <w:lang w:eastAsia="pl-PL"/>
        </w:rPr>
        <w:br/>
        <w:t xml:space="preserve">- zabezpieczenie przed odwróceniem mostka falownika, </w:t>
      </w:r>
      <w:r w:rsidRPr="005464D3">
        <w:rPr>
          <w:rFonts w:eastAsia="Times New Roman" w:cstheme="minorHAnsi"/>
          <w:lang w:eastAsia="pl-PL"/>
        </w:rPr>
        <w:br/>
        <w:t>- zabezpieczenie przed nadmierną kompensacją,</w:t>
      </w:r>
    </w:p>
    <w:p w14:paraId="5B702A32" w14:textId="77777777" w:rsidR="005464D3" w:rsidRPr="005464D3" w:rsidRDefault="005464D3" w:rsidP="005464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lastRenderedPageBreak/>
        <w:t>Złącza komunikacyjne: złącze RS485 i RJ45 Ethernet,</w:t>
      </w:r>
    </w:p>
    <w:p w14:paraId="790F9D86" w14:textId="77777777" w:rsidR="0014756E" w:rsidRDefault="005464D3" w:rsidP="001475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Protokoły komunikacyjne: Modbus RTU, Modbus TCP/IP,</w:t>
      </w:r>
    </w:p>
    <w:p w14:paraId="671B03F4" w14:textId="77777777" w:rsidR="005464D3" w:rsidRPr="005464D3" w:rsidRDefault="005464D3" w:rsidP="0014756E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Poziom hałasu: &lt;65dB,</w:t>
      </w:r>
    </w:p>
    <w:p w14:paraId="1273A599" w14:textId="77777777" w:rsidR="0014756E" w:rsidRDefault="005464D3" w:rsidP="0014756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pl-PL"/>
        </w:rPr>
      </w:pPr>
      <w:r w:rsidRPr="005464D3">
        <w:rPr>
          <w:rFonts w:eastAsia="Times New Roman" w:cstheme="minorHAnsi"/>
          <w:lang w:eastAsia="pl-PL"/>
        </w:rPr>
        <w:t>Ochrona PCBA: Powłoka konformalna,</w:t>
      </w:r>
    </w:p>
    <w:p w14:paraId="79A49F04" w14:textId="77777777" w:rsidR="005464D3" w:rsidRPr="005464D3" w:rsidRDefault="0014756E" w:rsidP="0014756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pl-PL"/>
        </w:rPr>
      </w:pPr>
      <w:r w:rsidRPr="0014756E">
        <w:rPr>
          <w:rFonts w:eastAsia="Times New Roman" w:cstheme="minorHAnsi"/>
          <w:lang w:eastAsia="pl-PL"/>
        </w:rPr>
        <w:t>Spełniać n</w:t>
      </w:r>
      <w:r w:rsidR="005464D3" w:rsidRPr="005464D3">
        <w:rPr>
          <w:rFonts w:eastAsia="Times New Roman" w:cstheme="minorHAnsi"/>
          <w:lang w:eastAsia="pl-PL"/>
        </w:rPr>
        <w:t>ormy: UL 508 | UL 508 C | EN 61000-6-2 | EN 61000-6-4 | EN 50178: 1998 | CSA C22.2 No 14,</w:t>
      </w:r>
    </w:p>
    <w:p w14:paraId="3B7564C0" w14:textId="77777777" w:rsidR="00B63EA3" w:rsidRPr="0014756E" w:rsidRDefault="0014756E" w:rsidP="00B63E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Posiadać c</w:t>
      </w:r>
      <w:r w:rsidR="005464D3" w:rsidRPr="005464D3">
        <w:rPr>
          <w:rFonts w:eastAsia="Times New Roman" w:cstheme="minorHAnsi"/>
          <w:lang w:eastAsia="pl-PL"/>
        </w:rPr>
        <w:t xml:space="preserve">ertyfikaty zgodności: CCS | DNV | RINA | BV |LR| UL </w:t>
      </w:r>
      <w:r>
        <w:rPr>
          <w:rFonts w:eastAsia="Times New Roman" w:cstheme="minorHAnsi"/>
          <w:lang w:eastAsia="pl-PL"/>
        </w:rPr>
        <w:t>| CETLUS (CSA C22.2,UL508) | CE.</w:t>
      </w:r>
    </w:p>
    <w:p w14:paraId="21A6DCD0" w14:textId="77777777" w:rsidR="005464D3" w:rsidRPr="005464D3" w:rsidRDefault="005464D3" w:rsidP="005464D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14756E">
        <w:rPr>
          <w:rFonts w:eastAsia="Times New Roman" w:cstheme="minorHAnsi"/>
          <w:b/>
          <w:u w:val="single"/>
          <w:lang w:eastAsia="pl-PL"/>
        </w:rPr>
        <w:t>Zamawiający dopuszcza montaż innego urządzenia o ww. parametrach</w:t>
      </w:r>
      <w:r w:rsidR="0014756E">
        <w:rPr>
          <w:rFonts w:eastAsia="Times New Roman" w:cstheme="minorHAnsi"/>
          <w:b/>
          <w:lang w:eastAsia="pl-PL"/>
        </w:rPr>
        <w:t>.</w:t>
      </w:r>
      <w:r w:rsidRPr="005464D3">
        <w:rPr>
          <w:rFonts w:eastAsia="Times New Roman" w:cstheme="minorHAnsi"/>
          <w:b/>
          <w:lang w:eastAsia="pl-PL"/>
        </w:rPr>
        <w:t xml:space="preserve"> </w:t>
      </w:r>
    </w:p>
    <w:p w14:paraId="1971E0D8" w14:textId="77777777" w:rsidR="008165C9" w:rsidRPr="008165C9" w:rsidRDefault="008165C9" w:rsidP="008165C9">
      <w:pPr>
        <w:pStyle w:val="Akapitzlist"/>
        <w:rPr>
          <w:color w:val="000000"/>
        </w:rPr>
      </w:pPr>
    </w:p>
    <w:p w14:paraId="40CB8AAC" w14:textId="77777777" w:rsidR="008165C9" w:rsidRDefault="008165C9" w:rsidP="00B63EA3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Montaż urządzenia:</w:t>
      </w:r>
    </w:p>
    <w:p w14:paraId="5B93B7E8" w14:textId="77777777" w:rsidR="008165C9" w:rsidRDefault="008165C9" w:rsidP="0014756E">
      <w:pPr>
        <w:pStyle w:val="Akapitzlist"/>
        <w:numPr>
          <w:ilvl w:val="0"/>
          <w:numId w:val="2"/>
        </w:numPr>
        <w:ind w:left="709" w:hanging="283"/>
        <w:jc w:val="both"/>
        <w:rPr>
          <w:color w:val="000000"/>
        </w:rPr>
      </w:pPr>
      <w:r>
        <w:rPr>
          <w:color w:val="000000"/>
        </w:rPr>
        <w:t>poprowadzenie okablowania od głównej rozdzielni elektrycznej do wewnątrz budynku</w:t>
      </w:r>
      <w:r w:rsidR="005464D3">
        <w:rPr>
          <w:color w:val="000000"/>
        </w:rPr>
        <w:t xml:space="preserve"> w róże osłonowej w kolorze zbliżonym do elewacji (brąz)</w:t>
      </w:r>
      <w:r w:rsidR="00B63EA3">
        <w:rPr>
          <w:color w:val="000000"/>
        </w:rPr>
        <w:t xml:space="preserve"> – dł. 2,5 mb,</w:t>
      </w:r>
    </w:p>
    <w:p w14:paraId="4D032DCD" w14:textId="77777777" w:rsidR="008165C9" w:rsidRDefault="008165C9" w:rsidP="0014756E">
      <w:pPr>
        <w:pStyle w:val="Akapitzlist"/>
        <w:numPr>
          <w:ilvl w:val="0"/>
          <w:numId w:val="2"/>
        </w:numPr>
        <w:ind w:left="709" w:hanging="283"/>
        <w:jc w:val="both"/>
        <w:rPr>
          <w:color w:val="000000"/>
        </w:rPr>
      </w:pPr>
      <w:r>
        <w:rPr>
          <w:color w:val="000000"/>
        </w:rPr>
        <w:t xml:space="preserve">przejście przez ścianę budynku (konstrukcja: drewno knstrukcyjne gr. ok 20 cm + zabudowa z płyt </w:t>
      </w:r>
      <w:r w:rsidR="00B63EA3">
        <w:rPr>
          <w:color w:val="000000"/>
        </w:rPr>
        <w:t>GK z dociepleniem gr. do</w:t>
      </w:r>
      <w:r>
        <w:rPr>
          <w:color w:val="000000"/>
        </w:rPr>
        <w:t xml:space="preserve"> 10 cm),</w:t>
      </w:r>
    </w:p>
    <w:p w14:paraId="0E00E83E" w14:textId="77777777" w:rsidR="008165C9" w:rsidRPr="008165C9" w:rsidRDefault="008165C9" w:rsidP="0014756E">
      <w:pPr>
        <w:pStyle w:val="Akapitzlist"/>
        <w:numPr>
          <w:ilvl w:val="0"/>
          <w:numId w:val="2"/>
        </w:numPr>
        <w:ind w:left="709" w:hanging="283"/>
        <w:jc w:val="both"/>
        <w:rPr>
          <w:color w:val="000000"/>
        </w:rPr>
      </w:pPr>
      <w:r>
        <w:rPr>
          <w:color w:val="000000"/>
        </w:rPr>
        <w:t>montaż urządzenia na ścianie we</w:t>
      </w:r>
      <w:r w:rsidR="005464D3">
        <w:rPr>
          <w:color w:val="000000"/>
        </w:rPr>
        <w:t>w</w:t>
      </w:r>
      <w:r>
        <w:rPr>
          <w:color w:val="000000"/>
        </w:rPr>
        <w:t>nątrz budynku</w:t>
      </w:r>
      <w:r w:rsidR="005464D3">
        <w:rPr>
          <w:color w:val="000000"/>
        </w:rPr>
        <w:t>.</w:t>
      </w:r>
    </w:p>
    <w:p w14:paraId="53DA5309" w14:textId="77777777" w:rsidR="008165C9" w:rsidRPr="008165C9" w:rsidRDefault="008165C9" w:rsidP="00B63EA3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Uruchomienie i konfiguracja urządzenia,</w:t>
      </w:r>
    </w:p>
    <w:p w14:paraId="79B0692A" w14:textId="77777777" w:rsidR="008165C9" w:rsidRPr="00B63EA3" w:rsidRDefault="008165C9" w:rsidP="00B63EA3">
      <w:pPr>
        <w:pStyle w:val="Akapitzlist"/>
        <w:numPr>
          <w:ilvl w:val="0"/>
          <w:numId w:val="1"/>
        </w:numPr>
        <w:jc w:val="both"/>
        <w:rPr>
          <w:rStyle w:val="Hipercze"/>
          <w:color w:val="000000"/>
          <w:u w:val="none"/>
        </w:rPr>
      </w:pPr>
      <w:r w:rsidRPr="008165C9">
        <w:rPr>
          <w:rStyle w:val="Hipercze"/>
          <w:color w:val="000000"/>
          <w:u w:val="none"/>
        </w:rPr>
        <w:t>Utylizacja pozostałości po montażu, prace porządkowe</w:t>
      </w:r>
      <w:r>
        <w:rPr>
          <w:rStyle w:val="Hipercze"/>
          <w:color w:val="000000"/>
          <w:u w:val="none"/>
        </w:rPr>
        <w:t>.</w:t>
      </w:r>
    </w:p>
    <w:p w14:paraId="7FBF7BD8" w14:textId="77777777" w:rsidR="00B63EA3" w:rsidRDefault="00B63EA3" w:rsidP="00B63EA3">
      <w:pPr>
        <w:jc w:val="both"/>
        <w:rPr>
          <w:rStyle w:val="Hipercze"/>
          <w:color w:val="000000"/>
          <w:u w:val="none"/>
        </w:rPr>
      </w:pPr>
    </w:p>
    <w:p w14:paraId="6FFF1CF4" w14:textId="77777777" w:rsidR="00B63EA3" w:rsidRDefault="00B63EA3" w:rsidP="00B63EA3">
      <w:pPr>
        <w:jc w:val="both"/>
        <w:rPr>
          <w:rStyle w:val="Hipercze"/>
          <w:color w:val="000000"/>
          <w:u w:val="none"/>
        </w:rPr>
      </w:pPr>
    </w:p>
    <w:p w14:paraId="2906B6DA" w14:textId="3E335831" w:rsidR="00B63EA3" w:rsidRPr="00B63EA3" w:rsidRDefault="00B63EA3" w:rsidP="00B63EA3">
      <w:pPr>
        <w:jc w:val="both"/>
        <w:rPr>
          <w:rStyle w:val="Hipercze"/>
          <w:b/>
          <w:color w:val="000000"/>
          <w:sz w:val="28"/>
          <w:szCs w:val="28"/>
          <w:u w:val="none"/>
        </w:rPr>
      </w:pPr>
      <w:r w:rsidRPr="00B63EA3">
        <w:rPr>
          <w:rStyle w:val="Hipercze"/>
          <w:b/>
          <w:color w:val="000000"/>
          <w:sz w:val="28"/>
          <w:szCs w:val="28"/>
          <w:u w:val="none"/>
        </w:rPr>
        <w:t xml:space="preserve">Termin realizacji: </w:t>
      </w:r>
      <w:r w:rsidR="00593C7D">
        <w:rPr>
          <w:rStyle w:val="Hipercze"/>
          <w:b/>
          <w:color w:val="000000"/>
          <w:sz w:val="28"/>
          <w:szCs w:val="28"/>
          <w:u w:val="none"/>
        </w:rPr>
        <w:t>31</w:t>
      </w:r>
      <w:r w:rsidRPr="00B63EA3">
        <w:rPr>
          <w:rStyle w:val="Hipercze"/>
          <w:b/>
          <w:color w:val="000000"/>
          <w:sz w:val="28"/>
          <w:szCs w:val="28"/>
          <w:u w:val="none"/>
        </w:rPr>
        <w:t>.12.2024 r.</w:t>
      </w:r>
    </w:p>
    <w:p w14:paraId="2CB41316" w14:textId="77777777" w:rsidR="008165C9" w:rsidRPr="008165C9" w:rsidRDefault="008165C9" w:rsidP="008165C9">
      <w:pPr>
        <w:rPr>
          <w:color w:val="000000"/>
        </w:rPr>
      </w:pPr>
    </w:p>
    <w:p w14:paraId="134D057E" w14:textId="77777777" w:rsidR="008165C9" w:rsidRDefault="008165C9" w:rsidP="008165C9">
      <w:pPr>
        <w:jc w:val="center"/>
        <w:rPr>
          <w:rFonts w:ascii="Arial" w:hAnsi="Arial" w:cs="Arial"/>
          <w:b/>
          <w:i/>
          <w:color w:val="000000" w:themeColor="text1"/>
        </w:rPr>
      </w:pPr>
    </w:p>
    <w:p w14:paraId="0CD8713B" w14:textId="77777777" w:rsidR="008165C9" w:rsidRDefault="008165C9" w:rsidP="008165C9">
      <w:pPr>
        <w:rPr>
          <w:rFonts w:ascii="Arial" w:hAnsi="Arial" w:cs="Arial"/>
          <w:b/>
          <w:i/>
          <w:color w:val="000000" w:themeColor="text1"/>
        </w:rPr>
      </w:pPr>
    </w:p>
    <w:p w14:paraId="667C93F9" w14:textId="77777777" w:rsidR="008165C9" w:rsidRDefault="008165C9" w:rsidP="008165C9"/>
    <w:sectPr w:rsidR="0081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BD0"/>
    <w:multiLevelType w:val="multilevel"/>
    <w:tmpl w:val="22F6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05E68"/>
    <w:multiLevelType w:val="multilevel"/>
    <w:tmpl w:val="F74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05DD2"/>
    <w:multiLevelType w:val="hybridMultilevel"/>
    <w:tmpl w:val="0A3AB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65723"/>
    <w:multiLevelType w:val="hybridMultilevel"/>
    <w:tmpl w:val="32B83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860F1A"/>
    <w:multiLevelType w:val="hybridMultilevel"/>
    <w:tmpl w:val="F462D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D008D8"/>
    <w:multiLevelType w:val="hybridMultilevel"/>
    <w:tmpl w:val="0FDA7A74"/>
    <w:lvl w:ilvl="0" w:tplc="CE5C4C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3435">
    <w:abstractNumId w:val="5"/>
  </w:num>
  <w:num w:numId="2" w16cid:durableId="640311030">
    <w:abstractNumId w:val="3"/>
  </w:num>
  <w:num w:numId="3" w16cid:durableId="1094326486">
    <w:abstractNumId w:val="2"/>
  </w:num>
  <w:num w:numId="4" w16cid:durableId="1216047979">
    <w:abstractNumId w:val="4"/>
  </w:num>
  <w:num w:numId="5" w16cid:durableId="733234931">
    <w:abstractNumId w:val="1"/>
  </w:num>
  <w:num w:numId="6" w16cid:durableId="95980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B8"/>
    <w:rsid w:val="0014756E"/>
    <w:rsid w:val="003518AC"/>
    <w:rsid w:val="0039073A"/>
    <w:rsid w:val="005464D3"/>
    <w:rsid w:val="00593C7D"/>
    <w:rsid w:val="008165C9"/>
    <w:rsid w:val="00B63EA3"/>
    <w:rsid w:val="00C572CF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5892"/>
  <w15:chartTrackingRefBased/>
  <w15:docId w15:val="{4F9548F2-4DB7-40A7-9275-1CF8693F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C9"/>
    <w:pPr>
      <w:ind w:left="720"/>
      <w:contextualSpacing/>
    </w:pPr>
  </w:style>
  <w:style w:type="character" w:styleId="Hipercze">
    <w:name w:val="Hyperlink"/>
    <w:rsid w:val="008165C9"/>
    <w:rPr>
      <w:color w:val="000080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63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14D9-0C43-4C1F-A7B5-241B1889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Gruca (Nadl. Łosie)</dc:creator>
  <cp:keywords/>
  <dc:description/>
  <cp:lastModifiedBy>Nadleśnictwo Łosie</cp:lastModifiedBy>
  <cp:revision>3</cp:revision>
  <dcterms:created xsi:type="dcterms:W3CDTF">2024-12-10T10:23:00Z</dcterms:created>
  <dcterms:modified xsi:type="dcterms:W3CDTF">2024-12-10T10:25:00Z</dcterms:modified>
</cp:coreProperties>
</file>