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599" w:rsidRDefault="00EA1599" w:rsidP="00EA1599">
      <w:pPr>
        <w:jc w:val="right"/>
        <w:rPr>
          <w:rFonts w:cstheme="minorHAnsi"/>
        </w:rPr>
      </w:pPr>
      <w:r>
        <w:rPr>
          <w:rFonts w:cstheme="minorHAnsi"/>
        </w:rPr>
        <w:t>Załącznik nr 10</w:t>
      </w:r>
    </w:p>
    <w:p w:rsidR="00EA1599" w:rsidRPr="00EA1599" w:rsidRDefault="00EA1599" w:rsidP="00EA1599">
      <w:pPr>
        <w:jc w:val="center"/>
        <w:rPr>
          <w:rFonts w:cstheme="minorHAnsi"/>
          <w:b/>
        </w:rPr>
      </w:pPr>
      <w:r w:rsidRPr="00EA1599">
        <w:rPr>
          <w:rFonts w:cstheme="minorHAnsi"/>
          <w:b/>
        </w:rPr>
        <w:t>INFORMACJE UZUPEŁNIAJĄCE</w:t>
      </w:r>
    </w:p>
    <w:p w:rsidR="000D2833" w:rsidRPr="00EA1599" w:rsidRDefault="00EA1599" w:rsidP="00EA1599">
      <w:pPr>
        <w:pStyle w:val="Akapitzlist"/>
        <w:numPr>
          <w:ilvl w:val="0"/>
          <w:numId w:val="9"/>
        </w:numPr>
      </w:pPr>
      <w:r w:rsidRPr="00EA1599">
        <w:rPr>
          <w:rFonts w:cstheme="minorHAnsi"/>
        </w:rPr>
        <w:t xml:space="preserve">W ofercie należy uwzględnić koszt dostawy i montażu 7 sztuk budek lęgowych dla ptaków.  </w:t>
      </w:r>
    </w:p>
    <w:p w:rsidR="0073563D" w:rsidRPr="009A0BA3" w:rsidRDefault="0073563D" w:rsidP="00EA1599">
      <w:pPr>
        <w:pStyle w:val="Akapitzlist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EA1599">
        <w:rPr>
          <w:sz w:val="24"/>
          <w:szCs w:val="24"/>
        </w:rPr>
        <w:t xml:space="preserve">Wskazane w dokumentach znaki towarowe, nazwy własne, itp. – stanowią wyłącznie przykład, wzorzec jakościowy, funkcjonalny, techniczny i technologiczny dot. przedmiotu zamówienia. We wszystkich przypadkach, w których ze względu na specyfikacje przedmiotu zamówienia wskazano pochodzenia, nazwy materiałów, urządzeń, oprogramowania, systemów lub ich pochodzenie, dopuszcza się stosowanie materiałów, urządzeń, oprogramowania, systemów równoważnych, tj. wszelkie wymienione z nazwy materiały, urządzenia lub oprogramowanie, systemy użyte w przekazanej przez Zamawiającego dokumentacji lub ich pochodzenie, służą wyłącznie określeniu standardu i mogą być zastąpione innymi o nie gorszych parametrach technicznych, użytkowych, jakościowych, funkcjonalnych i walorach estetycznych, przy uwzględnieniu prawidłowej współpracy z pozostałymi materiałami, urządzeniami programami. Pojęcie równoważności znajduje również zastosowanie w przypadku, gdy Zamawiający opisał przedmiot zamówienia za pomocą norm, aprobat, specyfikacji technicznych i systemów odniesienia. Użyte w dokumentacji nazwy, które wskazują lub mogłyby kojarzyć się z producentem lub firmą, nie mają na celu preferowanie rozwiązań danego producenta lecz wskazanie na rozwiązanie, które powinien posiadać cechy techniczne, technologiczne nie gorsze od podanych w dokumentacji technicznej. Zamawiający w przypadku ofert zawierających rozwiązania równoważne będzie je weryfikować pod względem spełniania wymogów poszczególnych pozycji wymagań technicznych zawartych w SWZ. Wykonawca obowiązany jest udowodnić </w:t>
      </w:r>
      <w:r w:rsidRPr="00EA1599">
        <w:rPr>
          <w:sz w:val="24"/>
          <w:szCs w:val="24"/>
          <w:u w:val="single"/>
        </w:rPr>
        <w:t xml:space="preserve">w ofercie </w:t>
      </w:r>
      <w:r w:rsidRPr="00EA1599">
        <w:rPr>
          <w:sz w:val="24"/>
          <w:szCs w:val="24"/>
        </w:rPr>
        <w:t xml:space="preserve">równoważność oferowanych urządzeń, materiałów lub systemów. Złożone wyżej wskazane dokumenty będą podlegały ocenie przez autora dokumentacji projektowej, który sporządzi stosowną opinię. Opinia negatywna będzie podstawą do podjęcia przez </w:t>
      </w:r>
      <w:r w:rsidRPr="009A0BA3">
        <w:rPr>
          <w:sz w:val="24"/>
          <w:szCs w:val="24"/>
        </w:rPr>
        <w:t>Zamawiającego decyzji o odrzuceniu oferty z powodu ,,</w:t>
      </w:r>
      <w:proofErr w:type="spellStart"/>
      <w:r w:rsidRPr="009A0BA3">
        <w:rPr>
          <w:sz w:val="24"/>
          <w:szCs w:val="24"/>
        </w:rPr>
        <w:t>nierównoważności</w:t>
      </w:r>
      <w:proofErr w:type="spellEnd"/>
      <w:r w:rsidRPr="009A0BA3">
        <w:rPr>
          <w:sz w:val="24"/>
          <w:szCs w:val="24"/>
        </w:rPr>
        <w:t xml:space="preserve">’’ zaproponowanych ,,zamienników’’. </w:t>
      </w:r>
    </w:p>
    <w:p w:rsidR="009A0BA3" w:rsidRPr="009A0BA3" w:rsidRDefault="009A0BA3" w:rsidP="00EA1599">
      <w:pPr>
        <w:pStyle w:val="Akapitzlist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9A0BA3">
        <w:t>N</w:t>
      </w:r>
      <w:r w:rsidRPr="009A0BA3">
        <w:t>ależy wycenić czujniki do pomiaru ugięć konstrukcji.</w:t>
      </w:r>
    </w:p>
    <w:p w:rsidR="009A0BA3" w:rsidRPr="009A0BA3" w:rsidRDefault="009A0BA3" w:rsidP="009A0BA3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9A0BA3">
        <w:rPr>
          <w:sz w:val="24"/>
          <w:szCs w:val="24"/>
        </w:rPr>
        <w:t xml:space="preserve">W przypadku, gdy technologia wykonania prac przez wykonawcę będzie wymagała demontażu i ponownego montażu elementów wyposażenia </w:t>
      </w:r>
      <w:r>
        <w:rPr>
          <w:sz w:val="24"/>
          <w:szCs w:val="24"/>
        </w:rPr>
        <w:t>s</w:t>
      </w:r>
      <w:r w:rsidRPr="009A0BA3">
        <w:rPr>
          <w:sz w:val="24"/>
          <w:szCs w:val="24"/>
        </w:rPr>
        <w:t>ali należy je uwzględnić w ofercie.</w:t>
      </w:r>
    </w:p>
    <w:p w:rsidR="00512811" w:rsidRDefault="009A0BA3" w:rsidP="004D40B8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9A0BA3">
        <w:rPr>
          <w:sz w:val="24"/>
          <w:szCs w:val="24"/>
        </w:rPr>
        <w:t>Kominy powiązane ze ścianą galerii należy zachować, zgodnie z rysunkiem. W przypadku konieczności rozbiórki całości kominów podczas rozbiórki ściany galerii należy kominy te wtórnie odtworzyć zgodnie ze stanem istniejącym. Koszty ewentualnego odtworzenia komin</w:t>
      </w:r>
      <w:r w:rsidR="004D40B8">
        <w:rPr>
          <w:sz w:val="24"/>
          <w:szCs w:val="24"/>
        </w:rPr>
        <w:t>ów należy przewidzieć w ofercie</w:t>
      </w:r>
    </w:p>
    <w:p w:rsidR="004D40B8" w:rsidRPr="004D40B8" w:rsidRDefault="004D40B8" w:rsidP="004D40B8">
      <w:pPr>
        <w:pStyle w:val="Akapitzlist"/>
        <w:jc w:val="both"/>
        <w:rPr>
          <w:sz w:val="24"/>
          <w:szCs w:val="24"/>
        </w:rPr>
      </w:pPr>
      <w:bookmarkStart w:id="0" w:name="_GoBack"/>
      <w:bookmarkEnd w:id="0"/>
    </w:p>
    <w:p w:rsidR="004F3DF7" w:rsidRPr="00EA1599" w:rsidRDefault="004F3DF7" w:rsidP="00EA1599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EA1599">
        <w:rPr>
          <w:rFonts w:cstheme="minorHAnsi"/>
          <w:color w:val="000000"/>
        </w:rPr>
        <w:t xml:space="preserve">Opis paramentów równoważnych: </w:t>
      </w:r>
    </w:p>
    <w:p w:rsidR="008A53F4" w:rsidRPr="008A53F4" w:rsidRDefault="00512811" w:rsidP="008A53F4">
      <w:pPr>
        <w:rPr>
          <w:rFonts w:cstheme="minorHAnsi"/>
          <w:u w:val="single"/>
        </w:rPr>
      </w:pPr>
      <w:r w:rsidRPr="005C796C">
        <w:rPr>
          <w:rFonts w:cstheme="minorHAnsi"/>
          <w:u w:val="single"/>
        </w:rPr>
        <w:t>Branża elektryczna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4"/>
        <w:gridCol w:w="3235"/>
        <w:gridCol w:w="5333"/>
      </w:tblGrid>
      <w:tr w:rsidR="008A53F4" w:rsidRPr="00A26C41" w:rsidTr="008A53F4">
        <w:tc>
          <w:tcPr>
            <w:tcW w:w="494" w:type="dxa"/>
            <w:vAlign w:val="center"/>
          </w:tcPr>
          <w:p w:rsidR="008A53F4" w:rsidRPr="00A26C41" w:rsidRDefault="008A53F4" w:rsidP="00F7384D">
            <w:pPr>
              <w:jc w:val="center"/>
              <w:rPr>
                <w:rFonts w:cstheme="minorHAnsi"/>
                <w:color w:val="000000"/>
              </w:rPr>
            </w:pPr>
            <w:r w:rsidRPr="00A26C41">
              <w:rPr>
                <w:rFonts w:cstheme="minorHAnsi"/>
                <w:color w:val="000000"/>
              </w:rPr>
              <w:t>l.p.</w:t>
            </w:r>
          </w:p>
        </w:tc>
        <w:tc>
          <w:tcPr>
            <w:tcW w:w="3235" w:type="dxa"/>
            <w:vAlign w:val="center"/>
          </w:tcPr>
          <w:p w:rsidR="008A53F4" w:rsidRPr="00A26C41" w:rsidRDefault="008A53F4" w:rsidP="00F7384D">
            <w:pPr>
              <w:rPr>
                <w:rFonts w:cstheme="minorHAnsi"/>
                <w:color w:val="000000"/>
              </w:rPr>
            </w:pPr>
            <w:r w:rsidRPr="00A26C41">
              <w:rPr>
                <w:rFonts w:cstheme="minorHAnsi"/>
                <w:color w:val="000000"/>
              </w:rPr>
              <w:t>przedmiot zamówienia określony w dokumentacji projektowej</w:t>
            </w:r>
          </w:p>
        </w:tc>
        <w:tc>
          <w:tcPr>
            <w:tcW w:w="5333" w:type="dxa"/>
            <w:vAlign w:val="center"/>
          </w:tcPr>
          <w:p w:rsidR="008A53F4" w:rsidRPr="00A26C41" w:rsidRDefault="008A53F4" w:rsidP="00F7384D">
            <w:pPr>
              <w:rPr>
                <w:rFonts w:cstheme="minorHAnsi"/>
                <w:color w:val="000000"/>
              </w:rPr>
            </w:pPr>
            <w:r w:rsidRPr="00A26C41">
              <w:rPr>
                <w:rFonts w:cstheme="minorHAnsi"/>
                <w:color w:val="000000"/>
              </w:rPr>
              <w:t xml:space="preserve">Opis paramentów równoważnych: </w:t>
            </w:r>
          </w:p>
        </w:tc>
      </w:tr>
      <w:tr w:rsidR="008A53F4" w:rsidRPr="00A26C41" w:rsidTr="008A53F4">
        <w:tc>
          <w:tcPr>
            <w:tcW w:w="494" w:type="dxa"/>
          </w:tcPr>
          <w:p w:rsidR="008A53F4" w:rsidRPr="008A53F4" w:rsidRDefault="008A53F4" w:rsidP="00F7384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A53F4">
              <w:rPr>
                <w:rFonts w:cstheme="minorHAnsi"/>
              </w:rPr>
              <w:t>1</w:t>
            </w:r>
          </w:p>
        </w:tc>
        <w:tc>
          <w:tcPr>
            <w:tcW w:w="3235" w:type="dxa"/>
          </w:tcPr>
          <w:p w:rsidR="008A53F4" w:rsidRPr="00A26C41" w:rsidRDefault="008A53F4" w:rsidP="00F7384D">
            <w:pPr>
              <w:rPr>
                <w:rFonts w:cstheme="minorHAnsi"/>
              </w:rPr>
            </w:pPr>
            <w:r>
              <w:rPr>
                <w:rFonts w:eastAsia="Times New Roman"/>
              </w:rPr>
              <w:t>konstrukcja pod panele fotowoltaiczne IROC </w:t>
            </w:r>
          </w:p>
        </w:tc>
        <w:tc>
          <w:tcPr>
            <w:tcW w:w="5333" w:type="dxa"/>
          </w:tcPr>
          <w:p w:rsidR="008A53F4" w:rsidRPr="00A26C41" w:rsidRDefault="008A53F4" w:rsidP="00F7384D">
            <w:pPr>
              <w:contextualSpacing/>
              <w:rPr>
                <w:rFonts w:cstheme="minorHAnsi"/>
                <w:color w:val="FF0000"/>
              </w:rPr>
            </w:pPr>
            <w:r>
              <w:rPr>
                <w:rFonts w:eastAsia="Times New Roman"/>
              </w:rPr>
              <w:t>samonośna konstrukcja nierdzewna pod panele fotowoltaiczne kompletna</w:t>
            </w:r>
          </w:p>
        </w:tc>
      </w:tr>
      <w:tr w:rsidR="008A53F4" w:rsidRPr="00A26C41" w:rsidTr="008A53F4">
        <w:tc>
          <w:tcPr>
            <w:tcW w:w="494" w:type="dxa"/>
          </w:tcPr>
          <w:p w:rsidR="008A53F4" w:rsidRPr="008A53F4" w:rsidRDefault="008A53F4" w:rsidP="00F7384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A53F4">
              <w:rPr>
                <w:rFonts w:cstheme="minorHAnsi"/>
              </w:rPr>
              <w:t>2</w:t>
            </w:r>
          </w:p>
        </w:tc>
        <w:tc>
          <w:tcPr>
            <w:tcW w:w="3235" w:type="dxa"/>
          </w:tcPr>
          <w:p w:rsidR="008A53F4" w:rsidRPr="008A53F4" w:rsidRDefault="008A53F4" w:rsidP="008A53F4">
            <w:pPr>
              <w:rPr>
                <w:rFonts w:cstheme="minorHAnsi"/>
              </w:rPr>
            </w:pPr>
            <w:proofErr w:type="spellStart"/>
            <w:r w:rsidRPr="008A53F4">
              <w:rPr>
                <w:rFonts w:eastAsia="Times New Roman"/>
              </w:rPr>
              <w:t>Helukabel</w:t>
            </w:r>
            <w:proofErr w:type="spellEnd"/>
            <w:r w:rsidRPr="008A53F4">
              <w:rPr>
                <w:rFonts w:eastAsia="Times New Roman"/>
              </w:rPr>
              <w:t xml:space="preserve"> </w:t>
            </w:r>
            <w:proofErr w:type="spellStart"/>
            <w:r w:rsidRPr="008A53F4">
              <w:rPr>
                <w:rFonts w:cstheme="minorHAnsi"/>
              </w:rPr>
              <w:t>Solarflex</w:t>
            </w:r>
            <w:proofErr w:type="spellEnd"/>
            <w:r w:rsidRPr="008A53F4">
              <w:rPr>
                <w:rFonts w:cstheme="minorHAnsi"/>
              </w:rPr>
              <w:t>-x PV1F</w:t>
            </w:r>
          </w:p>
        </w:tc>
        <w:tc>
          <w:tcPr>
            <w:tcW w:w="5333" w:type="dxa"/>
          </w:tcPr>
          <w:p w:rsidR="008A53F4" w:rsidRPr="00A26C41" w:rsidRDefault="008A53F4" w:rsidP="00F7384D">
            <w:pPr>
              <w:autoSpaceDE w:val="0"/>
              <w:autoSpaceDN w:val="0"/>
              <w:adjustRightInd w:val="0"/>
              <w:rPr>
                <w:rFonts w:cstheme="minorHAnsi"/>
                <w:u w:val="single"/>
              </w:rPr>
            </w:pPr>
            <w:r>
              <w:rPr>
                <w:rFonts w:eastAsia="Times New Roman"/>
              </w:rPr>
              <w:t>dedykowany dla instalacji fotowoltaicznych kabel</w:t>
            </w:r>
          </w:p>
        </w:tc>
      </w:tr>
      <w:tr w:rsidR="008A53F4" w:rsidRPr="00A26C41" w:rsidTr="008A53F4">
        <w:tc>
          <w:tcPr>
            <w:tcW w:w="494" w:type="dxa"/>
          </w:tcPr>
          <w:p w:rsidR="008A53F4" w:rsidRPr="008A53F4" w:rsidRDefault="008A53F4" w:rsidP="00F7384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A53F4">
              <w:rPr>
                <w:rFonts w:cstheme="minorHAnsi"/>
              </w:rPr>
              <w:t>3</w:t>
            </w:r>
          </w:p>
        </w:tc>
        <w:tc>
          <w:tcPr>
            <w:tcW w:w="3235" w:type="dxa"/>
          </w:tcPr>
          <w:p w:rsidR="008A53F4" w:rsidRPr="00A26C41" w:rsidRDefault="008A53F4" w:rsidP="00F7384D">
            <w:pPr>
              <w:autoSpaceDE w:val="0"/>
              <w:autoSpaceDN w:val="0"/>
              <w:adjustRightInd w:val="0"/>
              <w:rPr>
                <w:rFonts w:cstheme="minorHAnsi"/>
                <w:u w:val="single"/>
              </w:rPr>
            </w:pPr>
            <w:r>
              <w:rPr>
                <w:rFonts w:eastAsia="Times New Roman"/>
              </w:rPr>
              <w:t>oprawa Meteor ,LUXIONA  </w:t>
            </w:r>
          </w:p>
        </w:tc>
        <w:tc>
          <w:tcPr>
            <w:tcW w:w="5333" w:type="dxa"/>
          </w:tcPr>
          <w:p w:rsidR="008A53F4" w:rsidRPr="00A26C41" w:rsidRDefault="008A53F4" w:rsidP="00F7384D">
            <w:pPr>
              <w:autoSpaceDE w:val="0"/>
              <w:autoSpaceDN w:val="0"/>
              <w:adjustRightInd w:val="0"/>
              <w:rPr>
                <w:rFonts w:cstheme="minorHAnsi"/>
                <w:u w:val="single"/>
              </w:rPr>
            </w:pPr>
            <w:r>
              <w:rPr>
                <w:rFonts w:eastAsia="Times New Roman"/>
              </w:rPr>
              <w:t>oprawa LED 1200 x 300  4400 lm, max 33 W, 840, biała</w:t>
            </w:r>
          </w:p>
        </w:tc>
      </w:tr>
      <w:tr w:rsidR="008A53F4" w:rsidRPr="00A26C41" w:rsidTr="008A53F4">
        <w:tc>
          <w:tcPr>
            <w:tcW w:w="494" w:type="dxa"/>
          </w:tcPr>
          <w:p w:rsidR="008A53F4" w:rsidRPr="008A53F4" w:rsidRDefault="008A53F4" w:rsidP="00F7384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A53F4">
              <w:rPr>
                <w:rFonts w:cstheme="minorHAnsi"/>
              </w:rPr>
              <w:lastRenderedPageBreak/>
              <w:t>4</w:t>
            </w:r>
          </w:p>
        </w:tc>
        <w:tc>
          <w:tcPr>
            <w:tcW w:w="3235" w:type="dxa"/>
          </w:tcPr>
          <w:p w:rsidR="008A53F4" w:rsidRPr="00A26C41" w:rsidRDefault="008A53F4" w:rsidP="008A53F4">
            <w:pPr>
              <w:autoSpaceDE w:val="0"/>
              <w:autoSpaceDN w:val="0"/>
              <w:adjustRightInd w:val="0"/>
              <w:rPr>
                <w:rFonts w:cstheme="minorHAnsi"/>
                <w:u w:val="single"/>
              </w:rPr>
            </w:pPr>
            <w:r>
              <w:rPr>
                <w:rFonts w:eastAsia="Times New Roman"/>
              </w:rPr>
              <w:t xml:space="preserve">oprawa Rubin </w:t>
            </w:r>
            <w:proofErr w:type="spellStart"/>
            <w:r>
              <w:rPr>
                <w:rFonts w:eastAsia="Times New Roman"/>
              </w:rPr>
              <w:t>Look</w:t>
            </w:r>
            <w:proofErr w:type="spellEnd"/>
          </w:p>
        </w:tc>
        <w:tc>
          <w:tcPr>
            <w:tcW w:w="5333" w:type="dxa"/>
          </w:tcPr>
          <w:p w:rsidR="008A53F4" w:rsidRPr="008A53F4" w:rsidRDefault="008A53F4" w:rsidP="008A5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oprawa LED 400 x 400, 2800 lm, max 19 W, IP 44, biała</w:t>
            </w:r>
          </w:p>
        </w:tc>
      </w:tr>
      <w:tr w:rsidR="008A53F4" w:rsidRPr="00A26C41" w:rsidTr="008A53F4">
        <w:tc>
          <w:tcPr>
            <w:tcW w:w="494" w:type="dxa"/>
          </w:tcPr>
          <w:p w:rsidR="008A53F4" w:rsidRPr="008A53F4" w:rsidRDefault="008A53F4" w:rsidP="00F7384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235" w:type="dxa"/>
          </w:tcPr>
          <w:p w:rsidR="008A53F4" w:rsidRPr="008A53F4" w:rsidRDefault="008A53F4" w:rsidP="008A53F4">
            <w:pPr>
              <w:rPr>
                <w:rFonts w:cstheme="minorHAnsi"/>
              </w:rPr>
            </w:pPr>
            <w:r w:rsidRPr="008A53F4">
              <w:rPr>
                <w:rFonts w:cstheme="minorHAnsi"/>
              </w:rPr>
              <w:t>Panele REC 295TP2 BLK</w:t>
            </w:r>
          </w:p>
        </w:tc>
        <w:tc>
          <w:tcPr>
            <w:tcW w:w="5333" w:type="dxa"/>
          </w:tcPr>
          <w:p w:rsidR="008A53F4" w:rsidRDefault="008A53F4" w:rsidP="008A53F4">
            <w:pPr>
              <w:rPr>
                <w:rFonts w:eastAsia="Times New Roman"/>
              </w:rPr>
            </w:pPr>
            <w:r w:rsidRPr="008A53F4">
              <w:rPr>
                <w:rFonts w:eastAsia="Times New Roman"/>
              </w:rPr>
              <w:t>panel polikrystaliczny , min 295 W, dostosowany do zastosowania optymalizatorów przy każdym panelu, dostosowany do zastos</w:t>
            </w:r>
            <w:r>
              <w:rPr>
                <w:rFonts w:eastAsia="Times New Roman"/>
              </w:rPr>
              <w:t>owanych konstrukcji samonośnych</w:t>
            </w:r>
          </w:p>
        </w:tc>
      </w:tr>
    </w:tbl>
    <w:p w:rsidR="008A53F4" w:rsidRPr="004F3DF7" w:rsidRDefault="008A53F4" w:rsidP="008A53F4">
      <w:pPr>
        <w:rPr>
          <w:rFonts w:eastAsia="Times New Roman"/>
        </w:rPr>
      </w:pPr>
    </w:p>
    <w:p w:rsidR="00512811" w:rsidRPr="005C796C" w:rsidRDefault="00512811">
      <w:pPr>
        <w:rPr>
          <w:rFonts w:cstheme="minorHAnsi"/>
          <w:u w:val="single"/>
        </w:rPr>
      </w:pPr>
      <w:r w:rsidRPr="005C796C">
        <w:rPr>
          <w:rFonts w:cstheme="minorHAnsi"/>
          <w:u w:val="single"/>
        </w:rPr>
        <w:t>Branża arch</w:t>
      </w:r>
      <w:r w:rsidR="004F3DF7">
        <w:rPr>
          <w:rFonts w:cstheme="minorHAnsi"/>
          <w:u w:val="single"/>
        </w:rPr>
        <w:t>itektoniczna</w:t>
      </w:r>
    </w:p>
    <w:p w:rsidR="008A53F4" w:rsidRDefault="008A53F4" w:rsidP="008A53F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4"/>
        <w:gridCol w:w="3235"/>
        <w:gridCol w:w="5333"/>
      </w:tblGrid>
      <w:tr w:rsidR="008A53F4" w:rsidRPr="00A26C41" w:rsidTr="00F7384D">
        <w:tc>
          <w:tcPr>
            <w:tcW w:w="494" w:type="dxa"/>
            <w:vAlign w:val="center"/>
          </w:tcPr>
          <w:p w:rsidR="008A53F4" w:rsidRPr="00A26C41" w:rsidRDefault="008A53F4" w:rsidP="00F7384D">
            <w:pPr>
              <w:jc w:val="center"/>
              <w:rPr>
                <w:rFonts w:cstheme="minorHAnsi"/>
                <w:color w:val="000000"/>
              </w:rPr>
            </w:pPr>
            <w:r w:rsidRPr="00A26C41">
              <w:rPr>
                <w:rFonts w:cstheme="minorHAnsi"/>
                <w:color w:val="000000"/>
              </w:rPr>
              <w:t>l.p.</w:t>
            </w:r>
          </w:p>
        </w:tc>
        <w:tc>
          <w:tcPr>
            <w:tcW w:w="3235" w:type="dxa"/>
            <w:vAlign w:val="center"/>
          </w:tcPr>
          <w:p w:rsidR="008A53F4" w:rsidRPr="00A26C41" w:rsidRDefault="008A53F4" w:rsidP="00F7384D">
            <w:pPr>
              <w:rPr>
                <w:rFonts w:cstheme="minorHAnsi"/>
                <w:color w:val="000000"/>
              </w:rPr>
            </w:pPr>
            <w:r w:rsidRPr="00A26C41">
              <w:rPr>
                <w:rFonts w:cstheme="minorHAnsi"/>
                <w:color w:val="000000"/>
              </w:rPr>
              <w:t>przedmiot zamówienia określony w dokumentacji projektowej</w:t>
            </w:r>
          </w:p>
        </w:tc>
        <w:tc>
          <w:tcPr>
            <w:tcW w:w="5333" w:type="dxa"/>
            <w:vAlign w:val="center"/>
          </w:tcPr>
          <w:p w:rsidR="008A53F4" w:rsidRPr="00A26C41" w:rsidRDefault="008A53F4" w:rsidP="00F7384D">
            <w:pPr>
              <w:rPr>
                <w:rFonts w:cstheme="minorHAnsi"/>
                <w:color w:val="000000"/>
              </w:rPr>
            </w:pPr>
            <w:r w:rsidRPr="00A26C41">
              <w:rPr>
                <w:rFonts w:cstheme="minorHAnsi"/>
                <w:color w:val="000000"/>
              </w:rPr>
              <w:t xml:space="preserve">Opis paramentów równoważnych: </w:t>
            </w:r>
          </w:p>
        </w:tc>
      </w:tr>
      <w:tr w:rsidR="008A53F4" w:rsidRPr="00A26C41" w:rsidTr="00F7384D">
        <w:tc>
          <w:tcPr>
            <w:tcW w:w="494" w:type="dxa"/>
          </w:tcPr>
          <w:p w:rsidR="008A53F4" w:rsidRPr="008A53F4" w:rsidRDefault="008A53F4" w:rsidP="00F7384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A53F4">
              <w:rPr>
                <w:rFonts w:cstheme="minorHAnsi"/>
              </w:rPr>
              <w:t>1</w:t>
            </w:r>
          </w:p>
        </w:tc>
        <w:tc>
          <w:tcPr>
            <w:tcW w:w="3235" w:type="dxa"/>
          </w:tcPr>
          <w:p w:rsidR="008A53F4" w:rsidRPr="008A53F4" w:rsidRDefault="008A53F4" w:rsidP="008A53F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A53F4">
              <w:rPr>
                <w:rFonts w:cstheme="minorHAnsi"/>
              </w:rPr>
              <w:t xml:space="preserve">system docieplenia DSR 200 firmy </w:t>
            </w:r>
            <w:proofErr w:type="spellStart"/>
            <w:r w:rsidRPr="008A53F4">
              <w:rPr>
                <w:rFonts w:cstheme="minorHAnsi"/>
              </w:rPr>
              <w:t>Astron</w:t>
            </w:r>
            <w:proofErr w:type="spellEnd"/>
          </w:p>
        </w:tc>
        <w:tc>
          <w:tcPr>
            <w:tcW w:w="5333" w:type="dxa"/>
            <w:vMerge w:val="restart"/>
          </w:tcPr>
          <w:p w:rsidR="0012234D" w:rsidRDefault="0012234D" w:rsidP="008A53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kompatybilność</w:t>
            </w:r>
            <w:r w:rsidR="0073563D">
              <w:rPr>
                <w:sz w:val="20"/>
                <w:szCs w:val="20"/>
              </w:rPr>
              <w:t xml:space="preserve"> z systemem </w:t>
            </w:r>
            <w:proofErr w:type="spellStart"/>
            <w:r>
              <w:rPr>
                <w:sz w:val="20"/>
                <w:szCs w:val="20"/>
              </w:rPr>
              <w:t>Astron</w:t>
            </w:r>
            <w:r w:rsidR="00F869D5">
              <w:rPr>
                <w:sz w:val="20"/>
                <w:szCs w:val="20"/>
              </w:rPr>
              <w:t>,t.j</w:t>
            </w:r>
            <w:proofErr w:type="spellEnd"/>
            <w:r w:rsidR="00F869D5">
              <w:rPr>
                <w:sz w:val="20"/>
                <w:szCs w:val="20"/>
              </w:rPr>
              <w:t>:</w:t>
            </w:r>
          </w:p>
          <w:p w:rsidR="0012234D" w:rsidRDefault="0012234D" w:rsidP="008A53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Panel1:</w:t>
            </w:r>
          </w:p>
          <w:p w:rsidR="008A53F4" w:rsidRDefault="008A53F4" w:rsidP="008A53F4">
            <w:r>
              <w:rPr>
                <w:sz w:val="20"/>
                <w:szCs w:val="20"/>
              </w:rPr>
              <w:t>- Gatunek stali: S 550 GD zgodny z normą PN-EN 10326 </w:t>
            </w:r>
          </w:p>
          <w:p w:rsidR="008A53F4" w:rsidRDefault="008A53F4" w:rsidP="008A53F4">
            <w:r>
              <w:rPr>
                <w:sz w:val="20"/>
                <w:szCs w:val="20"/>
              </w:rPr>
              <w:t>- Granica plastyczności: 550 N/mm² </w:t>
            </w:r>
          </w:p>
          <w:p w:rsidR="008A53F4" w:rsidRDefault="008A53F4" w:rsidP="008A53F4">
            <w:r>
              <w:rPr>
                <w:sz w:val="20"/>
                <w:szCs w:val="20"/>
              </w:rPr>
              <w:t>- Wytrzymałość na rozciąganie:570 N/mm² </w:t>
            </w:r>
          </w:p>
          <w:p w:rsidR="008A53F4" w:rsidRDefault="008A53F4" w:rsidP="008A53F4">
            <w:r>
              <w:rPr>
                <w:sz w:val="20"/>
                <w:szCs w:val="20"/>
              </w:rPr>
              <w:t>- Nominalna grubość: 0.55 mm </w:t>
            </w:r>
          </w:p>
          <w:p w:rsidR="008A53F4" w:rsidRDefault="008A53F4" w:rsidP="008A53F4">
            <w:r>
              <w:rPr>
                <w:sz w:val="20"/>
                <w:szCs w:val="20"/>
              </w:rPr>
              <w:t>- Szerokość modularna:1000 mm (3 moduły po 333 mm) </w:t>
            </w:r>
          </w:p>
          <w:p w:rsidR="008A53F4" w:rsidRDefault="008A53F4" w:rsidP="008A53F4">
            <w:r>
              <w:rPr>
                <w:sz w:val="20"/>
                <w:szCs w:val="20"/>
              </w:rPr>
              <w:t>- Wysokość żeber: 38 mm </w:t>
            </w:r>
          </w:p>
          <w:p w:rsidR="008A53F4" w:rsidRDefault="008A53F4" w:rsidP="008A53F4">
            <w:r>
              <w:rPr>
                <w:sz w:val="20"/>
                <w:szCs w:val="20"/>
              </w:rPr>
              <w:t>Docieplenie - wełna mineralna 200 mm</w:t>
            </w:r>
          </w:p>
          <w:p w:rsidR="008A53F4" w:rsidRDefault="008A53F4" w:rsidP="008A53F4">
            <w:r>
              <w:rPr>
                <w:sz w:val="20"/>
                <w:szCs w:val="20"/>
              </w:rPr>
              <w:t>Panel 2 - </w:t>
            </w:r>
          </w:p>
          <w:p w:rsidR="008A53F4" w:rsidRDefault="008A53F4" w:rsidP="008A53F4">
            <w:r>
              <w:rPr>
                <w:sz w:val="20"/>
                <w:szCs w:val="20"/>
              </w:rPr>
              <w:t>- Gatunek stali: S 550 GD zgodny z normą PN-EN 10436 </w:t>
            </w:r>
          </w:p>
          <w:p w:rsidR="008A53F4" w:rsidRDefault="008A53F4" w:rsidP="008A53F4">
            <w:r>
              <w:rPr>
                <w:sz w:val="20"/>
                <w:szCs w:val="20"/>
              </w:rPr>
              <w:t>- Granica plastyczności: 550 N/mm² </w:t>
            </w:r>
          </w:p>
          <w:p w:rsidR="008A53F4" w:rsidRDefault="008A53F4" w:rsidP="008A53F4">
            <w:r>
              <w:rPr>
                <w:sz w:val="20"/>
                <w:szCs w:val="20"/>
              </w:rPr>
              <w:t>- Wytrzymałość na rozciąganie: 570 N/mm² </w:t>
            </w:r>
          </w:p>
          <w:p w:rsidR="008A53F4" w:rsidRDefault="008A53F4" w:rsidP="008A53F4">
            <w:r>
              <w:rPr>
                <w:sz w:val="20"/>
                <w:szCs w:val="20"/>
              </w:rPr>
              <w:t>- Nominalna grubość: 0.54 mm </w:t>
            </w:r>
          </w:p>
          <w:p w:rsidR="008A53F4" w:rsidRDefault="008A53F4" w:rsidP="008A53F4">
            <w:r>
              <w:rPr>
                <w:sz w:val="20"/>
                <w:szCs w:val="20"/>
              </w:rPr>
              <w:t>- Szerokość modularna:1000 mm (3 moduły po 333 mm) </w:t>
            </w:r>
          </w:p>
          <w:p w:rsidR="008A53F4" w:rsidRDefault="008A53F4" w:rsidP="008A53F4">
            <w:r>
              <w:rPr>
                <w:sz w:val="20"/>
                <w:szCs w:val="20"/>
              </w:rPr>
              <w:t>- Wysokość żeber: 38 mm </w:t>
            </w:r>
          </w:p>
          <w:p w:rsidR="008A53F4" w:rsidRDefault="008A53F4" w:rsidP="008A53F4">
            <w:r>
              <w:rPr>
                <w:sz w:val="20"/>
                <w:szCs w:val="20"/>
              </w:rPr>
              <w:t>System zawiera wszystkie niezbędne elementy mocujące i obróbki. </w:t>
            </w:r>
          </w:p>
          <w:p w:rsidR="008A53F4" w:rsidRDefault="008A53F4" w:rsidP="008A53F4">
            <w:r>
              <w:rPr>
                <w:sz w:val="20"/>
                <w:szCs w:val="20"/>
              </w:rPr>
              <w:t>Ws</w:t>
            </w:r>
            <w:r w:rsidR="00F869D5">
              <w:rPr>
                <w:sz w:val="20"/>
                <w:szCs w:val="20"/>
              </w:rPr>
              <w:t xml:space="preserve">zystkie łączniki dachu wykonane </w:t>
            </w:r>
            <w:r>
              <w:rPr>
                <w:sz w:val="20"/>
                <w:szCs w:val="20"/>
              </w:rPr>
              <w:t>ze stali nierdzewnej, Każde połączenie dwóch blach uszczelniane wulkanizującymi uszczelkami taśmowymi. </w:t>
            </w:r>
          </w:p>
          <w:p w:rsidR="008A53F4" w:rsidRPr="004F3DF7" w:rsidRDefault="008A53F4" w:rsidP="00F7384D">
            <w:r>
              <w:rPr>
                <w:sz w:val="20"/>
                <w:szCs w:val="20"/>
              </w:rPr>
              <w:t xml:space="preserve">Współczynnik U dachu </w:t>
            </w:r>
            <w:r w:rsidR="0012234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0,21 W/m2K </w:t>
            </w:r>
          </w:p>
        </w:tc>
      </w:tr>
      <w:tr w:rsidR="008A53F4" w:rsidRPr="00A26C41" w:rsidTr="00F7384D">
        <w:tc>
          <w:tcPr>
            <w:tcW w:w="494" w:type="dxa"/>
          </w:tcPr>
          <w:p w:rsidR="008A53F4" w:rsidRPr="008A53F4" w:rsidRDefault="008A53F4" w:rsidP="00F7384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A53F4">
              <w:rPr>
                <w:rFonts w:cstheme="minorHAnsi"/>
              </w:rPr>
              <w:t>2</w:t>
            </w:r>
          </w:p>
        </w:tc>
        <w:tc>
          <w:tcPr>
            <w:tcW w:w="3235" w:type="dxa"/>
          </w:tcPr>
          <w:p w:rsidR="008A53F4" w:rsidRPr="008A53F4" w:rsidRDefault="008A53F4" w:rsidP="008A53F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A53F4">
              <w:rPr>
                <w:rFonts w:cstheme="minorHAnsi"/>
              </w:rPr>
              <w:t>system DSR 200</w:t>
            </w:r>
          </w:p>
          <w:p w:rsidR="008A53F4" w:rsidRPr="008A53F4" w:rsidRDefault="008A53F4" w:rsidP="00F7384D">
            <w:pPr>
              <w:rPr>
                <w:rFonts w:cstheme="minorHAnsi"/>
              </w:rPr>
            </w:pPr>
          </w:p>
        </w:tc>
        <w:tc>
          <w:tcPr>
            <w:tcW w:w="5333" w:type="dxa"/>
            <w:vMerge/>
          </w:tcPr>
          <w:p w:rsidR="008A53F4" w:rsidRPr="00A26C41" w:rsidRDefault="008A53F4" w:rsidP="00F7384D">
            <w:pPr>
              <w:autoSpaceDE w:val="0"/>
              <w:autoSpaceDN w:val="0"/>
              <w:adjustRightInd w:val="0"/>
              <w:rPr>
                <w:rFonts w:cstheme="minorHAnsi"/>
                <w:u w:val="single"/>
              </w:rPr>
            </w:pPr>
          </w:p>
        </w:tc>
      </w:tr>
    </w:tbl>
    <w:p w:rsidR="005C796C" w:rsidRPr="005C796C" w:rsidRDefault="005C796C" w:rsidP="0051281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26C41" w:rsidRPr="004F3DF7" w:rsidRDefault="005C796C" w:rsidP="00A26C41">
      <w:pPr>
        <w:autoSpaceDE w:val="0"/>
        <w:autoSpaceDN w:val="0"/>
        <w:adjustRightInd w:val="0"/>
        <w:spacing w:after="0" w:line="240" w:lineRule="auto"/>
        <w:rPr>
          <w:rFonts w:cstheme="minorHAnsi"/>
          <w:u w:val="single"/>
        </w:rPr>
      </w:pPr>
      <w:r w:rsidRPr="005C796C">
        <w:rPr>
          <w:rFonts w:cstheme="minorHAnsi"/>
          <w:u w:val="single"/>
        </w:rPr>
        <w:t>branża sanitarna</w:t>
      </w:r>
    </w:p>
    <w:p w:rsidR="00A26C41" w:rsidRDefault="00A26C41" w:rsidP="00A26C41">
      <w:pPr>
        <w:autoSpaceDE w:val="0"/>
        <w:autoSpaceDN w:val="0"/>
        <w:adjustRightInd w:val="0"/>
        <w:spacing w:after="0" w:line="240" w:lineRule="auto"/>
        <w:rPr>
          <w:rFonts w:cstheme="minorHAnsi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4"/>
        <w:gridCol w:w="3235"/>
        <w:gridCol w:w="5333"/>
      </w:tblGrid>
      <w:tr w:rsidR="00A26C41" w:rsidRPr="00A26C41" w:rsidTr="008E129D">
        <w:tc>
          <w:tcPr>
            <w:tcW w:w="421" w:type="dxa"/>
            <w:vAlign w:val="center"/>
          </w:tcPr>
          <w:p w:rsidR="00A26C41" w:rsidRPr="00A26C41" w:rsidRDefault="00A26C41" w:rsidP="00A26C41">
            <w:pPr>
              <w:jc w:val="center"/>
              <w:rPr>
                <w:rFonts w:cstheme="minorHAnsi"/>
                <w:color w:val="000000"/>
              </w:rPr>
            </w:pPr>
            <w:r w:rsidRPr="00A26C41">
              <w:rPr>
                <w:rFonts w:cstheme="minorHAnsi"/>
                <w:color w:val="000000"/>
              </w:rPr>
              <w:t>l.p.</w:t>
            </w:r>
          </w:p>
        </w:tc>
        <w:tc>
          <w:tcPr>
            <w:tcW w:w="3260" w:type="dxa"/>
            <w:vAlign w:val="center"/>
          </w:tcPr>
          <w:p w:rsidR="00A26C41" w:rsidRPr="00A26C41" w:rsidRDefault="00A26C41" w:rsidP="00A26C41">
            <w:pPr>
              <w:rPr>
                <w:rFonts w:cstheme="minorHAnsi"/>
                <w:color w:val="000000"/>
              </w:rPr>
            </w:pPr>
            <w:r w:rsidRPr="00A26C41">
              <w:rPr>
                <w:rFonts w:cstheme="minorHAnsi"/>
                <w:color w:val="000000"/>
              </w:rPr>
              <w:t>przedmiot zamówienia określony w dokumentacji projektowej</w:t>
            </w:r>
          </w:p>
        </w:tc>
        <w:tc>
          <w:tcPr>
            <w:tcW w:w="5381" w:type="dxa"/>
            <w:vAlign w:val="center"/>
          </w:tcPr>
          <w:p w:rsidR="00A26C41" w:rsidRPr="00A26C41" w:rsidRDefault="00A26C41" w:rsidP="00A26C41">
            <w:pPr>
              <w:rPr>
                <w:rFonts w:cstheme="minorHAnsi"/>
                <w:color w:val="000000"/>
              </w:rPr>
            </w:pPr>
            <w:r w:rsidRPr="00A26C41">
              <w:rPr>
                <w:rFonts w:cstheme="minorHAnsi"/>
                <w:color w:val="000000"/>
              </w:rPr>
              <w:t xml:space="preserve">Opis paramentów równoważnych: </w:t>
            </w:r>
          </w:p>
        </w:tc>
      </w:tr>
      <w:tr w:rsidR="008A53F4" w:rsidRPr="008A53F4" w:rsidTr="00A26C41">
        <w:tc>
          <w:tcPr>
            <w:tcW w:w="421" w:type="dxa"/>
          </w:tcPr>
          <w:p w:rsidR="00A26C41" w:rsidRPr="008A53F4" w:rsidRDefault="00A26C41" w:rsidP="00A26C4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A53F4">
              <w:rPr>
                <w:rFonts w:cstheme="minorHAnsi"/>
              </w:rPr>
              <w:t>1</w:t>
            </w:r>
          </w:p>
        </w:tc>
        <w:tc>
          <w:tcPr>
            <w:tcW w:w="3260" w:type="dxa"/>
          </w:tcPr>
          <w:p w:rsidR="00A26C41" w:rsidRPr="008A53F4" w:rsidRDefault="00A26C41" w:rsidP="00A26C4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A53F4">
              <w:rPr>
                <w:rFonts w:cstheme="minorHAnsi"/>
              </w:rPr>
              <w:t xml:space="preserve">zespół </w:t>
            </w:r>
            <w:proofErr w:type="spellStart"/>
            <w:r w:rsidRPr="008A53F4">
              <w:rPr>
                <w:rFonts w:cstheme="minorHAnsi"/>
              </w:rPr>
              <w:t>nawiewno</w:t>
            </w:r>
            <w:proofErr w:type="spellEnd"/>
            <w:r w:rsidRPr="008A53F4">
              <w:rPr>
                <w:rFonts w:cstheme="minorHAnsi"/>
              </w:rPr>
              <w:t xml:space="preserve"> – wywiewny firmy VTS Polska typu VVS100-LFRMHCV/</w:t>
            </w:r>
          </w:p>
          <w:p w:rsidR="00A26C41" w:rsidRPr="008A53F4" w:rsidRDefault="00A26C41" w:rsidP="00A26C41">
            <w:pPr>
              <w:rPr>
                <w:rFonts w:cstheme="minorHAnsi"/>
              </w:rPr>
            </w:pPr>
            <w:r w:rsidRPr="008A53F4">
              <w:rPr>
                <w:rFonts w:cstheme="minorHAnsi"/>
              </w:rPr>
              <w:t>VVS100-R-FVMR_cd o wydajności 10 000 m3/h i sprężu 400 Pa</w:t>
            </w:r>
          </w:p>
        </w:tc>
        <w:tc>
          <w:tcPr>
            <w:tcW w:w="5381" w:type="dxa"/>
          </w:tcPr>
          <w:p w:rsidR="00A26C41" w:rsidRPr="008A53F4" w:rsidRDefault="00A26C41" w:rsidP="00A26C41">
            <w:pPr>
              <w:contextualSpacing/>
              <w:rPr>
                <w:rFonts w:cstheme="minorHAnsi"/>
              </w:rPr>
            </w:pPr>
            <w:r w:rsidRPr="008A53F4">
              <w:rPr>
                <w:rFonts w:cstheme="minorHAnsi"/>
              </w:rPr>
              <w:t xml:space="preserve">Centralka </w:t>
            </w:r>
            <w:proofErr w:type="spellStart"/>
            <w:r w:rsidRPr="008A53F4">
              <w:rPr>
                <w:rFonts w:cstheme="minorHAnsi"/>
              </w:rPr>
              <w:t>nawiewno</w:t>
            </w:r>
            <w:proofErr w:type="spellEnd"/>
            <w:r w:rsidRPr="008A53F4">
              <w:rPr>
                <w:rFonts w:cstheme="minorHAnsi"/>
              </w:rPr>
              <w:t>-wywiewnej dowolnego producenta, w wykonaniu wewnętrznym, montowana na budowie o następujących parametrach:</w:t>
            </w:r>
          </w:p>
          <w:p w:rsidR="00A26C41" w:rsidRPr="008A53F4" w:rsidRDefault="00A26C41" w:rsidP="00A26C41">
            <w:pPr>
              <w:contextualSpacing/>
              <w:rPr>
                <w:rFonts w:cstheme="minorHAnsi"/>
              </w:rPr>
            </w:pPr>
            <w:r w:rsidRPr="008A53F4">
              <w:rPr>
                <w:rFonts w:cstheme="minorHAnsi"/>
              </w:rPr>
              <w:t>Nawiew: 10 000 m</w:t>
            </w:r>
            <w:r w:rsidRPr="008A53F4">
              <w:rPr>
                <w:rFonts w:cstheme="minorHAnsi"/>
                <w:vertAlign w:val="superscript"/>
              </w:rPr>
              <w:t>3</w:t>
            </w:r>
            <w:r w:rsidRPr="008A53F4">
              <w:rPr>
                <w:rFonts w:cstheme="minorHAnsi"/>
              </w:rPr>
              <w:t xml:space="preserve">/h,  400 Pa, nagrzewnica wodna (70/50 </w:t>
            </w:r>
            <w:proofErr w:type="spellStart"/>
            <w:r w:rsidRPr="008A53F4">
              <w:rPr>
                <w:rFonts w:cstheme="minorHAnsi"/>
                <w:vertAlign w:val="superscript"/>
              </w:rPr>
              <w:t>o</w:t>
            </w:r>
            <w:r w:rsidRPr="008A53F4">
              <w:rPr>
                <w:rFonts w:cstheme="minorHAnsi"/>
              </w:rPr>
              <w:t>C</w:t>
            </w:r>
            <w:proofErr w:type="spellEnd"/>
            <w:r w:rsidRPr="008A53F4">
              <w:rPr>
                <w:rFonts w:cstheme="minorHAnsi"/>
              </w:rPr>
              <w:t>), 50 kW, chłodnica bezpośredniego odparowania o mocy całkowitej 75 kW, filtr kieszeniowy</w:t>
            </w:r>
          </w:p>
          <w:p w:rsidR="00A26C41" w:rsidRPr="008A53F4" w:rsidRDefault="00A26C41" w:rsidP="00A26C41">
            <w:pPr>
              <w:contextualSpacing/>
              <w:rPr>
                <w:rFonts w:cstheme="minorHAnsi"/>
              </w:rPr>
            </w:pPr>
            <w:r w:rsidRPr="008A53F4">
              <w:rPr>
                <w:rFonts w:cstheme="minorHAnsi"/>
              </w:rPr>
              <w:t>Wymiennik obrotowy o sprawności minimum 75%</w:t>
            </w:r>
          </w:p>
          <w:p w:rsidR="00A26C41" w:rsidRPr="008A53F4" w:rsidRDefault="00A26C41" w:rsidP="00A26C41">
            <w:pPr>
              <w:contextualSpacing/>
              <w:rPr>
                <w:rFonts w:cstheme="minorHAnsi"/>
              </w:rPr>
            </w:pPr>
            <w:r w:rsidRPr="008A53F4">
              <w:rPr>
                <w:rFonts w:cstheme="minorHAnsi"/>
              </w:rPr>
              <w:t>Komora mieszania z przepustnicami z siłownikami</w:t>
            </w:r>
          </w:p>
          <w:p w:rsidR="00A26C41" w:rsidRPr="008A53F4" w:rsidRDefault="00A26C41" w:rsidP="00A26C41">
            <w:pPr>
              <w:contextualSpacing/>
              <w:rPr>
                <w:rFonts w:cstheme="minorHAnsi"/>
              </w:rPr>
            </w:pPr>
            <w:r w:rsidRPr="008A53F4">
              <w:rPr>
                <w:rFonts w:cstheme="minorHAnsi"/>
              </w:rPr>
              <w:t>Wywiew:  10 000 m</w:t>
            </w:r>
            <w:r w:rsidRPr="008A53F4">
              <w:rPr>
                <w:rFonts w:cstheme="minorHAnsi"/>
                <w:vertAlign w:val="superscript"/>
              </w:rPr>
              <w:t>3</w:t>
            </w:r>
            <w:r w:rsidRPr="008A53F4">
              <w:rPr>
                <w:rFonts w:cstheme="minorHAnsi"/>
              </w:rPr>
              <w:t>/h,  400 Pa, filtr kieszeniowy</w:t>
            </w:r>
          </w:p>
        </w:tc>
      </w:tr>
      <w:tr w:rsidR="008A53F4" w:rsidRPr="008A53F4" w:rsidTr="00A26C41">
        <w:tc>
          <w:tcPr>
            <w:tcW w:w="421" w:type="dxa"/>
          </w:tcPr>
          <w:p w:rsidR="00A26C41" w:rsidRPr="008A53F4" w:rsidRDefault="00A26C41" w:rsidP="00A26C4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A53F4">
              <w:rPr>
                <w:rFonts w:cstheme="minorHAnsi"/>
              </w:rPr>
              <w:t>2</w:t>
            </w:r>
          </w:p>
        </w:tc>
        <w:tc>
          <w:tcPr>
            <w:tcW w:w="3260" w:type="dxa"/>
          </w:tcPr>
          <w:p w:rsidR="00A26C41" w:rsidRPr="008A53F4" w:rsidRDefault="00A26C41" w:rsidP="00A26C4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A53F4">
              <w:rPr>
                <w:rFonts w:cstheme="minorHAnsi"/>
              </w:rPr>
              <w:t>wełna mineralna LAMELLA MAT</w:t>
            </w:r>
          </w:p>
          <w:p w:rsidR="00A26C41" w:rsidRPr="008A53F4" w:rsidRDefault="00A26C41" w:rsidP="00A26C41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381" w:type="dxa"/>
          </w:tcPr>
          <w:p w:rsidR="00A26C41" w:rsidRPr="008A53F4" w:rsidRDefault="00A26C41" w:rsidP="00A26C4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A53F4">
              <w:rPr>
                <w:rFonts w:cstheme="minorHAnsi"/>
              </w:rPr>
              <w:t>materiał izolacyjny, nierozprzestrzeniający ognia o współczynniku lambda równym 0,037 W/</w:t>
            </w:r>
            <w:proofErr w:type="spellStart"/>
            <w:r w:rsidRPr="008A53F4">
              <w:rPr>
                <w:rFonts w:cstheme="minorHAnsi"/>
              </w:rPr>
              <w:t>mK</w:t>
            </w:r>
            <w:proofErr w:type="spellEnd"/>
          </w:p>
        </w:tc>
      </w:tr>
      <w:tr w:rsidR="008A53F4" w:rsidRPr="008A53F4" w:rsidTr="00A26C41">
        <w:tc>
          <w:tcPr>
            <w:tcW w:w="421" w:type="dxa"/>
          </w:tcPr>
          <w:p w:rsidR="00A26C41" w:rsidRPr="008A53F4" w:rsidRDefault="00A26C41" w:rsidP="00A26C4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A53F4">
              <w:rPr>
                <w:rFonts w:cstheme="minorHAnsi"/>
              </w:rPr>
              <w:t>3</w:t>
            </w:r>
          </w:p>
        </w:tc>
        <w:tc>
          <w:tcPr>
            <w:tcW w:w="3260" w:type="dxa"/>
          </w:tcPr>
          <w:p w:rsidR="00A26C41" w:rsidRPr="008A53F4" w:rsidRDefault="00A26C41" w:rsidP="00A26C4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A53F4">
              <w:rPr>
                <w:rFonts w:cstheme="minorHAnsi"/>
              </w:rPr>
              <w:t xml:space="preserve">agregat skraplający CLINT typu MHA/K 242 </w:t>
            </w:r>
          </w:p>
          <w:p w:rsidR="00A26C41" w:rsidRPr="008A53F4" w:rsidRDefault="00A26C41" w:rsidP="00A26C41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381" w:type="dxa"/>
          </w:tcPr>
          <w:p w:rsidR="00A26C41" w:rsidRPr="008A53F4" w:rsidRDefault="00A26C41" w:rsidP="00A26C4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A53F4">
              <w:rPr>
                <w:rFonts w:cstheme="minorHAnsi"/>
              </w:rPr>
              <w:t>agregat skraplający (chłodniczy) dowolnego producenta o wydajności chłodniczej minimum 71,60 kW, pracujący na czynniku R410A o współczynniku SEER/SCOP nie mniejszym od 2,50 dla warunków zewnętrznych – „lato”</w:t>
            </w:r>
          </w:p>
        </w:tc>
      </w:tr>
      <w:tr w:rsidR="008A53F4" w:rsidRPr="008A53F4" w:rsidTr="00A26C41">
        <w:tc>
          <w:tcPr>
            <w:tcW w:w="421" w:type="dxa"/>
          </w:tcPr>
          <w:p w:rsidR="00A26C41" w:rsidRPr="008A53F4" w:rsidRDefault="00A26C41" w:rsidP="00A26C4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A53F4">
              <w:rPr>
                <w:rFonts w:cstheme="minorHAnsi"/>
              </w:rPr>
              <w:lastRenderedPageBreak/>
              <w:t>4</w:t>
            </w:r>
          </w:p>
        </w:tc>
        <w:tc>
          <w:tcPr>
            <w:tcW w:w="3260" w:type="dxa"/>
          </w:tcPr>
          <w:p w:rsidR="00A26C41" w:rsidRPr="008A53F4" w:rsidRDefault="00A26C41" w:rsidP="00A26C4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A53F4">
              <w:rPr>
                <w:rFonts w:cstheme="minorHAnsi"/>
              </w:rPr>
              <w:t>wodne nagrzewnice powietrza firmy VTS VOLCANO VR Mini</w:t>
            </w:r>
          </w:p>
        </w:tc>
        <w:tc>
          <w:tcPr>
            <w:tcW w:w="5381" w:type="dxa"/>
          </w:tcPr>
          <w:p w:rsidR="00A26C41" w:rsidRPr="008A53F4" w:rsidRDefault="00A26C41" w:rsidP="00A26C4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A53F4">
              <w:rPr>
                <w:rFonts w:cstheme="minorHAnsi"/>
              </w:rPr>
              <w:t xml:space="preserve">wodne nagrzewnice (70/50 </w:t>
            </w:r>
            <w:proofErr w:type="spellStart"/>
            <w:r w:rsidRPr="008A53F4">
              <w:rPr>
                <w:rFonts w:cstheme="minorHAnsi"/>
                <w:vertAlign w:val="superscript"/>
              </w:rPr>
              <w:t>o</w:t>
            </w:r>
            <w:r w:rsidRPr="008A53F4">
              <w:rPr>
                <w:rFonts w:cstheme="minorHAnsi"/>
              </w:rPr>
              <w:t>C</w:t>
            </w:r>
            <w:proofErr w:type="spellEnd"/>
            <w:r w:rsidRPr="008A53F4">
              <w:rPr>
                <w:rFonts w:cstheme="minorHAnsi"/>
              </w:rPr>
              <w:t xml:space="preserve">) powietrza dowolnego producenta o mocy minimum 10 kW oraz oporze przepływu czynnika grzewczego przez nagrzewnicę wynoszącym 4,30 </w:t>
            </w:r>
            <w:proofErr w:type="spellStart"/>
            <w:r w:rsidRPr="008A53F4">
              <w:rPr>
                <w:rFonts w:cstheme="minorHAnsi"/>
              </w:rPr>
              <w:t>kPa</w:t>
            </w:r>
            <w:proofErr w:type="spellEnd"/>
            <w:r w:rsidRPr="008A53F4">
              <w:rPr>
                <w:rFonts w:cstheme="minorHAnsi"/>
              </w:rPr>
              <w:t xml:space="preserve"> przy przepływie 0,47 m</w:t>
            </w:r>
            <w:r w:rsidRPr="008A53F4">
              <w:rPr>
                <w:rFonts w:cstheme="minorHAnsi"/>
                <w:vertAlign w:val="superscript"/>
              </w:rPr>
              <w:t>3</w:t>
            </w:r>
            <w:r w:rsidRPr="008A53F4">
              <w:rPr>
                <w:rFonts w:cstheme="minorHAnsi"/>
              </w:rPr>
              <w:t>/h (</w:t>
            </w:r>
            <w:proofErr w:type="spellStart"/>
            <w:r w:rsidRPr="008A53F4">
              <w:rPr>
                <w:rFonts w:cstheme="minorHAnsi"/>
              </w:rPr>
              <w:t>kvs</w:t>
            </w:r>
            <w:proofErr w:type="spellEnd"/>
            <w:r w:rsidRPr="008A53F4">
              <w:rPr>
                <w:rFonts w:cstheme="minorHAnsi"/>
              </w:rPr>
              <w:t xml:space="preserve"> nagrzewnicy wynosi 2,35 m</w:t>
            </w:r>
            <w:r w:rsidRPr="008A53F4">
              <w:rPr>
                <w:rFonts w:cstheme="minorHAnsi"/>
                <w:vertAlign w:val="superscript"/>
              </w:rPr>
              <w:t>3</w:t>
            </w:r>
            <w:r w:rsidRPr="008A53F4">
              <w:rPr>
                <w:rFonts w:cstheme="minorHAnsi"/>
              </w:rPr>
              <w:t>/h)</w:t>
            </w:r>
          </w:p>
        </w:tc>
      </w:tr>
      <w:tr w:rsidR="008A53F4" w:rsidRPr="008A53F4" w:rsidTr="00A26C41">
        <w:tc>
          <w:tcPr>
            <w:tcW w:w="421" w:type="dxa"/>
          </w:tcPr>
          <w:p w:rsidR="00A26C41" w:rsidRPr="008A53F4" w:rsidRDefault="00A26C41" w:rsidP="00A26C4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A53F4">
              <w:rPr>
                <w:rFonts w:cstheme="minorHAnsi"/>
              </w:rPr>
              <w:t>5</w:t>
            </w:r>
          </w:p>
        </w:tc>
        <w:tc>
          <w:tcPr>
            <w:tcW w:w="3260" w:type="dxa"/>
          </w:tcPr>
          <w:p w:rsidR="00A26C41" w:rsidRPr="008A53F4" w:rsidRDefault="00A26C41" w:rsidP="00A26C4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A53F4">
              <w:rPr>
                <w:rFonts w:cstheme="minorHAnsi"/>
              </w:rPr>
              <w:t xml:space="preserve">zespół kotłów wodnych kondensacyjnych, opalanych gazem ziemnym firmy VIESSMANN typu VITOCROSSAL 100 CIB o znamionowej mocy cieplnej 146/160 kW pracujących w kaskadzie i kocioł firmy VIESSMANN typu VITOCROSSAL 100 CIB o znamionowej mocy cieplnej 184/200 kW </w:t>
            </w:r>
          </w:p>
        </w:tc>
        <w:tc>
          <w:tcPr>
            <w:tcW w:w="5381" w:type="dxa"/>
          </w:tcPr>
          <w:p w:rsidR="00A26C41" w:rsidRPr="008A53F4" w:rsidRDefault="00A26C41" w:rsidP="00A26C41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</w:rPr>
            </w:pPr>
            <w:r w:rsidRPr="008A53F4">
              <w:rPr>
                <w:rFonts w:cstheme="minorHAnsi"/>
              </w:rPr>
              <w:t xml:space="preserve">wodne, kondensacyjne kotły gazowe o mocy 160 kW pracujące w kaskadzie o łącznej mocy 320 kW przy parametrach 70/50 </w:t>
            </w:r>
            <w:proofErr w:type="spellStart"/>
            <w:r w:rsidRPr="008A53F4">
              <w:rPr>
                <w:rFonts w:cstheme="minorHAnsi"/>
                <w:vertAlign w:val="superscript"/>
              </w:rPr>
              <w:t>o</w:t>
            </w:r>
            <w:r w:rsidRPr="008A53F4">
              <w:rPr>
                <w:rFonts w:cstheme="minorHAnsi"/>
              </w:rPr>
              <w:t>C</w:t>
            </w:r>
            <w:proofErr w:type="spellEnd"/>
          </w:p>
          <w:p w:rsidR="00A26C41" w:rsidRPr="008A53F4" w:rsidRDefault="00A26C41" w:rsidP="00A26C41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A26C41" w:rsidRPr="008A53F4" w:rsidRDefault="00A26C41" w:rsidP="00A26C41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</w:rPr>
            </w:pPr>
            <w:r w:rsidRPr="008A53F4">
              <w:rPr>
                <w:rFonts w:cstheme="minorHAnsi"/>
              </w:rPr>
              <w:t>– wodny, kondensacyjny kocioł gazowy o mocy 200 kW o mocy 200 kW przy parametrach 70/50</w:t>
            </w:r>
            <w:r w:rsidRPr="008A53F4">
              <w:rPr>
                <w:rFonts w:cstheme="minorHAnsi"/>
                <w:vertAlign w:val="superscript"/>
              </w:rPr>
              <w:t xml:space="preserve"> </w:t>
            </w:r>
            <w:proofErr w:type="spellStart"/>
            <w:r w:rsidRPr="008A53F4">
              <w:rPr>
                <w:rFonts w:cstheme="minorHAnsi"/>
                <w:vertAlign w:val="superscript"/>
              </w:rPr>
              <w:t>o</w:t>
            </w:r>
            <w:r w:rsidRPr="008A53F4">
              <w:rPr>
                <w:rFonts w:cstheme="minorHAnsi"/>
              </w:rPr>
              <w:t>C</w:t>
            </w:r>
            <w:proofErr w:type="spellEnd"/>
          </w:p>
          <w:p w:rsidR="00A26C41" w:rsidRPr="008A53F4" w:rsidRDefault="00A26C41" w:rsidP="00A26C41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8A53F4" w:rsidRPr="008A53F4" w:rsidTr="00A26C41">
        <w:tc>
          <w:tcPr>
            <w:tcW w:w="421" w:type="dxa"/>
          </w:tcPr>
          <w:p w:rsidR="00A26C41" w:rsidRPr="008A53F4" w:rsidRDefault="00A26C41" w:rsidP="00A26C4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A53F4">
              <w:rPr>
                <w:rFonts w:cstheme="minorHAnsi"/>
              </w:rPr>
              <w:t>6</w:t>
            </w:r>
          </w:p>
        </w:tc>
        <w:tc>
          <w:tcPr>
            <w:tcW w:w="3260" w:type="dxa"/>
          </w:tcPr>
          <w:p w:rsidR="00A26C41" w:rsidRPr="008A53F4" w:rsidRDefault="00A26C41" w:rsidP="00A26C4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A53F4">
              <w:rPr>
                <w:rFonts w:cstheme="minorHAnsi"/>
              </w:rPr>
              <w:t xml:space="preserve">gazowe, absorpcyjne, powietrzne pompy ciepła firmy GAZUNO typu RTA 00-665 HT S1 CW o mocy 38,0 do 190,0 kW i RTA 00-399 HT S1 CW o mocy 38,0 do 115,0 kW </w:t>
            </w:r>
          </w:p>
        </w:tc>
        <w:tc>
          <w:tcPr>
            <w:tcW w:w="5381" w:type="dxa"/>
          </w:tcPr>
          <w:p w:rsidR="00A26C41" w:rsidRPr="008A53F4" w:rsidRDefault="00A26C41" w:rsidP="00A26C41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</w:rPr>
            </w:pPr>
            <w:r w:rsidRPr="008A53F4">
              <w:rPr>
                <w:rFonts w:cstheme="minorHAnsi"/>
              </w:rPr>
              <w:t xml:space="preserve">– gazowa, absorpcyjna, powietrzna pompa ciepła o mocy minimum  163,50 kW dla temperatury zewnętrznej 0 </w:t>
            </w:r>
            <w:proofErr w:type="spellStart"/>
            <w:r w:rsidRPr="008A53F4">
              <w:rPr>
                <w:rFonts w:cstheme="minorHAnsi"/>
                <w:vertAlign w:val="superscript"/>
              </w:rPr>
              <w:t>o</w:t>
            </w:r>
            <w:r w:rsidRPr="008A53F4">
              <w:rPr>
                <w:rFonts w:cstheme="minorHAnsi"/>
              </w:rPr>
              <w:t>C</w:t>
            </w:r>
            <w:proofErr w:type="spellEnd"/>
            <w:r w:rsidRPr="008A53F4">
              <w:rPr>
                <w:rFonts w:cstheme="minorHAnsi"/>
              </w:rPr>
              <w:t xml:space="preserve"> i temperatury zasilania 55 </w:t>
            </w:r>
            <w:proofErr w:type="spellStart"/>
            <w:r w:rsidRPr="008A53F4">
              <w:rPr>
                <w:rFonts w:cstheme="minorHAnsi"/>
                <w:vertAlign w:val="superscript"/>
              </w:rPr>
              <w:t>o</w:t>
            </w:r>
            <w:r w:rsidRPr="008A53F4">
              <w:rPr>
                <w:rFonts w:cstheme="minorHAnsi"/>
              </w:rPr>
              <w:t>C</w:t>
            </w:r>
            <w:proofErr w:type="spellEnd"/>
          </w:p>
          <w:p w:rsidR="00A26C41" w:rsidRPr="008A53F4" w:rsidRDefault="00A26C41" w:rsidP="00A26C41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</w:rPr>
            </w:pPr>
            <w:r w:rsidRPr="008A53F4">
              <w:rPr>
                <w:rFonts w:cstheme="minorHAnsi"/>
              </w:rPr>
              <w:t xml:space="preserve">– gazowa, absorpcyjna, powietrzna pompa ciepła o mocy minimum  98,10 kW dla temperatury zewnętrznej 0 </w:t>
            </w:r>
            <w:proofErr w:type="spellStart"/>
            <w:r w:rsidRPr="008A53F4">
              <w:rPr>
                <w:rFonts w:cstheme="minorHAnsi"/>
                <w:vertAlign w:val="superscript"/>
              </w:rPr>
              <w:t>o</w:t>
            </w:r>
            <w:r w:rsidRPr="008A53F4">
              <w:rPr>
                <w:rFonts w:cstheme="minorHAnsi"/>
              </w:rPr>
              <w:t>C</w:t>
            </w:r>
            <w:proofErr w:type="spellEnd"/>
            <w:r w:rsidRPr="008A53F4">
              <w:rPr>
                <w:rFonts w:cstheme="minorHAnsi"/>
              </w:rPr>
              <w:t xml:space="preserve"> i temperatury zasilania 55 </w:t>
            </w:r>
            <w:proofErr w:type="spellStart"/>
            <w:r w:rsidRPr="008A53F4">
              <w:rPr>
                <w:rFonts w:cstheme="minorHAnsi"/>
                <w:vertAlign w:val="superscript"/>
              </w:rPr>
              <w:t>o</w:t>
            </w:r>
            <w:r w:rsidRPr="008A53F4">
              <w:rPr>
                <w:rFonts w:cstheme="minorHAnsi"/>
              </w:rPr>
              <w:t>C</w:t>
            </w:r>
            <w:proofErr w:type="spellEnd"/>
          </w:p>
        </w:tc>
      </w:tr>
      <w:tr w:rsidR="008A53F4" w:rsidRPr="008A53F4" w:rsidTr="00A26C41">
        <w:tc>
          <w:tcPr>
            <w:tcW w:w="421" w:type="dxa"/>
          </w:tcPr>
          <w:p w:rsidR="00A26C41" w:rsidRPr="008A53F4" w:rsidRDefault="00A26C41" w:rsidP="00A26C4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A53F4">
              <w:rPr>
                <w:rFonts w:cstheme="minorHAnsi"/>
              </w:rPr>
              <w:t>7</w:t>
            </w:r>
          </w:p>
        </w:tc>
        <w:tc>
          <w:tcPr>
            <w:tcW w:w="3260" w:type="dxa"/>
          </w:tcPr>
          <w:p w:rsidR="00A26C41" w:rsidRPr="008A53F4" w:rsidRDefault="00A26C41" w:rsidP="00A26C4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A53F4">
              <w:rPr>
                <w:rFonts w:cstheme="minorHAnsi"/>
              </w:rPr>
              <w:t xml:space="preserve">Pompa obiegu ładowania bufora z pomp ciepła; WILO </w:t>
            </w:r>
            <w:proofErr w:type="spellStart"/>
            <w:r w:rsidRPr="008A53F4">
              <w:rPr>
                <w:rFonts w:cstheme="minorHAnsi"/>
              </w:rPr>
              <w:t>Yonos</w:t>
            </w:r>
            <w:proofErr w:type="spellEnd"/>
            <w:r w:rsidRPr="008A53F4">
              <w:rPr>
                <w:rFonts w:cstheme="minorHAnsi"/>
              </w:rPr>
              <w:t xml:space="preserve"> MAXO 65/0,5-12 PN6/10; 20,00 m3/h; 48,00 </w:t>
            </w:r>
            <w:proofErr w:type="spellStart"/>
            <w:r w:rsidRPr="008A53F4">
              <w:rPr>
                <w:rFonts w:cstheme="minorHAnsi"/>
              </w:rPr>
              <w:t>kPa</w:t>
            </w:r>
            <w:proofErr w:type="spellEnd"/>
            <w:r w:rsidRPr="008A53F4">
              <w:rPr>
                <w:rFonts w:cstheme="minorHAnsi"/>
              </w:rPr>
              <w:t>; 230V; 0,800 kW</w:t>
            </w:r>
          </w:p>
        </w:tc>
        <w:tc>
          <w:tcPr>
            <w:tcW w:w="5381" w:type="dxa"/>
          </w:tcPr>
          <w:p w:rsidR="00A26C41" w:rsidRPr="008A53F4" w:rsidRDefault="00A26C41" w:rsidP="00A26C4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A53F4">
              <w:rPr>
                <w:rFonts w:cstheme="minorHAnsi"/>
              </w:rPr>
              <w:t>pompa obiegowa dla ciepłownictwa wyposażona w płynną regulacje obrotów silnika o puncie pracy: 20,00 m</w:t>
            </w:r>
            <w:r w:rsidRPr="008A53F4">
              <w:rPr>
                <w:rFonts w:cstheme="minorHAnsi"/>
                <w:vertAlign w:val="superscript"/>
              </w:rPr>
              <w:t>3</w:t>
            </w:r>
            <w:r w:rsidRPr="008A53F4">
              <w:rPr>
                <w:rFonts w:cstheme="minorHAnsi"/>
              </w:rPr>
              <w:t xml:space="preserve">/h, 48,00 </w:t>
            </w:r>
            <w:proofErr w:type="spellStart"/>
            <w:r w:rsidRPr="008A53F4">
              <w:rPr>
                <w:rFonts w:cstheme="minorHAnsi"/>
              </w:rPr>
              <w:t>kPa</w:t>
            </w:r>
            <w:proofErr w:type="spellEnd"/>
          </w:p>
        </w:tc>
      </w:tr>
      <w:tr w:rsidR="008A53F4" w:rsidRPr="008A53F4" w:rsidTr="00A26C41">
        <w:tc>
          <w:tcPr>
            <w:tcW w:w="421" w:type="dxa"/>
          </w:tcPr>
          <w:p w:rsidR="00A26C41" w:rsidRPr="008A53F4" w:rsidRDefault="00A26C41" w:rsidP="00A26C4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A53F4">
              <w:rPr>
                <w:rFonts w:cstheme="minorHAnsi"/>
              </w:rPr>
              <w:t>8</w:t>
            </w:r>
          </w:p>
        </w:tc>
        <w:tc>
          <w:tcPr>
            <w:tcW w:w="3260" w:type="dxa"/>
          </w:tcPr>
          <w:p w:rsidR="00A26C41" w:rsidRPr="008A53F4" w:rsidRDefault="00A26C41" w:rsidP="00A26C4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A53F4">
              <w:rPr>
                <w:rFonts w:cstheme="minorHAnsi"/>
              </w:rPr>
              <w:t xml:space="preserve">Zasobnik buforowy VIESSMANN </w:t>
            </w:r>
            <w:proofErr w:type="spellStart"/>
            <w:r w:rsidRPr="008A53F4">
              <w:rPr>
                <w:rFonts w:cstheme="minorHAnsi"/>
              </w:rPr>
              <w:t>Vitocell</w:t>
            </w:r>
            <w:proofErr w:type="spellEnd"/>
            <w:r w:rsidRPr="008A53F4">
              <w:rPr>
                <w:rFonts w:cstheme="minorHAnsi"/>
              </w:rPr>
              <w:t xml:space="preserve"> 100-E typu SVPA o pojemności1500 dm3</w:t>
            </w:r>
          </w:p>
        </w:tc>
        <w:tc>
          <w:tcPr>
            <w:tcW w:w="5381" w:type="dxa"/>
          </w:tcPr>
          <w:p w:rsidR="00A26C41" w:rsidRPr="008A53F4" w:rsidRDefault="00A26C41" w:rsidP="00A26C4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A53F4">
              <w:rPr>
                <w:rFonts w:cstheme="minorHAnsi"/>
              </w:rPr>
              <w:t>zbiornik buforowy o pojemności 1 500 dm</w:t>
            </w:r>
            <w:r w:rsidRPr="008A53F4">
              <w:rPr>
                <w:rFonts w:cstheme="minorHAnsi"/>
                <w:vertAlign w:val="superscript"/>
              </w:rPr>
              <w:t>3</w:t>
            </w:r>
            <w:r w:rsidRPr="008A53F4">
              <w:rPr>
                <w:rFonts w:cstheme="minorHAnsi"/>
              </w:rPr>
              <w:t xml:space="preserve">  </w:t>
            </w:r>
          </w:p>
        </w:tc>
      </w:tr>
      <w:tr w:rsidR="008A53F4" w:rsidRPr="008A53F4" w:rsidTr="00A26C41">
        <w:tc>
          <w:tcPr>
            <w:tcW w:w="421" w:type="dxa"/>
          </w:tcPr>
          <w:p w:rsidR="00A26C41" w:rsidRPr="008A53F4" w:rsidRDefault="00A26C41" w:rsidP="00A26C4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A53F4">
              <w:rPr>
                <w:rFonts w:cstheme="minorHAnsi"/>
              </w:rPr>
              <w:t>9</w:t>
            </w:r>
          </w:p>
        </w:tc>
        <w:tc>
          <w:tcPr>
            <w:tcW w:w="3260" w:type="dxa"/>
          </w:tcPr>
          <w:p w:rsidR="00A26C41" w:rsidRPr="008A53F4" w:rsidRDefault="00A26C41" w:rsidP="00A26C4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A53F4">
              <w:rPr>
                <w:rFonts w:cstheme="minorHAnsi"/>
              </w:rPr>
              <w:t xml:space="preserve">Pompa obiegu ładowania bufora z pomp ciepła; WILO </w:t>
            </w:r>
            <w:proofErr w:type="spellStart"/>
            <w:r w:rsidRPr="008A53F4">
              <w:rPr>
                <w:rFonts w:cstheme="minorHAnsi"/>
              </w:rPr>
              <w:t>Yonos</w:t>
            </w:r>
            <w:proofErr w:type="spellEnd"/>
            <w:r w:rsidRPr="008A53F4">
              <w:rPr>
                <w:rFonts w:cstheme="minorHAnsi"/>
              </w:rPr>
              <w:t xml:space="preserve"> MAXO 40/0,5-12 PN6/10; 11,00 m3/h; 48,00 </w:t>
            </w:r>
            <w:proofErr w:type="spellStart"/>
            <w:r w:rsidRPr="008A53F4">
              <w:rPr>
                <w:rFonts w:cstheme="minorHAnsi"/>
              </w:rPr>
              <w:t>kPa</w:t>
            </w:r>
            <w:proofErr w:type="spellEnd"/>
            <w:r w:rsidRPr="008A53F4">
              <w:rPr>
                <w:rFonts w:cstheme="minorHAnsi"/>
              </w:rPr>
              <w:t>; 230V; 0,550 kW</w:t>
            </w:r>
          </w:p>
        </w:tc>
        <w:tc>
          <w:tcPr>
            <w:tcW w:w="5381" w:type="dxa"/>
          </w:tcPr>
          <w:p w:rsidR="00A26C41" w:rsidRPr="008A53F4" w:rsidRDefault="00A26C41" w:rsidP="00A26C4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A53F4">
              <w:rPr>
                <w:rFonts w:cstheme="minorHAnsi"/>
              </w:rPr>
              <w:t>pompa obiegowa dla ciepłownictwa wyposażona w płynną regulacje obrotów silnika o puncie pracy: 11,00 m</w:t>
            </w:r>
            <w:r w:rsidRPr="008A53F4">
              <w:rPr>
                <w:rFonts w:cstheme="minorHAnsi"/>
                <w:vertAlign w:val="superscript"/>
              </w:rPr>
              <w:t>3</w:t>
            </w:r>
            <w:r w:rsidRPr="008A53F4">
              <w:rPr>
                <w:rFonts w:cstheme="minorHAnsi"/>
              </w:rPr>
              <w:t xml:space="preserve">/h, 48,00 </w:t>
            </w:r>
            <w:proofErr w:type="spellStart"/>
            <w:r w:rsidRPr="008A53F4">
              <w:rPr>
                <w:rFonts w:cstheme="minorHAnsi"/>
              </w:rPr>
              <w:t>kPa</w:t>
            </w:r>
            <w:proofErr w:type="spellEnd"/>
          </w:p>
        </w:tc>
      </w:tr>
    </w:tbl>
    <w:p w:rsidR="00A26C41" w:rsidRPr="008A53F4" w:rsidRDefault="00A26C41" w:rsidP="00A26C4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26C41" w:rsidRPr="008A53F4" w:rsidRDefault="00A26C41" w:rsidP="00A26C4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26C41" w:rsidRPr="008A53F4" w:rsidRDefault="00A26C41" w:rsidP="00A26C4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2330C0" w:rsidRPr="00A26C41" w:rsidRDefault="002330C0" w:rsidP="00A26C41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</w:p>
    <w:sectPr w:rsidR="002330C0" w:rsidRPr="00A26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82670"/>
    <w:multiLevelType w:val="hybridMultilevel"/>
    <w:tmpl w:val="C3B812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67D93"/>
    <w:multiLevelType w:val="hybridMultilevel"/>
    <w:tmpl w:val="AD066A7A"/>
    <w:lvl w:ilvl="0" w:tplc="5EDC7D84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86B3D"/>
    <w:multiLevelType w:val="multilevel"/>
    <w:tmpl w:val="1BE0D83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2BDA0E18"/>
    <w:multiLevelType w:val="hybridMultilevel"/>
    <w:tmpl w:val="8842D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85EFE"/>
    <w:multiLevelType w:val="hybridMultilevel"/>
    <w:tmpl w:val="C3B812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540B4"/>
    <w:multiLevelType w:val="hybridMultilevel"/>
    <w:tmpl w:val="E53823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8247A8"/>
    <w:multiLevelType w:val="hybridMultilevel"/>
    <w:tmpl w:val="8842D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1A1AC3"/>
    <w:multiLevelType w:val="hybridMultilevel"/>
    <w:tmpl w:val="C3B812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6C62CE"/>
    <w:multiLevelType w:val="hybridMultilevel"/>
    <w:tmpl w:val="78FCD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811"/>
    <w:rsid w:val="000D2833"/>
    <w:rsid w:val="0012234D"/>
    <w:rsid w:val="00124125"/>
    <w:rsid w:val="002061D3"/>
    <w:rsid w:val="002330C0"/>
    <w:rsid w:val="003331D7"/>
    <w:rsid w:val="004D40B8"/>
    <w:rsid w:val="004F3DF7"/>
    <w:rsid w:val="00512811"/>
    <w:rsid w:val="005C796C"/>
    <w:rsid w:val="0073563D"/>
    <w:rsid w:val="0089457C"/>
    <w:rsid w:val="008A53F4"/>
    <w:rsid w:val="008D35B3"/>
    <w:rsid w:val="009A0BA3"/>
    <w:rsid w:val="00A26C41"/>
    <w:rsid w:val="00B12883"/>
    <w:rsid w:val="00E4685B"/>
    <w:rsid w:val="00EA1599"/>
    <w:rsid w:val="00F8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61927F-F7AD-45D4-BC1A-6E68CCC69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5C796C"/>
    <w:pPr>
      <w:ind w:left="720"/>
      <w:contextualSpacing/>
    </w:pPr>
  </w:style>
  <w:style w:type="table" w:styleId="Tabela-Siatka">
    <w:name w:val="Table Grid"/>
    <w:basedOn w:val="Standardowy"/>
    <w:uiPriority w:val="39"/>
    <w:rsid w:val="00A26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rsid w:val="00735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7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1004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Trubłajewicz</dc:creator>
  <cp:keywords/>
  <dc:description/>
  <cp:lastModifiedBy>Magda Trubłajewicz</cp:lastModifiedBy>
  <cp:revision>3</cp:revision>
  <dcterms:created xsi:type="dcterms:W3CDTF">2023-06-07T10:12:00Z</dcterms:created>
  <dcterms:modified xsi:type="dcterms:W3CDTF">2023-06-07T10:22:00Z</dcterms:modified>
</cp:coreProperties>
</file>