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900"/>
        <w:gridCol w:w="6971"/>
      </w:tblGrid>
      <w:tr w:rsidR="00F355F1" w:rsidRPr="00C36B59" w:rsidTr="00F355F1">
        <w:tc>
          <w:tcPr>
            <w:tcW w:w="9491" w:type="dxa"/>
            <w:gridSpan w:val="3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44"/>
                <w:szCs w:val="36"/>
              </w:rPr>
            </w:pPr>
            <w:r w:rsidRPr="00C36B59">
              <w:rPr>
                <w:rFonts w:ascii="Arial" w:hAnsi="Arial" w:cs="Arial"/>
                <w:b/>
                <w:bCs/>
                <w:sz w:val="44"/>
                <w:szCs w:val="36"/>
              </w:rPr>
              <w:t>PROGRAM FUNKCJONALNO UŻYTKOWY</w:t>
            </w:r>
          </w:p>
        </w:tc>
      </w:tr>
      <w:tr w:rsidR="00F355F1" w:rsidRPr="00C36B59" w:rsidTr="00F355F1">
        <w:tc>
          <w:tcPr>
            <w:tcW w:w="9491" w:type="dxa"/>
            <w:gridSpan w:val="3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F355F1" w:rsidRPr="00C36B59" w:rsidTr="00F355F1"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Nazwa zamówienia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F355F1" w:rsidP="00F355F1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@Arial Unicode MS"/>
                <w:color w:val="000000"/>
                <w:sz w:val="28"/>
                <w:szCs w:val="28"/>
              </w:rPr>
            </w:pPr>
            <w:r>
              <w:rPr>
                <w:rFonts w:eastAsia="@Arial Unicode MS"/>
                <w:color w:val="000000"/>
                <w:sz w:val="28"/>
                <w:szCs w:val="28"/>
              </w:rPr>
              <w:t>PRZEBUDOWA STACJI UZDATNIANIA WODY ORAZ UJĘCIA WODY W MIEJSCOWOŚCI KARPA</w:t>
            </w:r>
          </w:p>
        </w:tc>
      </w:tr>
      <w:tr w:rsidR="00F355F1" w:rsidRPr="00C36B59" w:rsidTr="00F355F1"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Lokalizacja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F355F1" w:rsidP="00F355F1">
            <w:pPr>
              <w:spacing w:after="60"/>
              <w:jc w:val="center"/>
              <w:rPr>
                <w:bCs/>
              </w:rPr>
            </w:pPr>
            <w:r>
              <w:rPr>
                <w:bCs/>
              </w:rPr>
              <w:t>Karpa działka nr ew. 7/37</w:t>
            </w:r>
          </w:p>
        </w:tc>
      </w:tr>
      <w:tr w:rsidR="00F355F1" w:rsidRPr="00C36B59" w:rsidTr="00CF4418">
        <w:tc>
          <w:tcPr>
            <w:tcW w:w="94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8"/>
                <w:szCs w:val="8"/>
              </w:rPr>
            </w:pPr>
          </w:p>
        </w:tc>
      </w:tr>
      <w:tr w:rsidR="00F355F1" w:rsidRPr="00C36B59" w:rsidTr="00CF4418">
        <w:tc>
          <w:tcPr>
            <w:tcW w:w="949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</w:rPr>
            </w:pPr>
            <w:r w:rsidRPr="00C36B59">
              <w:rPr>
                <w:b/>
                <w:bCs/>
              </w:rPr>
              <w:t xml:space="preserve">Nazwy i kody CPV Robót budowlanych objętych zamówieniem 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71200000-0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Usługi architektoniczne i podobne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71240000-2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Usługi architektoniczne, inżynieryjne i planowania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71247000-1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Nadzór nad robotami budowlanymi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71248000-8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Nadzór nad projektem i dokumentacją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71300000-1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Usługi inżynieryjne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71320000-7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Usługi inżynieryjne w zakresie projektowania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71322000-1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Usługi inżynierii projektowej w zakresie inżynierii lądowej i wodnej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45100000-8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Przygotowanie terenu pod budowę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45200000-9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Roboty budowlane w zakresie wznoszenia kompletnych obiektów budowlanych lub ich części oraz roboty w zakresie inżynierii lądowej i wodnej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45220000-5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inżynieryjne i budowlane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45223000-6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konstrukcji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45230000-8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budowlane w zakresie budowy rurociągów, linii komunikacyjnych i elektroenergetycznych, autostrad, dróg, lotnisk i kolei; wyrównanie terenu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45231000-5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rurociągów,  ciągów komunikacyjnych  i linii energetycznych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45231300-8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wodociągów i rurociągów do odprowadzania ścieków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45250000-4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w zakresie instalowania, wydobycia produkcji oraz budowy obiektów budowlanych przemysłu naftowego i gazowniczego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45252000-8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zakładów uzdatniania, oczyszczania oraz spalania odpadów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45300000-0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Roboty instalacyjne w budynkach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45310000-3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instalacyjne elektryczne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45311000-0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w zakresie okablowania oraz instalacji elektrycznych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45330000-9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 xml:space="preserve">Roboty instalacyjne </w:t>
            </w:r>
            <w:proofErr w:type="spellStart"/>
            <w:r w:rsidRPr="00C36B59">
              <w:rPr>
                <w:bCs/>
                <w:i/>
                <w:sz w:val="18"/>
                <w:szCs w:val="18"/>
              </w:rPr>
              <w:t>wodno</w:t>
            </w:r>
            <w:proofErr w:type="spellEnd"/>
            <w:r w:rsidRPr="00C36B59">
              <w:rPr>
                <w:bCs/>
                <w:i/>
                <w:sz w:val="18"/>
                <w:szCs w:val="18"/>
              </w:rPr>
              <w:t xml:space="preserve"> kanalizacyjne i sanitarne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45332000-3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instalacyjne wodne i kanalizacyjne</w:t>
            </w:r>
          </w:p>
        </w:tc>
      </w:tr>
      <w:tr w:rsidR="00F355F1" w:rsidRPr="00C36B59" w:rsidTr="00CF4418">
        <w:tc>
          <w:tcPr>
            <w:tcW w:w="9491" w:type="dxa"/>
            <w:gridSpan w:val="3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Cs/>
                <w:sz w:val="2"/>
                <w:szCs w:val="2"/>
              </w:rPr>
            </w:pPr>
          </w:p>
        </w:tc>
      </w:tr>
      <w:tr w:rsidR="00F355F1" w:rsidRPr="00C36B59" w:rsidTr="00CF4418">
        <w:tc>
          <w:tcPr>
            <w:tcW w:w="2520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Inwestor</w:t>
            </w:r>
          </w:p>
        </w:tc>
        <w:tc>
          <w:tcPr>
            <w:tcW w:w="6971" w:type="dxa"/>
            <w:shd w:val="clear" w:color="auto" w:fill="auto"/>
          </w:tcPr>
          <w:p w:rsidR="00F355F1" w:rsidRDefault="000118C3" w:rsidP="000118C3">
            <w:pPr>
              <w:tabs>
                <w:tab w:val="left" w:pos="2281"/>
                <w:tab w:val="center" w:pos="3377"/>
              </w:tabs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Przedsiębiorstwo Wodociągów i Kanalizacji Spółka z o.o.</w:t>
            </w:r>
          </w:p>
          <w:p w:rsidR="000118C3" w:rsidRPr="00C36B59" w:rsidRDefault="000118C3" w:rsidP="000118C3">
            <w:pPr>
              <w:tabs>
                <w:tab w:val="left" w:pos="2281"/>
                <w:tab w:val="center" w:pos="3377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bCs/>
              </w:rPr>
              <w:t>ul. Tęczowa 2, 12-200 Pisz</w:t>
            </w:r>
          </w:p>
        </w:tc>
      </w:tr>
      <w:tr w:rsidR="00F355F1" w:rsidRPr="00C36B59" w:rsidTr="00CF4418">
        <w:tc>
          <w:tcPr>
            <w:tcW w:w="9491" w:type="dxa"/>
            <w:gridSpan w:val="3"/>
            <w:shd w:val="clear" w:color="auto" w:fill="auto"/>
          </w:tcPr>
          <w:p w:rsidR="00F355F1" w:rsidRPr="00C36B59" w:rsidRDefault="00F355F1" w:rsidP="00CF4418">
            <w:pPr>
              <w:jc w:val="center"/>
              <w:rPr>
                <w:rFonts w:ascii="Arial" w:hAnsi="Arial" w:cs="Arial"/>
                <w:b/>
                <w:bCs/>
                <w:i/>
                <w:sz w:val="2"/>
                <w:szCs w:val="2"/>
              </w:rPr>
            </w:pPr>
          </w:p>
        </w:tc>
      </w:tr>
      <w:tr w:rsidR="00F355F1" w:rsidRPr="00C36B59" w:rsidTr="00CF4418">
        <w:trPr>
          <w:trHeight w:val="459"/>
        </w:trPr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lastRenderedPageBreak/>
              <w:t>Opracował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0118C3" w:rsidP="00CF4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Kazimierz Łukaszewicz</w:t>
            </w:r>
          </w:p>
        </w:tc>
      </w:tr>
    </w:tbl>
    <w:p w:rsidR="00F355F1" w:rsidRDefault="000118C3" w:rsidP="00F355F1">
      <w:pPr>
        <w:spacing w:before="120"/>
        <w:jc w:val="center"/>
      </w:pPr>
      <w:r>
        <w:t xml:space="preserve">Białystok 04.04.2022r. </w:t>
      </w:r>
    </w:p>
    <w:p w:rsidR="004E2674" w:rsidRDefault="004E2674" w:rsidP="00F355F1">
      <w:pPr>
        <w:spacing w:before="120"/>
        <w:jc w:val="center"/>
      </w:pPr>
    </w:p>
    <w:p w:rsidR="00F355F1" w:rsidRPr="004741FD" w:rsidRDefault="00F355F1" w:rsidP="00F355F1">
      <w:pPr>
        <w:rPr>
          <w:b/>
          <w:sz w:val="28"/>
          <w:szCs w:val="28"/>
        </w:rPr>
      </w:pPr>
      <w:r w:rsidRPr="004741FD">
        <w:rPr>
          <w:b/>
          <w:sz w:val="28"/>
          <w:szCs w:val="28"/>
        </w:rPr>
        <w:t>Zawartość opracowania:</w:t>
      </w:r>
    </w:p>
    <w:p w:rsidR="00F355F1" w:rsidRDefault="00F355F1" w:rsidP="00F355F1">
      <w:r>
        <w:t>Szacunkowe zestawienie kosztów</w:t>
      </w:r>
    </w:p>
    <w:p w:rsidR="004E2674" w:rsidRDefault="004E2674" w:rsidP="00F355F1"/>
    <w:p w:rsidR="00F355F1" w:rsidRPr="00C97D9C" w:rsidRDefault="00F355F1" w:rsidP="00F355F1">
      <w:pPr>
        <w:rPr>
          <w:b/>
          <w:sz w:val="28"/>
          <w:szCs w:val="28"/>
        </w:rPr>
      </w:pPr>
      <w:r>
        <w:rPr>
          <w:b/>
          <w:sz w:val="28"/>
          <w:szCs w:val="28"/>
        </w:rPr>
        <w:t>SZACUNKOWE ZESTAWIENIE KOSZTÓW</w:t>
      </w:r>
    </w:p>
    <w:p w:rsidR="000118C3" w:rsidRDefault="000118C3" w:rsidP="000118C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Szacunkowe koszty przedmiotu zamówienia ustalono zgodnie z § 9 pkt. 4 Rozporządzenia Ministra Infrastruktury z dnia 18.05.2004 r.  w sprawie określenia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metod i podstaw sporządzania kosztorysu inwestorskiego, obliczania planowanych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kosztów, kosztów prac projektowych oraz planowanych kosztów robót budowlanych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określonych w programie funkcjonalno-użytkowym.</w:t>
      </w:r>
    </w:p>
    <w:p w:rsidR="004E2674" w:rsidRPr="007201E0" w:rsidRDefault="004E2674" w:rsidP="000118C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118C3" w:rsidRPr="007201E0" w:rsidRDefault="000118C3" w:rsidP="000118C3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1E0">
        <w:rPr>
          <w:rFonts w:ascii="Times New Roman" w:eastAsia="Times New Roman" w:hAnsi="Times New Roman" w:cs="Times New Roman"/>
          <w:b/>
          <w:sz w:val="28"/>
          <w:szCs w:val="28"/>
        </w:rPr>
        <w:t>CZĘŚĆ KOSZTOWA</w:t>
      </w:r>
    </w:p>
    <w:p w:rsidR="000118C3" w:rsidRPr="0060357C" w:rsidRDefault="000118C3" w:rsidP="000118C3">
      <w:pPr>
        <w:tabs>
          <w:tab w:val="num" w:pos="72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0357C">
        <w:rPr>
          <w:rFonts w:ascii="Times New Roman" w:eastAsia="Times New Roman" w:hAnsi="Times New Roman" w:cs="Times New Roman"/>
          <w:sz w:val="28"/>
        </w:rPr>
        <w:t>Szacunkowe koszty przedmiotu zamówienia ustalon</w:t>
      </w:r>
      <w:r>
        <w:rPr>
          <w:rFonts w:ascii="Times New Roman" w:eastAsia="Times New Roman" w:hAnsi="Times New Roman" w:cs="Times New Roman"/>
          <w:sz w:val="28"/>
        </w:rPr>
        <w:t xml:space="preserve">o na podstawie m.in. wykonanych </w:t>
      </w:r>
      <w:r w:rsidRPr="0060357C">
        <w:rPr>
          <w:rFonts w:ascii="Times New Roman" w:eastAsia="Times New Roman" w:hAnsi="Times New Roman" w:cs="Times New Roman"/>
          <w:sz w:val="28"/>
        </w:rPr>
        <w:t>obiektów o zbliżonych parametrach technologicznych i budowlano-instalacyjnych, poziom cen robót z I kw. 2022r. Ceny materiałów i sprzętu w</w:t>
      </w:r>
      <w:r>
        <w:rPr>
          <w:rFonts w:ascii="Times New Roman" w:eastAsia="Times New Roman" w:hAnsi="Times New Roman" w:cs="Times New Roman"/>
          <w:sz w:val="28"/>
        </w:rPr>
        <w:t>g informacji o cenach SEKOCENBUD</w:t>
      </w:r>
      <w:r w:rsidRPr="0060357C">
        <w:rPr>
          <w:rFonts w:ascii="Times New Roman" w:eastAsia="Times New Roman" w:hAnsi="Times New Roman" w:cs="Times New Roman"/>
          <w:sz w:val="28"/>
        </w:rPr>
        <w:t xml:space="preserve"> w I kw. 2022r., oferty producentów urządzeń, wartość netto:</w:t>
      </w:r>
    </w:p>
    <w:p w:rsidR="000118C3" w:rsidRDefault="000118C3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Pr="007201E0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7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256"/>
        <w:gridCol w:w="2043"/>
        <w:gridCol w:w="798"/>
        <w:gridCol w:w="1484"/>
        <w:gridCol w:w="1830"/>
      </w:tblGrid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Zakres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</w:t>
            </w:r>
          </w:p>
        </w:tc>
        <w:tc>
          <w:tcPr>
            <w:tcW w:w="1830" w:type="dxa"/>
            <w:vAlign w:val="center"/>
          </w:tcPr>
          <w:p w:rsidR="00C547D8" w:rsidRPr="00745EA9" w:rsidRDefault="008E0D00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Źródło kosztu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45100000-8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Przygotowanie terenu pod budowę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45200000-9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budowlane w zakresie wznoszenia kompletnych obiektów budowlanych lub ich części oraz roboty w zakresie inżynierii lądowej i wodnej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45255110-3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budowlane w zakresie studni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45300000-0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instalacyjne w budynkach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45400000-1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wykończeniowe w zakresie obiektów budowlanych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Zagospodarowanie terenu i budowa obiektów pomocniczych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09331200-0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Słoneczne moduły fotoelektryczne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47D8" w:rsidRPr="00745EA9" w:rsidTr="00057E6C">
        <w:trPr>
          <w:jc w:val="center"/>
        </w:trPr>
        <w:tc>
          <w:tcPr>
            <w:tcW w:w="4640" w:type="dxa"/>
            <w:gridSpan w:val="4"/>
            <w:shd w:val="clear" w:color="auto" w:fill="auto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Razem roboty budowlane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55F1" w:rsidRDefault="00F355F1" w:rsidP="000118C3">
      <w:pPr>
        <w:tabs>
          <w:tab w:val="num" w:pos="720"/>
        </w:tabs>
        <w:spacing w:after="120"/>
        <w:jc w:val="both"/>
      </w:pPr>
    </w:p>
    <w:p w:rsidR="00E9500A" w:rsidRPr="007201E0" w:rsidRDefault="00E9500A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Na etapie Programu funkcjonalno-użytkowego nie jest możliwe poprawne opracowanie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szczegółowych wielobranżowych kosztorysów inw</w:t>
      </w:r>
      <w:r>
        <w:rPr>
          <w:rFonts w:ascii="Times New Roman" w:hAnsi="Times New Roman" w:cs="Times New Roman"/>
          <w:sz w:val="28"/>
          <w:szCs w:val="28"/>
        </w:rPr>
        <w:t xml:space="preserve">estorskich, biorąc za podstawę </w:t>
      </w:r>
      <w:r w:rsidRPr="007201E0">
        <w:rPr>
          <w:rFonts w:ascii="Times New Roman" w:hAnsi="Times New Roman" w:cs="Times New Roman"/>
          <w:sz w:val="28"/>
          <w:szCs w:val="28"/>
        </w:rPr>
        <w:t xml:space="preserve">aktualne katalogi np. KNR, KNNR, ze względu na fakt, iż na </w:t>
      </w:r>
      <w:r>
        <w:rPr>
          <w:rFonts w:ascii="Times New Roman" w:hAnsi="Times New Roman" w:cs="Times New Roman"/>
          <w:sz w:val="28"/>
          <w:szCs w:val="28"/>
        </w:rPr>
        <w:t>tym etapie brak jest</w:t>
      </w:r>
      <w:r w:rsidRPr="007201E0">
        <w:rPr>
          <w:rFonts w:ascii="Times New Roman" w:hAnsi="Times New Roman" w:cs="Times New Roman"/>
          <w:sz w:val="28"/>
          <w:szCs w:val="28"/>
        </w:rPr>
        <w:t xml:space="preserve"> dokumentacji tj. kompletnego Projektu budowlan</w:t>
      </w:r>
      <w:r>
        <w:rPr>
          <w:rFonts w:ascii="Times New Roman" w:hAnsi="Times New Roman" w:cs="Times New Roman"/>
          <w:sz w:val="28"/>
          <w:szCs w:val="28"/>
        </w:rPr>
        <w:t>ego, który powinien uwzględniać</w:t>
      </w:r>
      <w:r w:rsidRPr="007201E0">
        <w:rPr>
          <w:rFonts w:ascii="Times New Roman" w:hAnsi="Times New Roman" w:cs="Times New Roman"/>
          <w:sz w:val="28"/>
          <w:szCs w:val="28"/>
        </w:rPr>
        <w:t xml:space="preserve"> warunki, zawarte w decyzji lokalizacji inwestyc</w:t>
      </w:r>
      <w:r>
        <w:rPr>
          <w:rFonts w:ascii="Times New Roman" w:hAnsi="Times New Roman" w:cs="Times New Roman"/>
          <w:sz w:val="28"/>
          <w:szCs w:val="28"/>
        </w:rPr>
        <w:t>ji celu publicznego lub z planu</w:t>
      </w:r>
      <w:r w:rsidRPr="007201E0">
        <w:rPr>
          <w:rFonts w:ascii="Times New Roman" w:hAnsi="Times New Roman" w:cs="Times New Roman"/>
          <w:sz w:val="28"/>
          <w:szCs w:val="28"/>
        </w:rPr>
        <w:t xml:space="preserve"> zagospodarowania przestrzennego, jak również warunki uzgodnień </w:t>
      </w:r>
      <w:r>
        <w:rPr>
          <w:rFonts w:ascii="Times New Roman" w:hAnsi="Times New Roman" w:cs="Times New Roman"/>
          <w:sz w:val="28"/>
          <w:szCs w:val="28"/>
        </w:rPr>
        <w:t>branżowych tj.</w:t>
      </w:r>
      <w:r w:rsidRPr="007201E0">
        <w:rPr>
          <w:rFonts w:ascii="Times New Roman" w:hAnsi="Times New Roman" w:cs="Times New Roman"/>
          <w:sz w:val="28"/>
          <w:szCs w:val="28"/>
        </w:rPr>
        <w:t xml:space="preserve"> państwowej służby sanitarnej, zabezpieczenia </w:t>
      </w:r>
      <w:proofErr w:type="spellStart"/>
      <w:r w:rsidRPr="007201E0">
        <w:rPr>
          <w:rFonts w:ascii="Times New Roman" w:hAnsi="Times New Roman" w:cs="Times New Roman"/>
          <w:sz w:val="28"/>
          <w:szCs w:val="28"/>
        </w:rPr>
        <w:t>p.pożarowego</w:t>
      </w:r>
      <w:proofErr w:type="spellEnd"/>
      <w:r w:rsidRPr="007201E0">
        <w:rPr>
          <w:rFonts w:ascii="Times New Roman" w:hAnsi="Times New Roman" w:cs="Times New Roman"/>
          <w:sz w:val="28"/>
          <w:szCs w:val="28"/>
        </w:rPr>
        <w:t>, dostawcy energii elektrycznej.</w:t>
      </w:r>
    </w:p>
    <w:p w:rsidR="00E036A2" w:rsidRDefault="00E036A2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</w:p>
    <w:p w:rsidR="00E9500A" w:rsidRPr="007201E0" w:rsidRDefault="00E9500A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 xml:space="preserve">Przedmiotowa inwestycja realizowana będzie w systemie „Projektuj i buduj” </w:t>
      </w:r>
      <w:r w:rsidR="00C547D8">
        <w:rPr>
          <w:rFonts w:ascii="Times New Roman" w:hAnsi="Times New Roman" w:cs="Times New Roman"/>
          <w:sz w:val="28"/>
          <w:szCs w:val="28"/>
        </w:rPr>
        <w:br/>
      </w:r>
      <w:r w:rsidRPr="007201E0">
        <w:rPr>
          <w:rFonts w:ascii="Times New Roman" w:hAnsi="Times New Roman" w:cs="Times New Roman"/>
          <w:sz w:val="28"/>
          <w:szCs w:val="28"/>
        </w:rPr>
        <w:t>i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 xml:space="preserve">obowiązków wykonawcy należeć będzie opracowanie Projektu </w:t>
      </w:r>
      <w:r>
        <w:rPr>
          <w:rFonts w:ascii="Times New Roman" w:hAnsi="Times New Roman" w:cs="Times New Roman"/>
          <w:sz w:val="28"/>
          <w:szCs w:val="28"/>
        </w:rPr>
        <w:t>budowlanego, uzyskanie</w:t>
      </w:r>
      <w:r w:rsidRPr="007201E0">
        <w:rPr>
          <w:rFonts w:ascii="Times New Roman" w:hAnsi="Times New Roman" w:cs="Times New Roman"/>
          <w:sz w:val="28"/>
          <w:szCs w:val="28"/>
        </w:rPr>
        <w:t xml:space="preserve"> wszelkich wymaganych uzgodnień oraz uzyskanie osta</w:t>
      </w:r>
      <w:r>
        <w:rPr>
          <w:rFonts w:ascii="Times New Roman" w:hAnsi="Times New Roman" w:cs="Times New Roman"/>
          <w:sz w:val="28"/>
          <w:szCs w:val="28"/>
        </w:rPr>
        <w:t xml:space="preserve">tecznej decyzji </w:t>
      </w:r>
      <w:r w:rsidR="00C547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o pozwoleniu na</w:t>
      </w:r>
      <w:r w:rsidRPr="007201E0">
        <w:rPr>
          <w:rFonts w:ascii="Times New Roman" w:hAnsi="Times New Roman" w:cs="Times New Roman"/>
          <w:sz w:val="28"/>
          <w:szCs w:val="28"/>
        </w:rPr>
        <w:t xml:space="preserve"> budowę – przed rozpoczęciem robót.</w:t>
      </w:r>
    </w:p>
    <w:p w:rsidR="000118C3" w:rsidRDefault="000118C3" w:rsidP="000118C3">
      <w:pPr>
        <w:tabs>
          <w:tab w:val="num" w:pos="720"/>
        </w:tabs>
        <w:spacing w:after="120"/>
        <w:jc w:val="both"/>
      </w:pPr>
    </w:p>
    <w:p w:rsidR="00E9500A" w:rsidRPr="007201E0" w:rsidRDefault="00C547D8" w:rsidP="00E9500A">
      <w:pPr>
        <w:tabs>
          <w:tab w:val="left" w:pos="7174"/>
          <w:tab w:val="right" w:pos="9026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E9500A" w:rsidRPr="007201E0">
        <w:rPr>
          <w:rFonts w:ascii="Times New Roman" w:hAnsi="Times New Roman" w:cs="Times New Roman"/>
          <w:sz w:val="28"/>
          <w:szCs w:val="28"/>
        </w:rPr>
        <w:t>pracował:</w:t>
      </w:r>
    </w:p>
    <w:p w:rsidR="00E9500A" w:rsidRPr="007201E0" w:rsidRDefault="00E9500A" w:rsidP="00E950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Kazimierz Łukaszewicz</w:t>
      </w:r>
    </w:p>
    <w:p w:rsidR="00E9500A" w:rsidRPr="007201E0" w:rsidRDefault="00E9500A" w:rsidP="00E950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00A" w:rsidRDefault="00E9500A" w:rsidP="000118C3">
      <w:pPr>
        <w:tabs>
          <w:tab w:val="num" w:pos="720"/>
        </w:tabs>
        <w:spacing w:after="120"/>
        <w:jc w:val="both"/>
      </w:pPr>
    </w:p>
    <w:sectPr w:rsidR="00E9500A" w:rsidSect="00CB3E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239" w:rsidRDefault="00950239" w:rsidP="00F355F1">
      <w:pPr>
        <w:spacing w:after="0" w:line="240" w:lineRule="auto"/>
      </w:pPr>
      <w:r>
        <w:separator/>
      </w:r>
    </w:p>
  </w:endnote>
  <w:endnote w:type="continuationSeparator" w:id="0">
    <w:p w:rsidR="00950239" w:rsidRDefault="00950239" w:rsidP="00F3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B25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3AE0" w:rsidRDefault="00950239" w:rsidP="00FF33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B25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36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E2674" w:rsidRDefault="004E2674" w:rsidP="004E26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3670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36A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93AE0" w:rsidRDefault="00950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239" w:rsidRDefault="00950239" w:rsidP="00F355F1">
      <w:pPr>
        <w:spacing w:after="0" w:line="240" w:lineRule="auto"/>
      </w:pPr>
      <w:r>
        <w:separator/>
      </w:r>
    </w:p>
  </w:footnote>
  <w:footnote w:type="continuationSeparator" w:id="0">
    <w:p w:rsidR="00950239" w:rsidRDefault="00950239" w:rsidP="00F3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3C292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335914</wp:posOffset>
              </wp:positionV>
              <wp:extent cx="5943600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88DD32" id="Line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45pt" to="468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166"/>
      <w:gridCol w:w="2522"/>
      <w:gridCol w:w="3600"/>
    </w:tblGrid>
    <w:tr w:rsidR="001673B9" w:rsidRPr="00C36B59" w:rsidTr="00601007">
      <w:tc>
        <w:tcPr>
          <w:tcW w:w="3166" w:type="dxa"/>
          <w:shd w:val="clear" w:color="auto" w:fill="auto"/>
        </w:tcPr>
        <w:p w:rsidR="001673B9" w:rsidRPr="00C36B59" w:rsidRDefault="00950239" w:rsidP="00F355F1">
          <w:pPr>
            <w:pStyle w:val="Nagwek"/>
            <w:rPr>
              <w:sz w:val="16"/>
            </w:rPr>
          </w:pPr>
        </w:p>
      </w:tc>
      <w:tc>
        <w:tcPr>
          <w:tcW w:w="2522" w:type="dxa"/>
          <w:shd w:val="clear" w:color="auto" w:fill="auto"/>
        </w:tcPr>
        <w:p w:rsidR="001673B9" w:rsidRPr="00C36B59" w:rsidRDefault="00950239" w:rsidP="001673B9">
          <w:pPr>
            <w:pStyle w:val="Nagwek"/>
            <w:jc w:val="center"/>
            <w:rPr>
              <w:sz w:val="16"/>
            </w:rPr>
          </w:pPr>
        </w:p>
      </w:tc>
      <w:tc>
        <w:tcPr>
          <w:tcW w:w="3600" w:type="dxa"/>
          <w:shd w:val="clear" w:color="auto" w:fill="auto"/>
        </w:tcPr>
        <w:p w:rsidR="001673B9" w:rsidRPr="00C36B59" w:rsidRDefault="00950239" w:rsidP="001673B9">
          <w:pPr>
            <w:pStyle w:val="Legenda"/>
            <w:outlineLvl w:val="0"/>
            <w:rPr>
              <w:b w:val="0"/>
              <w:i/>
              <w:sz w:val="16"/>
              <w:szCs w:val="16"/>
            </w:rPr>
          </w:pPr>
        </w:p>
      </w:tc>
    </w:tr>
    <w:tr w:rsidR="001673B9" w:rsidRPr="00F355F1" w:rsidTr="00601007">
      <w:tc>
        <w:tcPr>
          <w:tcW w:w="3166" w:type="dxa"/>
          <w:shd w:val="clear" w:color="auto" w:fill="auto"/>
        </w:tcPr>
        <w:p w:rsidR="001673B9" w:rsidRPr="00C36B59" w:rsidRDefault="00950239" w:rsidP="001673B9">
          <w:pPr>
            <w:jc w:val="center"/>
            <w:rPr>
              <w:i/>
              <w:iCs/>
              <w:sz w:val="16"/>
              <w:szCs w:val="16"/>
            </w:rPr>
          </w:pPr>
        </w:p>
      </w:tc>
      <w:tc>
        <w:tcPr>
          <w:tcW w:w="2522" w:type="dxa"/>
          <w:shd w:val="clear" w:color="auto" w:fill="auto"/>
        </w:tcPr>
        <w:p w:rsidR="001673B9" w:rsidRPr="00C36B59" w:rsidRDefault="00950239" w:rsidP="001673B9">
          <w:pPr>
            <w:pStyle w:val="Nagwek"/>
            <w:jc w:val="center"/>
            <w:rPr>
              <w:sz w:val="16"/>
            </w:rPr>
          </w:pPr>
        </w:p>
      </w:tc>
      <w:tc>
        <w:tcPr>
          <w:tcW w:w="3600" w:type="dxa"/>
          <w:shd w:val="clear" w:color="auto" w:fill="auto"/>
        </w:tcPr>
        <w:p w:rsidR="001673B9" w:rsidRPr="00C36B59" w:rsidRDefault="00950239" w:rsidP="001673B9">
          <w:pPr>
            <w:pStyle w:val="Nagwek"/>
            <w:jc w:val="center"/>
            <w:rPr>
              <w:sz w:val="16"/>
              <w:szCs w:val="16"/>
              <w:lang w:val="en-US"/>
            </w:rPr>
          </w:pPr>
        </w:p>
      </w:tc>
    </w:tr>
  </w:tbl>
  <w:p w:rsidR="00C93AE0" w:rsidRPr="00D04067" w:rsidRDefault="003C2925" w:rsidP="007A0D7A">
    <w:pPr>
      <w:pStyle w:val="Nagwek"/>
      <w:rPr>
        <w:sz w:val="16"/>
        <w:lang w:val="en-US"/>
      </w:rPr>
    </w:pPr>
    <w:r>
      <w:rPr>
        <w:i/>
        <w:iCs/>
        <w:noProof/>
        <w:sz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87629</wp:posOffset>
              </wp:positionV>
              <wp:extent cx="59436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F27004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9pt" to="46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" strokeweight="1.5pt"/>
          </w:pict>
        </mc:Fallback>
      </mc:AlternateContent>
    </w:r>
  </w:p>
  <w:p w:rsidR="00C93AE0" w:rsidRPr="007A0D7A" w:rsidRDefault="00950239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32FCC"/>
    <w:multiLevelType w:val="hybridMultilevel"/>
    <w:tmpl w:val="A1E2C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F1"/>
    <w:rsid w:val="000118C3"/>
    <w:rsid w:val="00175D03"/>
    <w:rsid w:val="003C2925"/>
    <w:rsid w:val="004E2674"/>
    <w:rsid w:val="00731668"/>
    <w:rsid w:val="00745EA9"/>
    <w:rsid w:val="008E0D00"/>
    <w:rsid w:val="00950239"/>
    <w:rsid w:val="00C547D8"/>
    <w:rsid w:val="00C73C7F"/>
    <w:rsid w:val="00D82005"/>
    <w:rsid w:val="00DE679F"/>
    <w:rsid w:val="00DF5141"/>
    <w:rsid w:val="00E036A2"/>
    <w:rsid w:val="00E9500A"/>
    <w:rsid w:val="00F355F1"/>
    <w:rsid w:val="00F4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2E2D9"/>
  <w15:docId w15:val="{0D713064-2BF0-48E7-956B-753572FA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55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355F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F355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355F1"/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F355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Numerstrony">
    <w:name w:val="page number"/>
    <w:basedOn w:val="Domylnaczcionkaakapitu"/>
    <w:rsid w:val="00F355F1"/>
  </w:style>
  <w:style w:type="paragraph" w:styleId="Akapitzlist">
    <w:name w:val="List Paragraph"/>
    <w:basedOn w:val="Normalny"/>
    <w:uiPriority w:val="34"/>
    <w:qFormat/>
    <w:rsid w:val="00F355F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E267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26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6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26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6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6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2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B62D8-94F8-44B7-9DA9-1B95228D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Katarzyna Żęgota</cp:lastModifiedBy>
  <cp:revision>3</cp:revision>
  <dcterms:created xsi:type="dcterms:W3CDTF">2023-05-11T06:35:00Z</dcterms:created>
  <dcterms:modified xsi:type="dcterms:W3CDTF">2023-05-11T06:38:00Z</dcterms:modified>
</cp:coreProperties>
</file>