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9" w:type="dxa"/>
        <w:tblInd w:w="-18" w:type="dxa"/>
        <w:tblLayout w:type="fixed"/>
        <w:tblCellMar>
          <w:top w:w="55" w:type="dxa"/>
          <w:left w:w="71" w:type="dxa"/>
          <w:bottom w:w="55" w:type="dxa"/>
          <w:right w:w="71" w:type="dxa"/>
        </w:tblCellMar>
        <w:tblLook w:val="0000" w:firstRow="0" w:lastRow="0" w:firstColumn="0" w:lastColumn="0" w:noHBand="0" w:noVBand="0"/>
      </w:tblPr>
      <w:tblGrid>
        <w:gridCol w:w="450"/>
        <w:gridCol w:w="1538"/>
        <w:gridCol w:w="10537"/>
        <w:gridCol w:w="2044"/>
      </w:tblGrid>
      <w:tr w:rsidR="00F85532">
        <w:trPr>
          <w:trHeight w:val="284"/>
        </w:trPr>
        <w:tc>
          <w:tcPr>
            <w:tcW w:w="14569" w:type="dxa"/>
            <w:gridSpan w:val="4"/>
            <w:shd w:val="clear" w:color="auto" w:fill="auto"/>
            <w:vAlign w:val="center"/>
          </w:tcPr>
          <w:p w:rsidR="00F85532" w:rsidRDefault="00EF3670" w:rsidP="00EF3670">
            <w:pPr>
              <w:tabs>
                <w:tab w:val="left" w:pos="10083"/>
                <w:tab w:val="left" w:pos="12492"/>
              </w:tabs>
              <w:spacing w:after="57" w:line="259" w:lineRule="auto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Nr sprawy ZP.271.2.2022                                                                                                                                                                                     </w:t>
            </w:r>
            <w:r w:rsidR="0000164F">
              <w:rPr>
                <w:rFonts w:ascii="Calibri" w:hAnsi="Calibri"/>
                <w:sz w:val="24"/>
                <w:szCs w:val="24"/>
              </w:rPr>
              <w:t xml:space="preserve">Załącznik nr 1 do SWZ </w:t>
            </w:r>
          </w:p>
          <w:p w:rsidR="00F85532" w:rsidRDefault="0000164F">
            <w:pPr>
              <w:widowControl w:val="0"/>
              <w:spacing w:after="21" w:line="259" w:lineRule="auto"/>
              <w:ind w:left="13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Szczegółowy </w:t>
            </w:r>
            <w:r w:rsidR="00EF3670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Opis Przedmiotu Zamówienia 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32" w:rsidRDefault="0000164F">
            <w:pPr>
              <w:pStyle w:val="Tabelapozycja"/>
              <w:widowControl w:val="0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32" w:rsidRDefault="0000164F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Nazwa komponentu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532" w:rsidRDefault="0000164F">
            <w:pPr>
              <w:widowControl w:val="0"/>
              <w:ind w:left="-7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Wymagane minimalne parametry techniczne komputerów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32" w:rsidRDefault="0000164F">
            <w:pPr>
              <w:widowControl w:val="0"/>
              <w:ind w:left="-7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Oferowane parametry techniczne sprzętu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Typ komputera i jego zastosowanie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 ofercie należy podać nazwę producenta, typ, model oraz numer katalogowy oferowanego sprzętu umożliwiający jednoznaczną identyfikację oferowanej konfiguracji u producenta komputera. Komputer przenośny - laptop </w:t>
            </w:r>
            <w:r w:rsidR="00F80148">
              <w:rPr>
                <w:rFonts w:ascii="Calibri" w:hAnsi="Calibri"/>
                <w:sz w:val="24"/>
                <w:szCs w:val="24"/>
              </w:rPr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 xml:space="preserve">będzie wykorzystywany dla potrzeb aplikacji biurowych, dostępu do internetu oraz poczty elektronicznej, jako lokalna baza danych, stacja programistyczna.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8D2158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Producent</w:t>
            </w:r>
            <w:r w:rsidR="0000164F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8D2158" w:rsidRDefault="008D2158" w:rsidP="008D2158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Model</w:t>
            </w:r>
          </w:p>
          <w:p w:rsidR="00F85532" w:rsidRDefault="0000164F" w:rsidP="008D2158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Typ</w:t>
            </w:r>
            <w:r w:rsidR="00F80148">
              <w:rPr>
                <w:rFonts w:ascii="Calibri" w:hAnsi="Calibri"/>
                <w:sz w:val="24"/>
                <w:szCs w:val="24"/>
              </w:rPr>
              <w:t>, nr katalogowy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Ekran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Matryca min. 15,6” z podświetleniem w technologii LED, powłoka antyrefleksyjna Anti-Glare, rozdzielczość: Full HD 1920x1080, 250nits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Wielkość matrycy</w:t>
            </w:r>
          </w:p>
          <w:p w:rsidR="00F85532" w:rsidRDefault="00F85532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Obudowa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Obudowa wyposażona w zawiasy metalowe. Kąt otwarcia matrycy min.178 stopni.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 obudowę wbudowane co najmniej 2 diody sygnalizujące: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min. 3 stany ładowania komputera (min. odłączone zasilanie, ładowanie, naładowany)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kamera video 720p z mechaniczną zasłoną obiektywu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min. trzy stany pracy komputera (min. wyłączony/zahibernowany, uśpiony, włączony)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Chipset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Dostosowany do zaoferowanego procesora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Płyta główna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Zaprojektowana i wyprodukowana przez producenta komputera wyposażona w interfejs SATA III (6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Gb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/s) do obsługi dysków twardych. Płyta główna i konstrukcja laptopa wspierająca konfiguracje dwu dyskową SSD M.2 + HDD/SSD 2,5”.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Procesor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Procesor wielordzeniowy ze zintegrowaną grafiką, zaprojektowany do pracy w komputerach przenośnych klasy x86. Punktacja procesora na poziomie wydajności liczonej w punktach równa lub wyższa procesorowi Intel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Core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i3-1115G4 na podstawie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PerformanceTest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w teście CPU Mark według wyników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Avarage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CPU Mark opublikowanych na http://www.cpubenchmark.net/. Wykonawca w składanej ofercie winien podać dokładny model oferowanego procesora i osiągnięty wynik testu – wydruk testu </w:t>
            </w:r>
            <w:r>
              <w:rPr>
                <w:rFonts w:ascii="Calibri" w:hAnsi="Calibri"/>
                <w:bCs/>
                <w:sz w:val="24"/>
                <w:szCs w:val="24"/>
              </w:rPr>
              <w:t>należy załączyć do oferty.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Procesor, model, wynik testu </w:t>
            </w:r>
          </w:p>
          <w:p w:rsidR="00F85532" w:rsidRDefault="00F85532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Pamięć operacyjna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Pamięć operacyjna min. 8 GB z możliwością rozbudowy do 12 GB.  Pamięć RAM działająca w trybie dual channel.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Wolny slot pamięci – min. 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Ilość:                 GB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Karta graficzna</w:t>
            </w:r>
          </w:p>
        </w:tc>
        <w:tc>
          <w:tcPr>
            <w:tcW w:w="105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Zintegrowana karta graficzna wykorzystująca pamięć RAM systemu dynamicznie przydzielaną na potrzeby grafiki w trybie UMA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Unified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Memory Access) – z możliwością dynamicznego przydzielenia pamięci.</w:t>
            </w:r>
          </w:p>
          <w:p w:rsidR="00F85532" w:rsidRDefault="00F85532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Dysk twardy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Min. jeden dysk 240 GB M.2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PCIe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NVMe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, zawierający partycję RECOVERY umożliwiającą odtworzenie systemu operacyjnego fabrycznie zainstalowanego na komputerze po awarii. Możliwość rozbudowy do konfiguracji dwu dyskowej w oparciu o dysk M.2 SSD oraz SSD 2,5”. Zatoka 2,5” gotowa do dołożenia dysku twardego. Nie dopuszcza się dysków z pamięciami QLC.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  <w:p w:rsidR="008D2158" w:rsidRDefault="008D2158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Ilość:                 GB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Audio/Video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Wbudowana zgodna z HD Audio karta dźwiękowa, wbudowane głośniki stereo Dolby Audio, wbudowane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mute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), wbudowana kamera internetowa 720p z wbudowaną mechaniczną zasłoną obiektywu (nie dopuszcza się elementów instalowanych po produkcyjnie, naklejanych itp.)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Porty/złącza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3xUSB w tym min. 2xUSB 3.1, złącze słuchawek i złącze mikrofonu typu COMBO, HDMI, port LAN RJ-45. Dedykowany przycisk umożliwiający odtworzenie systemu z partycji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Recovery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Port zasilania – zasilanie nie może wykorzystywać wymaganych portów USB.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Klawiatura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Klawiatura, układ QWERTY.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WiFi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Wbudowana karta sieciowa, pracująca w standardzie AC wyposażona w anteny 2x2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Bluetooth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Wbudowany moduł Bluetooth min. 5.0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Bateria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Bateria – min. 2 ogniwa, pozwalająca na nieprzerwaną pracę urządzenia do 5h. Czas pracy na baterii potwierdzony w teście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MobileMark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>® 2018 – wydruk testu należy dołączyć do oferty.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Zasilacz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Zasilacz zewnętrzny max 65W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F85532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BIOS  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BIOS zgodny ze specyfikacją UEFI.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Możliwość odczytania z BIOS bez uruchamiania systemu operacyjnego z dysku twardego komputera lub innych podłączonych do niego urządzeń zewnętrznych następujących informacji: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- wersja BIOS 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S/N (P/N) laptopa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wielkość pamięci RAM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typ procesora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zainstalowane dyski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o zintegrowanej w BIOS licencji na system operacyjny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>- odczytania z BIOS nazwy producenta komputera oraz modelu lub konfiguracji zaoferowanej jednostki.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Nie dopuszcza się wykorzystania pól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Asset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TAG w BIOS do propagacji w/w informacji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Administrator z poziomu BIOS musi mieć możliwość ustawienia: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hasła dla twardego dysku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hasła Administratora oraz Użytkownika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zmiana kolejności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bootowania</w:t>
            </w:r>
            <w:proofErr w:type="spellEnd"/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włączania/wyłączania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WiFi</w:t>
            </w:r>
            <w:proofErr w:type="spellEnd"/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włączania/wyłączania wirtualizacji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włączania/wyłączania wgrania starszej wersji BIOS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sposobu działania klawiszy F1-F12 (normalna praca/skróty)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trybu wydajności lub chłodzenia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W przypadku występowania na klawiaturze przycisku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Fn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wymaga się funkcjonalności w BIOS umożliwiającej zamianę funkcji pomiędzy klawiszami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Ctrl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Fn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, tak aby użytkownik nie musiał zmieniać swoich przyzwyczajeń umiejscowienia przycisków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Ctrl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Fn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>, co wpływa na komfort obsługi.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Przy ustawionym haśle Administratora, zalogowany Użytkownik do BIOS musi mieć możliwość zmiany własnego hasła. Nie dopuszcza się możliwości edycji ustawień wpływających na bezpieczeństwo urządzenia.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bootujących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typu USB, natomiast po uruchomieniu systemu operacyjnego porty USB są aktywne.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Certyfikat ISO9001:2000 dla producenta sprzętu </w:t>
            </w:r>
          </w:p>
          <w:p w:rsidR="00F85532" w:rsidRDefault="0000164F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ENERGY STAR 8.0</w:t>
            </w:r>
          </w:p>
          <w:p w:rsidR="00F85532" w:rsidRDefault="0000164F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Deklaracja zgodności CE</w:t>
            </w:r>
          </w:p>
          <w:p w:rsidR="00F85532" w:rsidRDefault="0000164F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TÜV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Rheinland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Low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Blue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Light</w:t>
            </w:r>
            <w:proofErr w:type="spellEnd"/>
          </w:p>
          <w:p w:rsidR="00F85532" w:rsidRPr="00F6242B" w:rsidRDefault="0000164F" w:rsidP="00F6242B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RoHS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Unii Europejskiej o eliminacji substancji niebezpiecznych w postaci oświadczenia producenta jednostki.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Bezpieczeństwo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Komputer wyposażony w moduł TPM 2.0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- Slot typu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Kensington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(Komputery wyposażone w złącze Noble Lock  lub podobne - muszą zostać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zaoferowane z certyfikowanym przez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Kensington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i kompatybilnym adapterem ze złącza Noble Lock do złącza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Kensington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>);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Mechaniczna zasłona kamery wbudowana trwale w ekran komputera na etapie produkcji (nie dopuszcza się elementów instalowanych po produkcyjnie, naklejanych itp.);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- Dysk systemowy zawierający partycję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Recovery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umożliwiające odtworzenie systemu operacyjnego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fabrycznie zainstalowanego na komputerze po awarii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Waga /Wymiary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Waga urządzenia z baterią podstawową max 1,75 kg, grubość laptopa nieprzekraczająca 20 mm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105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Zainstalowany system operacyjny Windows 10 lub 11 PL x64 w polskiej wersji językowej lub równoważny spełniający co najmniej następujące wymagania poprzez wbudowane mechanizmy, bez użycia dodatkowych aplikacji: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1. Rodzaj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graficznego interfejsu użytkownika: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- 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Klasyczny, umożliwiający obsługę przy pomocy klawiatury i myszy,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Interfejs użytkownika dostępny w wielu językach do wyboru – w tym polskim i angielskim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tworzenia pulpitów wirtualnych, przenoszenia aplikacji pomiędzy pulpitami i przełączanie się pomiędzy pulpitami za pomocą skrótów klawiaturowych lub GUI.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Wbudowane w system operacyjny minimum dwie przeglądarki Internetowe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5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6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Zlokalizowane w języku polskim, co najmniej następujące elementy: menu, pomoc, komunikaty systemowe, menedżer plików.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7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Graficzne środowisko instalacji i konfiguracji dostępne w języku polskim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8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Wbudowany system pomocy w języku polskim.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9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przystosowania stanowiska dla osób niepełnosprawnych (np. słabo widzących).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dokonywania aktualizacji i poprawek systemu poprzez mechanizm zarządzany przez administratora systemu Zamawiającego.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Możliwość dostarczania poprawek do systemu operacyjnego w modelu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peer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-to-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peer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sterowania czasem dostarczania nowych wersji systemu operacyjnego, możliwość centralnego opóźniania dostarczania nowej wersji o minimum 4 miesiące.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13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Zabezpieczony hasłem hierarchiczny dostęp do systemu, konta i profile użytkowników zarządzane zdalnie; praca systemu w trybie ochrony kont użytkowników.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dołączenia systemu do usługi katalogowej on-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premise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lub w chmurze.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15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Umożliwienie zablokowania urządzenia w ramach danego konta tylko do uruchamiania wybranej aplikacji - tryb "kiosk".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Zdalna pomoc i współdzielenie aplikacji – możliwość zdalnego przejęcia sesji zalogowanego użytkownika celem rozwiązania problemu z komputerem.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18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Transakcyjny system plików pozwalający na stosowanie przydziałów (ang.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quota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) na dysku dla użytkowników oraz zapewniający większą niezawodność i pozwalający tworzyć kopie zapasowe.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19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Oprogramowanie dla tworzenia kopii zapasowych (Backup); automatyczne wykonywanie kopii plików z możliwością automatycznego przywrócenia wersji wcześniejszej.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20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przywracania obrazu plików systemowych do uprzednio zapisanej postaci.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21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przywracania systemu operacyjnego do stanu początkowego z pozostawieniem plików użytkownika.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blokowania lub dopuszczania dowolnych urządzeń peryferyjnych za pomocą polityk grupowych (np. przy użyciu numerów identyfikacyjnych sprzętu)."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23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Wbudowany mechanizm wirtualizacji typu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hypervisor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."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24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Wbudowana możliwość zdalnego dostępu do systemu i pracy zdalnej z wykorzystaniem pełnego interfejsu graficznego.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Dostępność bezpłatnych biuletynów bezpieczeństwa związanych z działaniem systemu operacyjnego.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26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Wbudowana zapora internetowa (firewall) dla ochrony połączeń internetowych, zintegrowana z systemem konsola do zarządzania ustawieniami zapory i regułami IP v4 i IP v6.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27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28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29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Wbudowany system uwierzytelnienia dwuskładnikowego oparty o certyfikat lub klucz prywatny oraz PIN lub uwierzytelnienie biometryczne.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30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Wbudowane mechanizmy ochrony antywirusowej i przeciw złośliwemu oprogramowaniu z 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lastRenderedPageBreak/>
              <w:t>zapewnionymi bezpłatnymi aktualizacjami.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31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Wbudowany system szyfrowania dysku twardego ze wsparciem modułu TPM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tworzenia i przechowywania kopii zapasowych kluczy odzyskiwania do szyfrowania dysku w usługach katalogowych.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tworzenia wirtualnych kart inteligentnych.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34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Wsparcie dla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firmware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UEFI i funkcji bezpiecznego rozruchu (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Secure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Boot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)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Wbudowany w system, wykorzystywany automatycznie przez wbudowane przeglądarki filtr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reputacyjny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URL.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36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Wsparcie dla IPSEC oparte na politykach – wdrażanie IPSEC oparte na zestawach reguł definiujących ustawienia zarządzanych w sposób centralny.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37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Mechanizmy logowania w oparciu o: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a. Login i hasło,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b. Karty inteligentne i certyfikaty (Smart Card),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c. Wirtualne karty inteligentne i certyfikaty (logowanie w oparciu o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    certyfikat chroniony poprzez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    moduł TPM),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d. Certyfikat/Klucz i PIN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e. Certyfikat/Klucz i uwierzytelnienie biometryczne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38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Wsparcie dla uwierzytelniania na bazie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Kerberos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v.5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39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Wbudowany agent do zbierania danych na temat zagrożeń na stacji roboczej.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40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Wsparcie .NET Framework 2.x, 3.x i 4.x – możliwość uruchomienia aplikacji działających we wskazanych środowiskach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41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Wsparcie dla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VBScript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– możliwość uruchamiania interpretera poleceń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Wsparcie dla Power Shell 5.x – możliwość uruchamiania interpretera poleceń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43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Klucz licencyjny musi być zapisany trwale w BIOS, tak aby umożliwiać instalacje systemu operacyjnego bez potrzeby ręcznego wpisywania klucza licencyjnego i aktywacje automatyczną systemu po podłączeniu do internetu.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F85532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Nazwa systemu operacyjnego, wersja.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W przypadku systemu równoważnego załączyć wydruk ze strony producenta oprogramowania lub zaświadczenie potwierdzające spełnienie wymagań.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Gwarancja producenta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Min. 24 miesiące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Ilość:               m-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cy</w:t>
            </w:r>
            <w:proofErr w:type="spellEnd"/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tabs>
                <w:tab w:val="left" w:pos="213"/>
              </w:tabs>
              <w:spacing w:line="300" w:lineRule="exac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Wsparcie techniczne producenta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- możliwość weryfikacji u producenta konfiguracji fabrycznej zakupionego sprzętu 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- możliwość weryfikacji na stronie producenta posiadanej/wykupionej gwarancji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- możliwość weryfikacji statusu naprawy urządzenia po podaniu unikalnego S/N (P/N)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- naprawy gwarancyjne urządzeń muszą być realizowany przez Producenta lub Autoryzowanego Partnera Serwisowego Producenta.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tabs>
                <w:tab w:val="left" w:pos="213"/>
              </w:tabs>
              <w:spacing w:line="300" w:lineRule="exact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Wymagania dodatkowe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8D2158" w:rsidP="008D2158">
            <w:pPr>
              <w:pStyle w:val="Akapitzlist"/>
              <w:spacing w:after="200" w:line="276" w:lineRule="auto"/>
              <w:ind w:left="1200"/>
              <w:contextualSpacing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 xml:space="preserve">Dostarczony sprzęt musi być : </w:t>
            </w:r>
          </w:p>
          <w:p w:rsidR="008D2158" w:rsidRDefault="008D2158" w:rsidP="008D2158">
            <w:pPr>
              <w:pStyle w:val="Akapitzlist"/>
              <w:spacing w:after="200" w:line="276" w:lineRule="auto"/>
              <w:ind w:left="1200"/>
              <w:contextualSpacing/>
              <w:rPr>
                <w:rFonts w:eastAsia="Calibri" w:cs="Tahoma"/>
                <w:sz w:val="24"/>
                <w:szCs w:val="24"/>
              </w:rPr>
            </w:pPr>
          </w:p>
          <w:p w:rsidR="008D2158" w:rsidRDefault="008D2158" w:rsidP="008D2158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 xml:space="preserve">fabrycznie nowy, </w:t>
            </w:r>
          </w:p>
          <w:p w:rsidR="008D2158" w:rsidRDefault="008D2158" w:rsidP="008D2158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nieużywany ( bez śladów  użytkowania),</w:t>
            </w:r>
            <w:r w:rsidRPr="00554250">
              <w:rPr>
                <w:rFonts w:eastAsia="Calibri" w:cs="Tahoma"/>
                <w:sz w:val="24"/>
                <w:szCs w:val="24"/>
              </w:rPr>
              <w:t xml:space="preserve"> </w:t>
            </w:r>
          </w:p>
          <w:p w:rsidR="008D2158" w:rsidRDefault="008D2158" w:rsidP="008D2158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 w:cs="Tahoma"/>
                <w:sz w:val="24"/>
                <w:szCs w:val="24"/>
              </w:rPr>
            </w:pPr>
            <w:r w:rsidRPr="00554250">
              <w:rPr>
                <w:rFonts w:eastAsia="Calibri" w:cs="Tahoma"/>
                <w:sz w:val="24"/>
                <w:szCs w:val="24"/>
              </w:rPr>
              <w:t xml:space="preserve"> wolny od wad technicznych i prawnych,</w:t>
            </w:r>
          </w:p>
          <w:p w:rsidR="008D2158" w:rsidRPr="008D2158" w:rsidRDefault="008D2158" w:rsidP="008D2158">
            <w:pPr>
              <w:pStyle w:val="Akapitzlist"/>
              <w:numPr>
                <w:ilvl w:val="0"/>
                <w:numId w:val="4"/>
              </w:numPr>
              <w:rPr>
                <w:rFonts w:eastAsia="Calibri" w:cs="Tahoma"/>
                <w:sz w:val="24"/>
                <w:szCs w:val="24"/>
              </w:rPr>
            </w:pPr>
            <w:r w:rsidRPr="008D2158">
              <w:rPr>
                <w:rFonts w:eastAsia="Calibri" w:cs="Tahoma"/>
                <w:sz w:val="24"/>
                <w:szCs w:val="24"/>
              </w:rPr>
              <w:t>pochodzić z legalnych źródeł oraz zostać dostarczony ze wszystkimi elementami pozwalającymi na potwierdzenie legalności ich pochodzenia.</w:t>
            </w:r>
          </w:p>
          <w:p w:rsidR="008D2158" w:rsidRDefault="008D2158" w:rsidP="008D2158">
            <w:pPr>
              <w:pStyle w:val="Akapitzlist"/>
              <w:spacing w:after="200" w:line="276" w:lineRule="auto"/>
              <w:ind w:left="1200"/>
              <w:contextualSpacing/>
              <w:rPr>
                <w:rFonts w:eastAsia="Calibri" w:cs="Tahoma"/>
                <w:sz w:val="24"/>
                <w:szCs w:val="24"/>
              </w:rPr>
            </w:pPr>
          </w:p>
          <w:p w:rsidR="00F85532" w:rsidRDefault="00F85532" w:rsidP="008D2158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</w:tbl>
    <w:p w:rsidR="00F85532" w:rsidRDefault="00F85532">
      <w:pPr>
        <w:rPr>
          <w:rFonts w:ascii="Times New Roman" w:hAnsi="Times New Roman"/>
          <w:sz w:val="18"/>
          <w:szCs w:val="18"/>
        </w:rPr>
      </w:pPr>
    </w:p>
    <w:p w:rsidR="00F6242B" w:rsidRDefault="00F6242B">
      <w:pPr>
        <w:rPr>
          <w:rFonts w:ascii="Times New Roman" w:hAnsi="Times New Roman"/>
          <w:sz w:val="18"/>
          <w:szCs w:val="18"/>
        </w:rPr>
      </w:pPr>
    </w:p>
    <w:p w:rsidR="00F6242B" w:rsidRPr="00F6242B" w:rsidRDefault="00F6242B" w:rsidP="00F6242B">
      <w:pPr>
        <w:rPr>
          <w:rFonts w:asciiTheme="minorHAnsi" w:hAnsiTheme="minorHAnsi" w:cstheme="minorHAnsi"/>
          <w:color w:val="FF0000"/>
        </w:rPr>
      </w:pPr>
      <w:r w:rsidRPr="00F6242B">
        <w:rPr>
          <w:rFonts w:asciiTheme="minorHAnsi" w:hAnsiTheme="minorHAnsi" w:cstheme="minorHAnsi"/>
          <w:iCs/>
          <w:color w:val="FF0000"/>
        </w:rPr>
        <w:t>Niniejszy dokument należy opatrzyć kwalifikowanym podpisem elektronicznym lub podpisem zaufanym lub podpisem osobistym właściwej, umocowanej osoby /właściwych, umocowanych osób</w:t>
      </w:r>
    </w:p>
    <w:p w:rsidR="00F6242B" w:rsidRPr="00F6242B" w:rsidRDefault="00F6242B" w:rsidP="00F6242B">
      <w:pPr>
        <w:rPr>
          <w:rFonts w:asciiTheme="minorHAnsi" w:hAnsiTheme="minorHAnsi" w:cstheme="minorHAnsi"/>
          <w:color w:val="FF0000"/>
        </w:rPr>
      </w:pPr>
    </w:p>
    <w:p w:rsidR="00F6242B" w:rsidRPr="00F6242B" w:rsidRDefault="00F6242B">
      <w:pPr>
        <w:rPr>
          <w:rFonts w:asciiTheme="minorHAnsi" w:hAnsiTheme="minorHAnsi" w:cstheme="minorHAnsi"/>
          <w:sz w:val="18"/>
          <w:szCs w:val="18"/>
        </w:rPr>
      </w:pPr>
    </w:p>
    <w:sectPr w:rsidR="00F6242B" w:rsidRPr="00F6242B">
      <w:pgSz w:w="16838" w:h="11906" w:orient="landscape"/>
      <w:pgMar w:top="1020" w:right="1134" w:bottom="102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6EA6"/>
    <w:multiLevelType w:val="hybridMultilevel"/>
    <w:tmpl w:val="30FEFDC4"/>
    <w:lvl w:ilvl="0" w:tplc="041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A550733"/>
    <w:multiLevelType w:val="multilevel"/>
    <w:tmpl w:val="B372BFB8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450B35"/>
    <w:multiLevelType w:val="multilevel"/>
    <w:tmpl w:val="2356F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0D4FC1"/>
    <w:multiLevelType w:val="multilevel"/>
    <w:tmpl w:val="D36A42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32"/>
    <w:rsid w:val="0000164F"/>
    <w:rsid w:val="000E2F7F"/>
    <w:rsid w:val="008D2158"/>
    <w:rsid w:val="00EF3670"/>
    <w:rsid w:val="00F6242B"/>
    <w:rsid w:val="00F80148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50A"/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F790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790B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elapozycja">
    <w:name w:val="Tabela pozycja"/>
    <w:basedOn w:val="Normalny"/>
    <w:qFormat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790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44BA0"/>
    <w:pPr>
      <w:spacing w:beforeAutospacing="1" w:afterAutospacing="1"/>
    </w:pPr>
    <w:rPr>
      <w:rFonts w:ascii="Times New Roman" w:eastAsiaTheme="minorHAnsi" w:hAnsi="Times New Roman"/>
      <w:sz w:val="24"/>
      <w:szCs w:val="24"/>
    </w:rPr>
  </w:style>
  <w:style w:type="paragraph" w:styleId="Poprawka">
    <w:name w:val="Revision"/>
    <w:uiPriority w:val="99"/>
    <w:semiHidden/>
    <w:qFormat/>
    <w:rsid w:val="00793B5E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50A"/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F790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790B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elapozycja">
    <w:name w:val="Tabela pozycja"/>
    <w:basedOn w:val="Normalny"/>
    <w:qFormat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790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44BA0"/>
    <w:pPr>
      <w:spacing w:beforeAutospacing="1" w:afterAutospacing="1"/>
    </w:pPr>
    <w:rPr>
      <w:rFonts w:ascii="Times New Roman" w:eastAsiaTheme="minorHAnsi" w:hAnsi="Times New Roman"/>
      <w:sz w:val="24"/>
      <w:szCs w:val="24"/>
    </w:rPr>
  </w:style>
  <w:style w:type="paragraph" w:styleId="Poprawka">
    <w:name w:val="Revision"/>
    <w:uiPriority w:val="99"/>
    <w:semiHidden/>
    <w:qFormat/>
    <w:rsid w:val="00793B5E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3A47-936C-4E43-A47B-E2F91947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2021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</cp:revision>
  <cp:lastPrinted>2022-04-29T10:19:00Z</cp:lastPrinted>
  <dcterms:created xsi:type="dcterms:W3CDTF">2022-04-29T10:33:00Z</dcterms:created>
  <dcterms:modified xsi:type="dcterms:W3CDTF">2022-05-04T05:53:00Z</dcterms:modified>
  <dc:language>pl-PL</dc:language>
</cp:coreProperties>
</file>