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6" w:rsidRPr="00037C76" w:rsidRDefault="00EC3CA7" w:rsidP="00037C76">
      <w:pPr>
        <w:suppressAutoHyphens/>
        <w:rPr>
          <w:rFonts w:cs="Arial"/>
          <w:kern w:val="1"/>
        </w:rPr>
      </w:pPr>
      <w:bookmarkStart w:id="0" w:name="_Hlk94010418"/>
      <w:r>
        <w:rPr>
          <w:rFonts w:cs="Arial"/>
          <w:bCs/>
          <w:kern w:val="1"/>
        </w:rPr>
        <w:t>OR-III.271.2</w:t>
      </w:r>
      <w:bookmarkStart w:id="1" w:name="_GoBack"/>
      <w:bookmarkEnd w:id="1"/>
      <w:r w:rsidR="00037C76" w:rsidRPr="00037C76">
        <w:rPr>
          <w:rFonts w:cs="Arial"/>
          <w:bCs/>
          <w:kern w:val="1"/>
        </w:rPr>
        <w:t>.30.2022</w:t>
      </w:r>
      <w:r w:rsidR="00037C76" w:rsidRPr="00037C76">
        <w:rPr>
          <w:rFonts w:eastAsia="Arial" w:cs="Arial"/>
          <w:bCs/>
          <w:kern w:val="1"/>
        </w:rPr>
        <w:t xml:space="preserve">                                                       </w:t>
      </w:r>
      <w:r w:rsidR="00037C76" w:rsidRPr="00037C76">
        <w:rPr>
          <w:rFonts w:cs="Arial"/>
          <w:kern w:val="1"/>
        </w:rPr>
        <w:t xml:space="preserve">                                            Gorlice,</w:t>
      </w:r>
      <w:r w:rsidR="00037C76" w:rsidRPr="00037C76">
        <w:rPr>
          <w:rFonts w:eastAsia="Arial" w:cs="Arial"/>
          <w:kern w:val="1"/>
        </w:rPr>
        <w:t xml:space="preserve"> </w:t>
      </w:r>
      <w:r w:rsidR="00037C76" w:rsidRPr="00037C76">
        <w:rPr>
          <w:rFonts w:cs="Arial"/>
          <w:kern w:val="1"/>
        </w:rPr>
        <w:t>26.07.2022 r.</w:t>
      </w:r>
    </w:p>
    <w:p w:rsidR="00037C76" w:rsidRPr="00037C76" w:rsidRDefault="00037C76" w:rsidP="00037C76">
      <w:pPr>
        <w:suppressAutoHyphens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  <w:r w:rsidRPr="00037C76">
        <w:rPr>
          <w:rFonts w:cs="Arial"/>
          <w:b/>
          <w:bCs/>
          <w:kern w:val="1"/>
          <w:sz w:val="26"/>
          <w:szCs w:val="26"/>
        </w:rPr>
        <w:t>do wszystkich Wykonawców</w:t>
      </w: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:rsidR="00037C76" w:rsidRPr="0001535C" w:rsidRDefault="00037C76" w:rsidP="00037C76">
      <w:pPr>
        <w:suppressAutoHyphens/>
        <w:ind w:left="992" w:hanging="992"/>
        <w:jc w:val="both"/>
        <w:rPr>
          <w:rFonts w:eastAsia="Calibri" w:cs="Calibri"/>
          <w:b/>
          <w:bCs/>
          <w:kern w:val="32"/>
        </w:rPr>
      </w:pPr>
      <w:r w:rsidRPr="0001535C">
        <w:rPr>
          <w:rFonts w:cs="Calibri"/>
          <w:b/>
          <w:bCs/>
          <w:kern w:val="32"/>
        </w:rPr>
        <w:t>dotyczy: Wyjaśnienia treści Specyfikacji Warunków Zamówienia (SWZ) i zmiany treści SWZ                      w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postępowaniu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o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zamówienie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publiczne</w:t>
      </w:r>
      <w:r w:rsidRPr="0001535C">
        <w:rPr>
          <w:rFonts w:eastAsia="Calibri" w:cs="Calibri"/>
          <w:b/>
          <w:bCs/>
          <w:kern w:val="32"/>
        </w:rPr>
        <w:t xml:space="preserve"> prowadzonym </w:t>
      </w:r>
      <w:r w:rsidRPr="0001535C">
        <w:rPr>
          <w:rFonts w:cs="Calibri"/>
          <w:b/>
          <w:bCs/>
          <w:kern w:val="32"/>
        </w:rPr>
        <w:t>w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trybie</w:t>
      </w:r>
      <w:r w:rsidRPr="0001535C">
        <w:rPr>
          <w:rFonts w:eastAsia="Calibri" w:cs="Calibri"/>
          <w:b/>
          <w:bCs/>
          <w:kern w:val="32"/>
        </w:rPr>
        <w:t xml:space="preserve"> podstawowym na</w:t>
      </w:r>
      <w:r w:rsidRPr="0001535C">
        <w:rPr>
          <w:rFonts w:cs="Calibri"/>
          <w:b/>
        </w:rPr>
        <w:t xml:space="preserve"> </w:t>
      </w:r>
      <w:r w:rsidRPr="0001535C">
        <w:rPr>
          <w:rFonts w:ascii="Arial" w:hAnsi="Arial" w:cs="Arial"/>
          <w:b/>
          <w:sz w:val="23"/>
          <w:szCs w:val="23"/>
        </w:rPr>
        <w:t>modernizację boisk szkolnych przy Miejskim Zespole Szkół Nr 5 w Gorlicach w systemie „zaprojektuj i wybuduj”</w:t>
      </w:r>
      <w:r w:rsidRPr="0001535C">
        <w:rPr>
          <w:rFonts w:cs="Calibri"/>
          <w:b/>
        </w:rPr>
        <w:t>.</w:t>
      </w:r>
    </w:p>
    <w:p w:rsidR="00037C76" w:rsidRPr="00037C76" w:rsidRDefault="00037C76" w:rsidP="00037C76">
      <w:pPr>
        <w:suppressAutoHyphens/>
        <w:rPr>
          <w:rFonts w:ascii="Calibri Light" w:hAnsi="Calibri Light" w:cs="Arial"/>
          <w:kern w:val="32"/>
          <w:sz w:val="26"/>
          <w:szCs w:val="26"/>
        </w:rPr>
      </w:pPr>
    </w:p>
    <w:p w:rsidR="00037C76" w:rsidRPr="00037C76" w:rsidRDefault="00037C76" w:rsidP="00037C76">
      <w:pPr>
        <w:pStyle w:val="Akapitzlist"/>
        <w:numPr>
          <w:ilvl w:val="0"/>
          <w:numId w:val="19"/>
        </w:numPr>
        <w:suppressAutoHyphens/>
        <w:spacing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037C76">
        <w:rPr>
          <w:rFonts w:ascii="Calibri" w:eastAsia="Times New Roman" w:hAnsi="Calibri"/>
          <w:b/>
          <w:kern w:val="1"/>
          <w:sz w:val="24"/>
          <w:u w:val="single"/>
          <w:lang w:eastAsia="pl-PL"/>
        </w:rPr>
        <w:t>Zapytanie</w:t>
      </w:r>
      <w:r w:rsidRPr="00037C76">
        <w:rPr>
          <w:rFonts w:ascii="Calibri" w:eastAsia="Arial" w:hAnsi="Calibri"/>
          <w:b/>
          <w:kern w:val="1"/>
          <w:sz w:val="24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/>
          <w:b/>
          <w:kern w:val="1"/>
          <w:sz w:val="24"/>
          <w:u w:val="single"/>
          <w:lang w:eastAsia="pl-PL"/>
        </w:rPr>
        <w:t xml:space="preserve">Wykonawcy </w:t>
      </w:r>
      <w:r w:rsidRPr="00037C76">
        <w:rPr>
          <w:rFonts w:ascii="Calibri" w:eastAsia="Times New Roman" w:hAnsi="Calibri" w:cs="Arial"/>
          <w:b/>
          <w:kern w:val="1"/>
          <w:sz w:val="24"/>
          <w:u w:val="single"/>
          <w:lang w:eastAsia="pl-PL"/>
        </w:rPr>
        <w:t>i  wyjaśnienia Zamawiającego</w:t>
      </w: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1.</w:t>
      </w:r>
    </w:p>
    <w:p w:rsidR="00037C76" w:rsidRPr="00037C76" w:rsidRDefault="00037C76" w:rsidP="00037C76">
      <w:pPr>
        <w:rPr>
          <w:rFonts w:ascii="Verdana" w:eastAsia="Calibri" w:hAnsi="Verdana" w:cs="Calibri"/>
          <w:sz w:val="16"/>
          <w:szCs w:val="16"/>
        </w:rPr>
      </w:pPr>
      <w:bookmarkStart w:id="2" w:name="_Hlk71569475"/>
      <w:r w:rsidRPr="00037C76">
        <w:rPr>
          <w:rFonts w:ascii="Verdana" w:eastAsia="Calibri" w:hAnsi="Verdana" w:cs="Calibri"/>
          <w:sz w:val="16"/>
          <w:szCs w:val="16"/>
        </w:rPr>
        <w:t>PFU podaje wymagania dotyczące nawierzchni sportowej PU w sposób niezgodny ze standardami w branży i aktualną normą PN-EN 14877:2014-02 (obowiązująca w Unii Europejskiej norma określająca wymagania dotyczące sportowych wszystkich nawierzchni PU otwartych obiektów sportowych).</w:t>
      </w:r>
    </w:p>
    <w:p w:rsidR="00037C76" w:rsidRPr="00037C76" w:rsidRDefault="00037C76" w:rsidP="00037C76">
      <w:pPr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PFU podaje:</w:t>
      </w:r>
    </w:p>
    <w:p w:rsidR="00037C76" w:rsidRPr="00037C76" w:rsidRDefault="00037C76" w:rsidP="00037C76">
      <w:pPr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noProof/>
          <w:sz w:val="16"/>
          <w:szCs w:val="16"/>
        </w:rPr>
        <w:drawing>
          <wp:inline distT="0" distB="0" distL="0" distR="0" wp14:anchorId="216B9F77" wp14:editId="38D15380">
            <wp:extent cx="4309110" cy="20256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Poniżej przedstawiamy wymagania wg aktualnej normy PN-EN 14877:2014-02 dla nawierzchni PU.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324"/>
      </w:tblGrid>
      <w:tr w:rsidR="00037C76" w:rsidRPr="00037C76" w:rsidTr="007368D9"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i/>
                <w:iCs/>
                <w:sz w:val="14"/>
                <w:szCs w:val="14"/>
              </w:rPr>
            </w:pPr>
            <w:r w:rsidRPr="00037C76">
              <w:rPr>
                <w:rFonts w:ascii="Verdana" w:hAnsi="Verdana" w:cs="Calibri"/>
                <w:i/>
                <w:iCs/>
                <w:sz w:val="14"/>
                <w:szCs w:val="14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i/>
                <w:iCs/>
                <w:sz w:val="14"/>
                <w:szCs w:val="14"/>
              </w:rPr>
            </w:pPr>
            <w:r w:rsidRPr="00037C76">
              <w:rPr>
                <w:rFonts w:ascii="Verdana" w:hAnsi="Verdana" w:cs="Calibri"/>
                <w:i/>
                <w:iCs/>
                <w:sz w:val="14"/>
                <w:szCs w:val="14"/>
              </w:rPr>
              <w:t xml:space="preserve">wartość wymagana wg normy 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i/>
                <w:iCs/>
                <w:sz w:val="14"/>
                <w:szCs w:val="14"/>
              </w:rPr>
            </w:pPr>
            <w:r w:rsidRPr="00037C76">
              <w:rPr>
                <w:rFonts w:ascii="Verdana" w:hAnsi="Verdana" w:cs="Calibri"/>
                <w:i/>
                <w:iCs/>
                <w:sz w:val="14"/>
                <w:szCs w:val="14"/>
              </w:rPr>
              <w:t>PN-EN 14877:2014-02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Wytrzymałość na rozciąganie,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0,4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40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Opór poślizgu, PTV: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 sucho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 mokro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80÷110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55÷110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(dotyczy tylko nawierzchni przepuszczalnej dla wody)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Przepuszczalność wody, mm/h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150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Odporność na zużycie (ścieranie aparatem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Tabera</w:t>
            </w:r>
            <w:proofErr w:type="spellEnd"/>
            <w:r w:rsidRPr="00037C76">
              <w:rPr>
                <w:rFonts w:ascii="Verdana" w:hAnsi="Verdana" w:cs="Calibri"/>
                <w:sz w:val="14"/>
                <w:szCs w:val="14"/>
              </w:rPr>
              <w:t>),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4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(dotyczy tylko nawierzchni lekkoatletycznej)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Odporność na kolce: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spadek wytrzymałości na rozciąganie, %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spadek wydłużenia względnego przy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F</w:t>
            </w:r>
            <w:r w:rsidRPr="00037C76">
              <w:rPr>
                <w:rFonts w:ascii="Verdana" w:hAnsi="Verdana" w:cs="Calibri"/>
                <w:sz w:val="14"/>
                <w:szCs w:val="14"/>
                <w:vertAlign w:val="subscript"/>
              </w:rPr>
              <w:t>max</w:t>
            </w:r>
            <w:proofErr w:type="spellEnd"/>
            <w:r w:rsidRPr="00037C76">
              <w:rPr>
                <w:rFonts w:ascii="Verdana" w:hAnsi="Verdana" w:cs="Calibri"/>
                <w:sz w:val="14"/>
                <w:szCs w:val="14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20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20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Odporność po przyśpieszonym starzeniu: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wytrzymałość na rozciąganie, N/mm²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wydłużenie względne przy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F</w:t>
            </w:r>
            <w:r w:rsidRPr="00037C76">
              <w:rPr>
                <w:rFonts w:ascii="Verdana" w:hAnsi="Verdana" w:cs="Calibri"/>
                <w:sz w:val="14"/>
                <w:szCs w:val="14"/>
                <w:vertAlign w:val="subscript"/>
              </w:rPr>
              <w:t>max</w:t>
            </w:r>
            <w:proofErr w:type="spellEnd"/>
            <w:r w:rsidRPr="00037C76">
              <w:rPr>
                <w:rFonts w:ascii="Verdana" w:hAnsi="Verdana" w:cs="Calibri"/>
                <w:sz w:val="14"/>
                <w:szCs w:val="14"/>
              </w:rPr>
              <w:t>, %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amortyzacja, %</w:t>
            </w:r>
          </w:p>
          <w:p w:rsidR="00037C76" w:rsidRPr="00037C76" w:rsidRDefault="00037C76" w:rsidP="007368D9">
            <w:pPr>
              <w:ind w:firstLine="203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nawierzchnia na obiekty lekkoatletyczne</w:t>
            </w:r>
          </w:p>
          <w:p w:rsidR="00037C76" w:rsidRPr="00037C76" w:rsidRDefault="00037C76" w:rsidP="007368D9">
            <w:pPr>
              <w:ind w:firstLine="203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nawierzchnia na obiekty tenisowe</w:t>
            </w:r>
          </w:p>
          <w:p w:rsidR="00037C76" w:rsidRPr="00037C76" w:rsidRDefault="00037C76" w:rsidP="007368D9">
            <w:pPr>
              <w:ind w:firstLine="203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nawierzchnia na obiekty typu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multisport</w:t>
            </w:r>
            <w:proofErr w:type="spellEnd"/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odporność na kolce:</w:t>
            </w:r>
          </w:p>
          <w:p w:rsidR="00037C76" w:rsidRPr="00037C76" w:rsidRDefault="00037C76" w:rsidP="007368D9">
            <w:pPr>
              <w:ind w:firstLine="203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wytrzymałość na rozciąganie po użyciu kolców,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MPa</w:t>
            </w:r>
            <w:proofErr w:type="spellEnd"/>
          </w:p>
          <w:p w:rsidR="00037C76" w:rsidRPr="00037C76" w:rsidRDefault="00037C76" w:rsidP="007368D9">
            <w:pPr>
              <w:ind w:firstLine="203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spadek wytrzymałości po działaniu kolców, %</w:t>
            </w:r>
          </w:p>
          <w:p w:rsidR="00037C76" w:rsidRPr="00037C76" w:rsidRDefault="00037C76" w:rsidP="007368D9">
            <w:pPr>
              <w:ind w:firstLine="203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wydłużenie względne przy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F</w:t>
            </w:r>
            <w:r w:rsidRPr="00037C76">
              <w:rPr>
                <w:rFonts w:ascii="Verdana" w:hAnsi="Verdana" w:cs="Calibri"/>
                <w:sz w:val="14"/>
                <w:szCs w:val="14"/>
                <w:vertAlign w:val="subscript"/>
              </w:rPr>
              <w:t>max</w:t>
            </w:r>
            <w:proofErr w:type="spellEnd"/>
            <w:r w:rsidRPr="00037C76">
              <w:rPr>
                <w:rFonts w:ascii="Verdana" w:hAnsi="Verdana" w:cs="Calibri"/>
                <w:sz w:val="14"/>
                <w:szCs w:val="14"/>
                <w:vertAlign w:val="subscript"/>
              </w:rPr>
              <w:t xml:space="preserve"> </w:t>
            </w:r>
            <w:r w:rsidRPr="00037C76">
              <w:rPr>
                <w:rFonts w:ascii="Verdana" w:hAnsi="Verdana" w:cs="Calibri"/>
                <w:sz w:val="14"/>
                <w:szCs w:val="14"/>
              </w:rPr>
              <w:t>po działaniu kolców, %</w:t>
            </w:r>
          </w:p>
          <w:p w:rsidR="00037C76" w:rsidRPr="00037C76" w:rsidRDefault="00037C76" w:rsidP="007368D9">
            <w:pPr>
              <w:ind w:left="344" w:hanging="141"/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spadek wydłużenia względnego przy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F</w:t>
            </w:r>
            <w:r w:rsidRPr="00037C76">
              <w:rPr>
                <w:rFonts w:ascii="Verdana" w:hAnsi="Verdana" w:cs="Calibri"/>
                <w:sz w:val="14"/>
                <w:szCs w:val="14"/>
                <w:vertAlign w:val="subscript"/>
              </w:rPr>
              <w:t>max</w:t>
            </w:r>
            <w:proofErr w:type="spellEnd"/>
            <w:r w:rsidRPr="00037C76">
              <w:rPr>
                <w:rFonts w:ascii="Verdana" w:hAnsi="Verdana" w:cs="Calibri"/>
                <w:sz w:val="14"/>
                <w:szCs w:val="14"/>
                <w:vertAlign w:val="subscript"/>
              </w:rPr>
              <w:t xml:space="preserve"> </w:t>
            </w:r>
            <w:r w:rsidRPr="00037C76">
              <w:rPr>
                <w:rFonts w:ascii="Verdana" w:hAnsi="Verdana" w:cs="Calibri"/>
                <w:sz w:val="14"/>
                <w:szCs w:val="14"/>
              </w:rPr>
              <w:t>po działaniu kolców,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0,4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40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35÷50 typ SA35÷50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&gt;31 typ SA 31+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35÷44 typ SA35÷44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0,4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20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40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20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Odporność po sztucznym starzeniu: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lastRenderedPageBreak/>
              <w:t xml:space="preserve">- odporność na zużycie (ścieranie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Tabera</w:t>
            </w:r>
            <w:proofErr w:type="spellEnd"/>
            <w:r w:rsidRPr="00037C76">
              <w:rPr>
                <w:rFonts w:ascii="Verdana" w:hAnsi="Verdana" w:cs="Calibri"/>
                <w:sz w:val="14"/>
                <w:szCs w:val="14"/>
              </w:rPr>
              <w:t>), g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zmiana barwy, stopień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lastRenderedPageBreak/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lastRenderedPageBreak/>
              <w:t>≤ 4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3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lastRenderedPageBreak/>
              <w:t>Amortyzacja, %: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nawierzchnia na obiekty lekkoatletyczne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nawierzchnia na obiekty tenisowe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nawierzchnia na obiekty typu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35÷50 typ SA35÷50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&gt;31 typ SA 31+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35÷44 typ SA35÷44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Odkształcenie pionowe, mm: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nawierzchnia na obiekty lekkoatletyczne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nawierzchnia na obiekty tenisowe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nawierzchnia na obiekty typu </w:t>
            </w:r>
            <w:proofErr w:type="spellStart"/>
            <w:r w:rsidRPr="00037C76">
              <w:rPr>
                <w:rFonts w:ascii="Verdana" w:hAnsi="Verdana" w:cs="Calibri"/>
                <w:sz w:val="14"/>
                <w:szCs w:val="14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6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6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≤ 3</w:t>
            </w:r>
          </w:p>
        </w:tc>
      </w:tr>
      <w:tr w:rsidR="00037C76" w:rsidRPr="00037C76" w:rsidTr="007368D9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Zachowanie się piłki odbitej pionowo: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 xml:space="preserve">- piłka koszykowa, % 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- piłka tenisowa,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 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85</w:t>
            </w:r>
          </w:p>
          <w:p w:rsidR="00037C76" w:rsidRPr="00037C76" w:rsidRDefault="00037C76" w:rsidP="007368D9">
            <w:pPr>
              <w:rPr>
                <w:rFonts w:ascii="Verdana" w:hAnsi="Verdana" w:cs="Calibri"/>
                <w:sz w:val="14"/>
                <w:szCs w:val="14"/>
              </w:rPr>
            </w:pPr>
            <w:r w:rsidRPr="00037C76">
              <w:rPr>
                <w:rFonts w:ascii="Verdana" w:hAnsi="Verdana" w:cs="Calibri"/>
                <w:sz w:val="14"/>
                <w:szCs w:val="14"/>
              </w:rPr>
              <w:t>≥ 85</w:t>
            </w:r>
          </w:p>
        </w:tc>
      </w:tr>
    </w:tbl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Powyższe dowodzi, że podane w ST parametry są niezgodne z aktualną normą PN-EN 14877:2014-02 mimo, że dalej podaje, że nawierzchnia musi posiadać aktualne badania na zgodność z PN-EN 14877.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Projekt stosuje przy określeniu parametrów standardy nieaktualnej nomenklatury ITB czyli parametry nie występujące w aktualnej normie oraz wartości wymaganych parametrów, które występują w normie ale wartości niezgodnie z założeniami tej normy. 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Parametry wg starej nomenklatury ITB nie są kompatybilne z aktualną normą dla tego typu nawierzchni.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Informujemy, że nie wykonuje się od 2017 r. aprobat i rekomendacji technicznych ITB tylko badania na zgodność z norma PN-EN 14877:2014-02, dlatego wymaganie aprobaty lub rekomendacji technicznej ITB jest bezpodstawne. 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Informujemy, że aktualnie jedynym dokumentem dopuszczającym do stosowania nawierzchni PU na terenie UE jest potwierdzenie zgodności z normą PN-EN 14877:2014-02, wydane przez niezależną instytucję do tego upoważnioną.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 xml:space="preserve"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 </w:t>
      </w:r>
    </w:p>
    <w:p w:rsidR="00037C76" w:rsidRPr="00037C76" w:rsidRDefault="00DF60D4" w:rsidP="00037C76">
      <w:pPr>
        <w:jc w:val="both"/>
        <w:rPr>
          <w:rFonts w:ascii="Verdana" w:eastAsia="Calibri" w:hAnsi="Verdana" w:cs="Calibri"/>
          <w:sz w:val="16"/>
          <w:szCs w:val="16"/>
        </w:rPr>
      </w:pPr>
      <w:hyperlink r:id="rId9" w:history="1">
        <w:r w:rsidR="00037C76" w:rsidRPr="00037C76">
          <w:rPr>
            <w:rFonts w:ascii="Verdana" w:eastAsia="Calibri" w:hAnsi="Verdana" w:cs="Calibri"/>
            <w:sz w:val="16"/>
            <w:szCs w:val="16"/>
            <w:u w:val="single"/>
          </w:rPr>
          <w:t>https://insp.waw.pl/is-pib/laboratorium-nawierzchni-sportowych</w:t>
        </w:r>
      </w:hyperlink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Powyższe potwierdzi, że nasze argumenty są obiektywne i właściwe.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 xml:space="preserve">W związku z powyższym wnosimy o dopuszczenie nawierzchni PU zamawianego typu zamawianego posiadających </w:t>
      </w:r>
      <w:bookmarkStart w:id="3" w:name="_Hlk95517597"/>
      <w:r w:rsidRPr="00037C76">
        <w:rPr>
          <w:rFonts w:ascii="Verdana" w:eastAsia="Calibri" w:hAnsi="Verdana" w:cs="Calibri"/>
          <w:sz w:val="16"/>
          <w:szCs w:val="16"/>
        </w:rPr>
        <w:t>parametry zgodne z normą PN-EN 14877:2014-02,</w:t>
      </w:r>
    </w:p>
    <w:bookmarkEnd w:id="3"/>
    <w:p w:rsid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Zaznaczamy, że nie chodzi o to aby Zamawiający obniżył jakość zamawianej nawierzchni PU tylko o to aby opisał wymagania dotyczące nawierzchni w sposób zgodny z technologią, standardami w branży, obowiązującą w Unii Europejskiej normą PN-EN 14877:2014-02.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037C76" w:rsidRDefault="00037C76" w:rsidP="00037C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Zamawiający dopuszcza nawierzchnię poliuretanową, która posiada:</w:t>
      </w:r>
    </w:p>
    <w:p w:rsidR="00037C76" w:rsidRDefault="00037C76" w:rsidP="00037C76">
      <w:pPr>
        <w:jc w:val="both"/>
        <w:rPr>
          <w:rFonts w:cstheme="minorHAnsi"/>
        </w:rPr>
      </w:pPr>
      <w:r>
        <w:rPr>
          <w:rFonts w:cstheme="minorHAnsi"/>
        </w:rPr>
        <w:t xml:space="preserve">- Wyniki badań na zgodność z normą PN-EN 14877:2014-02 </w:t>
      </w:r>
    </w:p>
    <w:p w:rsidR="00037C76" w:rsidRDefault="00037C76" w:rsidP="00037C76">
      <w:pPr>
        <w:jc w:val="both"/>
        <w:rPr>
          <w:rFonts w:cstheme="minorHAnsi"/>
        </w:rPr>
      </w:pPr>
      <w:r>
        <w:rPr>
          <w:rFonts w:cstheme="minorHAnsi"/>
        </w:rPr>
        <w:t>- Wyniki badań na zgodność z normą DIN 18035-6:2014 (bezpieczeństwo ekologiczne – zawartość związków chemicznych)</w:t>
      </w:r>
    </w:p>
    <w:p w:rsidR="00037C76" w:rsidRDefault="00037C76" w:rsidP="00037C76">
      <w:pPr>
        <w:jc w:val="both"/>
        <w:rPr>
          <w:rFonts w:cstheme="minorHAnsi"/>
        </w:rPr>
      </w:pPr>
      <w:r>
        <w:rPr>
          <w:rFonts w:cstheme="minorHAnsi"/>
        </w:rPr>
        <w:t>- Atest higieniczny PZH</w:t>
      </w:r>
    </w:p>
    <w:p w:rsidR="00037C76" w:rsidRDefault="00037C76" w:rsidP="00037C76">
      <w:pPr>
        <w:jc w:val="both"/>
        <w:rPr>
          <w:rFonts w:cstheme="minorHAnsi"/>
        </w:rPr>
      </w:pPr>
      <w:r>
        <w:rPr>
          <w:rFonts w:cstheme="minorHAnsi"/>
        </w:rPr>
        <w:t>- Kartę techniczną potwierdzoną przez producenta pod warunkiem posiadania przez wykonawcę autoryzacji producenta nawierzchni PU, wystawionej dla wykonawcy na realizowaną inwestycję wraz z potwierdzeniem gwarancji udzielonej przez producenta na tą nawierzchnię.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2.</w:t>
      </w:r>
      <w:bookmarkEnd w:id="2"/>
    </w:p>
    <w:p w:rsidR="00037C76" w:rsidRPr="00037C76" w:rsidRDefault="00037C76" w:rsidP="00037C76">
      <w:pPr>
        <w:jc w:val="both"/>
        <w:rPr>
          <w:rFonts w:ascii="Verdana" w:eastAsia="Calibri" w:hAnsi="Verdana" w:cs="Calibri"/>
          <w:noProof/>
          <w:sz w:val="16"/>
          <w:szCs w:val="16"/>
        </w:rPr>
      </w:pPr>
      <w:r w:rsidRPr="00037C76">
        <w:rPr>
          <w:rFonts w:ascii="Verdana" w:eastAsia="Calibri" w:hAnsi="Verdana" w:cs="Calibri"/>
          <w:noProof/>
          <w:sz w:val="16"/>
          <w:szCs w:val="16"/>
        </w:rPr>
        <w:t>ST podaje wadliwy opis wierzchniej warstwy nawierzchni PU.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noProof/>
          <w:sz w:val="16"/>
          <w:szCs w:val="16"/>
        </w:rPr>
        <w:drawing>
          <wp:inline distT="0" distB="0" distL="0" distR="0" wp14:anchorId="517D22FA" wp14:editId="48B3A39E">
            <wp:extent cx="1978609" cy="147837"/>
            <wp:effectExtent l="0" t="0" r="3175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84" cy="1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Zwracamy uwagę, że ST podaje grubość wierzchniej warstwy nawierzchni bieżni niezgodny z technologią.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Informujemy, że natrysk o grubości &gt; 2 mm jest niezgodny z przyjętym jedynym wzorcem technologicznym nawierzchni </w:t>
      </w:r>
      <w:proofErr w:type="spellStart"/>
      <w:r w:rsidRPr="00037C76">
        <w:rPr>
          <w:rFonts w:ascii="Verdana" w:hAnsi="Verdana" w:cs="Calibri"/>
          <w:sz w:val="16"/>
          <w:szCs w:val="16"/>
        </w:rPr>
        <w:t>pu</w:t>
      </w:r>
      <w:proofErr w:type="spellEnd"/>
      <w:r w:rsidRPr="00037C76">
        <w:rPr>
          <w:rFonts w:ascii="Verdana" w:hAnsi="Verdana" w:cs="Calibri"/>
          <w:sz w:val="16"/>
          <w:szCs w:val="16"/>
        </w:rPr>
        <w:t xml:space="preserve"> typu NATRYSK bez względu na producenta. 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Informujemy, że jedyny model nawierzchni typu NATRYSK (bez względu na producenta) przewiduje zawsze, że wierzchnia warstwa (natrysk) ma zawsze ok. 2 mm – tak jest przyjęte na całym świecie.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Informujemy, że górna warstwa nie może mieć większej grubości niż ok. 2 mm ponieważ składa się mieszaniny systemu </w:t>
      </w:r>
      <w:proofErr w:type="spellStart"/>
      <w:r w:rsidRPr="00037C76">
        <w:rPr>
          <w:rFonts w:ascii="Verdana" w:hAnsi="Verdana" w:cs="Calibri"/>
          <w:sz w:val="16"/>
          <w:szCs w:val="16"/>
        </w:rPr>
        <w:t>pu</w:t>
      </w:r>
      <w:proofErr w:type="spellEnd"/>
      <w:r w:rsidRPr="00037C76">
        <w:rPr>
          <w:rFonts w:ascii="Verdana" w:hAnsi="Verdana" w:cs="Calibri"/>
          <w:sz w:val="16"/>
          <w:szCs w:val="16"/>
        </w:rPr>
        <w:t xml:space="preserve"> i granulatu EPDM fr. 0.5-1.5 mm i wg przyjętej technologii do jej wykonania zużywa się materiał          w ilości max do 2 kg/m2 (dwukrotny natrysk), co daje ok. 2 mm grubości warstwy. Wykonanie natrysku o większej grubości niż ok. 2 mm spowoduje zalanie dolnej warstwy, czego następstwem będzie zanik przepuszczalności dla wody, który stanowi podstawową funkcję tej nawierzchni.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Nie ma technologicznych możliwości zwiększania grubości warstwy natrysku przy zachowaniu przepuszczalności dla wody.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Zamawiający wymagając od wykonawcy wykonanie natrysku o grubości &gt;2 mm zmusza go do wykonania robót niezgodnie z technologią.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Zwiększenie grubości warstwy natrysku &gt;2 mm może powodować iluzoryczne wrażenie podniesienia trwałości nawierzchni lecz w przypadku tego rodzaju nawierzchni nie jest to możliwe bez negatywnych konsekwencji dla przepuszczalności dla wody.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W ostatnim czasie w Polsce pojawiają się projekty z niewłaściwą grubością warstwy natrysku &gt;2 mm – dowodzi to jedynie braku odpowiedniego przygotowania osób odpowiedzialnych za projekty nawierzchni PU typu NATRYSK.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Poniżej podajemy prawidłowy układ warstw nawierzchni sportowej </w:t>
      </w:r>
      <w:proofErr w:type="spellStart"/>
      <w:r w:rsidRPr="00037C76">
        <w:rPr>
          <w:rFonts w:ascii="Verdana" w:hAnsi="Verdana" w:cs="Calibri"/>
          <w:sz w:val="16"/>
          <w:szCs w:val="16"/>
        </w:rPr>
        <w:t>pu</w:t>
      </w:r>
      <w:proofErr w:type="spellEnd"/>
      <w:r w:rsidRPr="00037C76">
        <w:rPr>
          <w:rFonts w:ascii="Verdana" w:hAnsi="Verdana" w:cs="Calibri"/>
          <w:sz w:val="16"/>
          <w:szCs w:val="16"/>
        </w:rPr>
        <w:t xml:space="preserve"> typu NATRYSK: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lastRenderedPageBreak/>
        <w:t>- dolna mieszanina granulatu SBR i lepiszcza PU o gr. ok. 11 mm układana specjalistyczną układarką do mas PU.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- górna mieszanina systemu PU i granulatu EPDM o gr. ok. 2 mm układana specjalistyczną </w:t>
      </w:r>
      <w:proofErr w:type="spellStart"/>
      <w:r w:rsidRPr="00037C76">
        <w:rPr>
          <w:rFonts w:ascii="Verdana" w:hAnsi="Verdana" w:cs="Calibri"/>
          <w:sz w:val="16"/>
          <w:szCs w:val="16"/>
        </w:rPr>
        <w:t>natryskarką</w:t>
      </w:r>
      <w:proofErr w:type="spellEnd"/>
      <w:r w:rsidRPr="00037C76">
        <w:rPr>
          <w:rFonts w:ascii="Verdana" w:hAnsi="Verdana" w:cs="Calibri"/>
          <w:sz w:val="16"/>
          <w:szCs w:val="16"/>
        </w:rPr>
        <w:t xml:space="preserve"> do mas PU.</w:t>
      </w:r>
    </w:p>
    <w:p w:rsidR="00037C76" w:rsidRPr="00037C76" w:rsidRDefault="00037C76" w:rsidP="00526017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W związku z powyższym wnosimy o niezbędną stosowną korektę grubości wierzchniej warstwy nawierzchni PU na zgodną z technologią tj. ok. 2 mm z uzupełnieniem, że warstwa natrysku ma mieć ok. 2 kg mieszanki na           1 m</w:t>
      </w:r>
      <w:r w:rsidRPr="00037C76">
        <w:rPr>
          <w:rFonts w:ascii="Verdana" w:hAnsi="Verdana" w:cs="Calibri"/>
          <w:sz w:val="16"/>
          <w:szCs w:val="16"/>
          <w:vertAlign w:val="superscript"/>
        </w:rPr>
        <w:t>2</w:t>
      </w:r>
      <w:r w:rsidRPr="00037C76">
        <w:rPr>
          <w:rFonts w:ascii="Verdana" w:hAnsi="Verdana" w:cs="Calibri"/>
          <w:sz w:val="16"/>
          <w:szCs w:val="16"/>
        </w:rPr>
        <w:t>.</w:t>
      </w:r>
    </w:p>
    <w:p w:rsidR="00905073" w:rsidRPr="00905073" w:rsidRDefault="00905073" w:rsidP="00905073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905073" w:rsidRDefault="00905073" w:rsidP="009050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Program </w:t>
      </w:r>
      <w:proofErr w:type="spellStart"/>
      <w:r>
        <w:rPr>
          <w:rFonts w:cstheme="minorHAnsi"/>
        </w:rPr>
        <w:t>Funkcjonalno</w:t>
      </w:r>
      <w:proofErr w:type="spellEnd"/>
      <w:r>
        <w:rPr>
          <w:rFonts w:cstheme="minorHAnsi"/>
        </w:rPr>
        <w:t xml:space="preserve"> – Użytkowy  podaje prawidłowe grubości nawierzchni PU typu natrysk.</w:t>
      </w:r>
    </w:p>
    <w:p w:rsidR="00905073" w:rsidRDefault="00905073" w:rsidP="00037C76">
      <w:pPr>
        <w:jc w:val="both"/>
        <w:rPr>
          <w:rFonts w:eastAsia="Calibri" w:cs="Calibri"/>
          <w:b/>
          <w:bCs/>
          <w:u w:val="single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2.</w:t>
      </w:r>
    </w:p>
    <w:p w:rsidR="00037C76" w:rsidRPr="00037C76" w:rsidRDefault="00037C76" w:rsidP="00526017">
      <w:pPr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:rsidR="00905073" w:rsidRPr="00905073" w:rsidRDefault="00905073" w:rsidP="00905073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905073" w:rsidRDefault="00905073" w:rsidP="0090507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Zamawiający wymaga zastosowania granulatu EPDM z pierwotnej produkcji.</w:t>
      </w:r>
    </w:p>
    <w:p w:rsidR="00905073" w:rsidRDefault="00905073" w:rsidP="00037C76">
      <w:pPr>
        <w:jc w:val="both"/>
        <w:rPr>
          <w:rFonts w:eastAsia="Calibri" w:cs="Calibri"/>
          <w:b/>
          <w:bCs/>
          <w:u w:val="single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3.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Czy w ramach strefy zamawianych robót występują jakiekolwiek sieci lub inne kolizje?</w:t>
      </w:r>
    </w:p>
    <w:p w:rsidR="00905073" w:rsidRPr="00526017" w:rsidRDefault="00037C76" w:rsidP="00905073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Jeśli występują to wnosimy o udostępnienie stosownej inwentaryzacji z opisem i mapą.</w:t>
      </w:r>
    </w:p>
    <w:p w:rsidR="00905073" w:rsidRPr="00905073" w:rsidRDefault="00905073" w:rsidP="00905073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905073" w:rsidRDefault="00905073" w:rsidP="0090507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Aktualna mapa zasadnicza stanowi załącznik do PFU i postępowania.</w:t>
      </w:r>
    </w:p>
    <w:p w:rsidR="00905073" w:rsidRDefault="00905073" w:rsidP="00037C76">
      <w:pPr>
        <w:jc w:val="both"/>
        <w:rPr>
          <w:rFonts w:eastAsia="Calibri" w:cs="Calibri"/>
          <w:b/>
          <w:bCs/>
          <w:u w:val="single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4.</w:t>
      </w:r>
    </w:p>
    <w:p w:rsidR="00905073" w:rsidRPr="00526017" w:rsidRDefault="00037C76" w:rsidP="00526017">
      <w:pPr>
        <w:rPr>
          <w:rFonts w:ascii="Verdana" w:eastAsia="Calibri" w:hAnsi="Verdana" w:cs="Calibri"/>
          <w:sz w:val="16"/>
          <w:szCs w:val="16"/>
        </w:rPr>
      </w:pPr>
      <w:r w:rsidRPr="00037C76">
        <w:rPr>
          <w:rFonts w:ascii="Verdana" w:eastAsia="Calibri" w:hAnsi="Verdana" w:cs="Calibri"/>
          <w:sz w:val="16"/>
          <w:szCs w:val="16"/>
        </w:rPr>
        <w:t>Czy występują ograniczenia w dojeździe do placu budowy dla sprzętu budowalnego i samochodów ciężarowych 4-osiowych niezbędnych do wykonania robót?</w:t>
      </w:r>
    </w:p>
    <w:p w:rsidR="00905073" w:rsidRPr="00905073" w:rsidRDefault="00905073" w:rsidP="00905073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905073" w:rsidRDefault="00905073" w:rsidP="009050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Nie występują ograniczenia. Dojazd do placu budowy z drogi publicznej, powiatowej przez tereny szkolne drogę pożarową o nawierzchni z kostki betonowej.  </w:t>
      </w:r>
    </w:p>
    <w:p w:rsidR="00905073" w:rsidRDefault="00905073" w:rsidP="00037C76">
      <w:pPr>
        <w:jc w:val="both"/>
        <w:rPr>
          <w:rFonts w:eastAsia="Calibri" w:cs="Calibri"/>
          <w:b/>
          <w:bCs/>
          <w:u w:val="single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5.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Proszę o dopuszczenie fakturowania częściowego do wysokości 50% wartości wynagrodzenia.</w:t>
      </w:r>
    </w:p>
    <w:p w:rsidR="00905073" w:rsidRPr="00905073" w:rsidRDefault="00905073" w:rsidP="00905073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905073" w:rsidRDefault="00905073" w:rsidP="009050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Zamawiający nie dopuszcza fakturowania częściowego za wyjątkiem wystąpienia</w:t>
      </w:r>
      <w:r w:rsidR="00526017">
        <w:rPr>
          <w:rFonts w:cstheme="minorHAnsi"/>
        </w:rPr>
        <w:t xml:space="preserve"> okoliczności zawartych w projektowanych postanowieniach umowy – wzorze umowy stanowiącym załącznik do SWZ</w:t>
      </w:r>
      <w:r>
        <w:rPr>
          <w:rFonts w:cstheme="minorHAnsi"/>
        </w:rPr>
        <w:t>.</w:t>
      </w:r>
    </w:p>
    <w:p w:rsidR="00905073" w:rsidRDefault="00905073" w:rsidP="00037C76">
      <w:pPr>
        <w:jc w:val="both"/>
        <w:rPr>
          <w:rFonts w:eastAsia="Calibri" w:cs="Calibri"/>
          <w:b/>
          <w:bCs/>
          <w:u w:val="single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6.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Umowa podaje w §3 ust. 5. podaje:</w:t>
      </w:r>
    </w:p>
    <w:p w:rsidR="00037C76" w:rsidRPr="00037C76" w:rsidRDefault="00037C76" w:rsidP="00037C76">
      <w:pPr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noProof/>
          <w:sz w:val="16"/>
          <w:szCs w:val="16"/>
        </w:rPr>
        <w:drawing>
          <wp:inline distT="0" distB="0" distL="0" distR="0" wp14:anchorId="2E98B339" wp14:editId="33206ED8">
            <wp:extent cx="4593590" cy="11607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76" w:rsidRPr="00037C76" w:rsidRDefault="00037C76" w:rsidP="00037C76">
      <w:pPr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Cytowany zapis jest niezrozumiałym ograniczeniem względem wymagań technologicznych dla przedmiotu zamówienia w szczególności nawierzchni sportowej. Zamawiający określa własną definicję niekorzystnych warunków atmosferycznych ignorując obiektywne dla stron wymagania technologiczne narzucone przez producentów. Chodzi o zapis </w:t>
      </w:r>
      <w:bookmarkStart w:id="4" w:name="_Hlk92910559"/>
    </w:p>
    <w:p w:rsidR="00037C76" w:rsidRPr="00037C76" w:rsidRDefault="00037C76" w:rsidP="00037C76">
      <w:pPr>
        <w:pStyle w:val="Default"/>
        <w:rPr>
          <w:rFonts w:ascii="Verdana" w:hAnsi="Verdana" w:cs="Calibri"/>
          <w:color w:val="auto"/>
          <w:sz w:val="16"/>
          <w:szCs w:val="16"/>
        </w:rPr>
      </w:pPr>
      <w:bookmarkStart w:id="5" w:name="_Hlk104810977"/>
      <w:bookmarkStart w:id="6" w:name="_Hlk109409593"/>
      <w:bookmarkStart w:id="7" w:name="_Hlk104820202"/>
      <w:r w:rsidRPr="00037C76">
        <w:rPr>
          <w:rFonts w:ascii="Verdana" w:hAnsi="Verdana" w:cs="Calibri"/>
          <w:color w:val="auto"/>
          <w:sz w:val="16"/>
          <w:szCs w:val="16"/>
        </w:rPr>
        <w:t>„</w:t>
      </w:r>
      <w:bookmarkEnd w:id="5"/>
      <w:r w:rsidRPr="00037C76">
        <w:rPr>
          <w:rFonts w:ascii="Arial" w:hAnsi="Arial" w:cs="Arial"/>
          <w:color w:val="auto"/>
        </w:rPr>
        <w:t>lecz nie więcej niż w okresie realizacji umowy o 30 dni łącznie</w:t>
      </w:r>
      <w:r w:rsidRPr="00037C76">
        <w:rPr>
          <w:color w:val="auto"/>
        </w:rPr>
        <w:t>.</w:t>
      </w:r>
      <w:r w:rsidRPr="00037C76">
        <w:rPr>
          <w:rFonts w:ascii="Verdana" w:hAnsi="Verdana" w:cs="Calibri"/>
          <w:color w:val="auto"/>
          <w:sz w:val="16"/>
          <w:szCs w:val="16"/>
        </w:rPr>
        <w:t>”</w:t>
      </w:r>
    </w:p>
    <w:bookmarkEnd w:id="4"/>
    <w:bookmarkEnd w:id="6"/>
    <w:bookmarkEnd w:id="7"/>
    <w:p w:rsidR="00037C76" w:rsidRPr="00037C76" w:rsidRDefault="00037C76" w:rsidP="00037C76">
      <w:pPr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 xml:space="preserve">Stwierdzamy, że zachodzi niebezpieczeństwo jeśli wystąpią warunki atmosferyczne </w:t>
      </w:r>
      <w:bookmarkStart w:id="8" w:name="_Hlk105085297"/>
      <w:r w:rsidRPr="00037C76">
        <w:rPr>
          <w:rFonts w:ascii="Verdana" w:hAnsi="Verdana" w:cs="Calibri"/>
          <w:sz w:val="16"/>
          <w:szCs w:val="16"/>
        </w:rPr>
        <w:t>uniemożliwiające i ich skutki wykonanie robót zgodnie z wymogami technologicznymi</w:t>
      </w:r>
      <w:bookmarkEnd w:id="8"/>
      <w:r w:rsidRPr="00037C76">
        <w:rPr>
          <w:rFonts w:ascii="Verdana" w:hAnsi="Verdana" w:cs="Calibri"/>
          <w:sz w:val="16"/>
          <w:szCs w:val="16"/>
        </w:rPr>
        <w:t xml:space="preserve"> jak np. opady atmosferyczne, nieodpowiednia wilgotność powietrza, nieodpowiednia temperatura powietrza, nieodpowiednia temperatura podłoża względem punktu rosy, mokre podłoże, silny wiatr, które wg technologii zamawianych robót uniemożliwiają ich wykonywanie a nie wpisują się </w:t>
      </w:r>
      <w:r w:rsidRPr="00037C76">
        <w:rPr>
          <w:rFonts w:ascii="Verdana" w:hAnsi="Verdana" w:cs="Calibri"/>
          <w:sz w:val="16"/>
          <w:szCs w:val="16"/>
        </w:rPr>
        <w:lastRenderedPageBreak/>
        <w:t xml:space="preserve">w ograniczenia podane w projekcie umowy (ww. cytat) to wykonawca nie będzie miał możliwości zmiany terminu wykonania robót – taka sytuacja jest niedopuszczalna gdyż jest wyjątkowo krzywdząca dla wykonawcy. 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Zamawiający w sposób niefortunny ogranicza warunki atmosferyczne a powinien odnosić się do wymagań technologicznych dla elementów przedmiotu zamówienia jeśli wymaga aby został on wykonany w sposób zgodny z technologią. Zapis umowy jest niefortunny ponieważ wykonawca nie ma wpływu na warunki atmosferyczne.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Należy obiektywnie stwierdzić, że warunki atmosferyczne są zmienne i niezależne do wykonawcy i wykonawca nie może ponosić odpowiedzialności za brak możliwości wykonywania robót zgodnie z technologią, co powoduje wydłużenie terminu wykonania robót. Wystarczy, że będą występować warunki atmosferyczne uniemożliwiające prowadzenie robót zgodnie z technologią to Wykonawca nie będzie mógł wydłużyć terminu realizacji – taki zapis powoduje, że wykonawca ma odpowiadać za czynniki od niego obiektywnie niezależne.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Konieczne jest takie opisanie warunków obiektywnie niezależnych od wykonawcy aby nie powodowały dla niego niekorzystnej sytuacji. Powyższe jest niezbędne dla zapewnienia wykonawcy możliwości zmiany terminu wykonania robót w przypadku ww. okoliczności, sytuacji od niego obiektywnie niezależnych.</w:t>
      </w:r>
    </w:p>
    <w:p w:rsidR="00037C76" w:rsidRPr="00037C76" w:rsidRDefault="00037C76" w:rsidP="00037C76">
      <w:pPr>
        <w:jc w:val="both"/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W związku z powyższym wnosimy o zmianę ww. poprzez usunięcie:</w:t>
      </w:r>
    </w:p>
    <w:p w:rsidR="00037C76" w:rsidRPr="00037C76" w:rsidRDefault="00037C76" w:rsidP="00526017">
      <w:pPr>
        <w:pStyle w:val="Default"/>
        <w:rPr>
          <w:rFonts w:ascii="Verdana" w:hAnsi="Verdana" w:cs="Calibri"/>
          <w:color w:val="auto"/>
          <w:sz w:val="16"/>
          <w:szCs w:val="16"/>
        </w:rPr>
      </w:pPr>
      <w:r w:rsidRPr="00037C76">
        <w:rPr>
          <w:rFonts w:ascii="Verdana" w:hAnsi="Verdana" w:cs="Calibri"/>
          <w:color w:val="auto"/>
          <w:sz w:val="16"/>
          <w:szCs w:val="16"/>
        </w:rPr>
        <w:t>„</w:t>
      </w:r>
      <w:r w:rsidRPr="00037C76">
        <w:rPr>
          <w:rFonts w:ascii="Arial" w:hAnsi="Arial" w:cs="Arial"/>
          <w:color w:val="auto"/>
        </w:rPr>
        <w:t>lecz nie więcej niż w okresie realizacji umowy o 30 dni łącznie</w:t>
      </w:r>
      <w:r w:rsidRPr="00037C76">
        <w:rPr>
          <w:color w:val="auto"/>
        </w:rPr>
        <w:t>.</w:t>
      </w:r>
      <w:r w:rsidRPr="00037C76">
        <w:rPr>
          <w:rFonts w:ascii="Verdana" w:hAnsi="Verdana" w:cs="Calibri"/>
          <w:color w:val="auto"/>
          <w:sz w:val="16"/>
          <w:szCs w:val="16"/>
        </w:rPr>
        <w:t>”</w:t>
      </w:r>
    </w:p>
    <w:p w:rsidR="00037C76" w:rsidRPr="00037C76" w:rsidRDefault="00037C76" w:rsidP="00037C76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037C76" w:rsidRPr="00905073" w:rsidRDefault="00037C76" w:rsidP="00037C76">
      <w:pPr>
        <w:pStyle w:val="Default"/>
        <w:rPr>
          <w:rFonts w:asciiTheme="minorHAnsi" w:hAnsiTheme="minorHAnsi" w:cstheme="minorHAnsi"/>
          <w:color w:val="auto"/>
        </w:rPr>
      </w:pPr>
      <w:r w:rsidRPr="00905073">
        <w:rPr>
          <w:rFonts w:asciiTheme="minorHAnsi" w:eastAsia="Calibri" w:hAnsiTheme="minorHAnsi" w:cstheme="minorHAnsi"/>
          <w:bCs/>
        </w:rPr>
        <w:t xml:space="preserve">Zamawiający wykreśla zapis Projektowanych postanowień umowy – wzoru umowy o treści : </w:t>
      </w:r>
      <w:r w:rsidRPr="00905073">
        <w:rPr>
          <w:rFonts w:asciiTheme="minorHAnsi" w:hAnsiTheme="minorHAnsi" w:cstheme="minorHAnsi"/>
          <w:color w:val="auto"/>
        </w:rPr>
        <w:t>„lecz nie więcej niż w okresie realizacji umowy o 30 dni łącznie.”</w:t>
      </w:r>
    </w:p>
    <w:p w:rsidR="00037C76" w:rsidRDefault="00037C76" w:rsidP="00037C76">
      <w:pPr>
        <w:jc w:val="both"/>
        <w:rPr>
          <w:rFonts w:eastAsia="Calibri" w:cs="Calibri"/>
          <w:b/>
          <w:bCs/>
          <w:u w:val="single"/>
        </w:rPr>
      </w:pPr>
    </w:p>
    <w:p w:rsidR="00037C76" w:rsidRPr="00037C76" w:rsidRDefault="00037C76" w:rsidP="00037C76">
      <w:pPr>
        <w:jc w:val="both"/>
        <w:rPr>
          <w:rFonts w:cs="Calibri"/>
          <w:b/>
          <w:bCs/>
        </w:rPr>
      </w:pPr>
      <w:r w:rsidRPr="00037C76">
        <w:rPr>
          <w:rFonts w:eastAsia="Calibri" w:cs="Calibri"/>
          <w:b/>
          <w:bCs/>
          <w:u w:val="single"/>
        </w:rPr>
        <w:t>Pytanie: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7.</w:t>
      </w:r>
    </w:p>
    <w:p w:rsidR="00037C76" w:rsidRPr="00037C76" w:rsidRDefault="00037C76" w:rsidP="00037C76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Jaką kwotę zamierza przeznaczyć na przedmiotowe zadanie?</w:t>
      </w:r>
    </w:p>
    <w:p w:rsidR="00037C76" w:rsidRPr="00526017" w:rsidRDefault="00037C76" w:rsidP="00526017">
      <w:pPr>
        <w:rPr>
          <w:rFonts w:ascii="Verdana" w:hAnsi="Verdana" w:cs="Calibri"/>
          <w:sz w:val="16"/>
          <w:szCs w:val="16"/>
        </w:rPr>
      </w:pPr>
      <w:r w:rsidRPr="00037C76">
        <w:rPr>
          <w:rFonts w:ascii="Verdana" w:hAnsi="Verdana" w:cs="Calibri"/>
          <w:sz w:val="16"/>
          <w:szCs w:val="16"/>
        </w:rPr>
        <w:t>Informacja ta jest niezbędna dla ograniczenia zaangażowania wykonawcy, którego oferta przekroczy budżet Zamawiającego.</w:t>
      </w:r>
    </w:p>
    <w:p w:rsidR="00905073" w:rsidRPr="00037C76" w:rsidRDefault="00905073" w:rsidP="00905073">
      <w:pPr>
        <w:jc w:val="both"/>
        <w:rPr>
          <w:rFonts w:ascii="Verdana" w:eastAsia="Calibri" w:hAnsi="Verdana" w:cs="Calibri"/>
          <w:sz w:val="16"/>
          <w:szCs w:val="16"/>
          <w:u w:val="single"/>
        </w:rPr>
      </w:pPr>
      <w:r w:rsidRPr="00037C76">
        <w:rPr>
          <w:rFonts w:asciiTheme="minorHAnsi" w:eastAsia="Calibri" w:hAnsiTheme="minorHAnsi" w:cstheme="minorHAnsi"/>
          <w:b/>
          <w:u w:val="single"/>
        </w:rPr>
        <w:t>Odpowiedź Zamawiającego</w:t>
      </w:r>
      <w:r w:rsidRPr="00037C76">
        <w:rPr>
          <w:rFonts w:ascii="Verdana" w:eastAsia="Calibri" w:hAnsi="Verdana" w:cs="Calibri"/>
          <w:sz w:val="16"/>
          <w:szCs w:val="16"/>
          <w:u w:val="single"/>
        </w:rPr>
        <w:t>:</w:t>
      </w:r>
    </w:p>
    <w:p w:rsidR="00905073" w:rsidRDefault="00905073" w:rsidP="00037C76">
      <w:pPr>
        <w:suppressAutoHyphens/>
        <w:jc w:val="both"/>
      </w:pPr>
      <w:r>
        <w:t>Zamawiający poda kwotę jaka zamierza przeznaczyć na realizację zamówienia przed otwarciem ofert lecz po ich złożeniu.</w:t>
      </w:r>
    </w:p>
    <w:p w:rsidR="00037C76" w:rsidRPr="00037C76" w:rsidRDefault="00037C76" w:rsidP="00037C76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</w:p>
    <w:p w:rsidR="00037C76" w:rsidRPr="00037C76" w:rsidRDefault="00037C76" w:rsidP="00037C76">
      <w:pPr>
        <w:pStyle w:val="Akapitzlist"/>
        <w:numPr>
          <w:ilvl w:val="0"/>
          <w:numId w:val="1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:rsidR="00037C76" w:rsidRPr="00526017" w:rsidRDefault="00037C76" w:rsidP="00037C76">
      <w:pPr>
        <w:widowControl w:val="0"/>
        <w:suppressAutoHyphens/>
        <w:jc w:val="both"/>
        <w:rPr>
          <w:rFonts w:cs="Arial"/>
          <w:bCs/>
          <w:kern w:val="2"/>
        </w:rPr>
      </w:pPr>
      <w:r w:rsidRPr="00037C76">
        <w:rPr>
          <w:rFonts w:cs="Arial"/>
          <w:bCs/>
          <w:kern w:val="2"/>
        </w:rPr>
        <w:t>Zamawiający przedłuża termin składania ofert.</w:t>
      </w:r>
    </w:p>
    <w:p w:rsidR="00037C76" w:rsidRPr="00526017" w:rsidRDefault="00037C76" w:rsidP="00037C76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  <w:r w:rsidRPr="00037C76">
        <w:rPr>
          <w:rFonts w:cs="Arial"/>
          <w:b/>
          <w:kern w:val="1"/>
          <w:u w:val="single"/>
        </w:rPr>
        <w:t>Nowe,</w:t>
      </w:r>
      <w:r w:rsidRPr="00037C76">
        <w:rPr>
          <w:rFonts w:eastAsia="Arial" w:cs="Arial"/>
          <w:b/>
          <w:kern w:val="1"/>
          <w:u w:val="single"/>
        </w:rPr>
        <w:t xml:space="preserve"> </w:t>
      </w:r>
      <w:r w:rsidRPr="00037C76">
        <w:rPr>
          <w:rFonts w:cs="Arial"/>
          <w:b/>
          <w:kern w:val="1"/>
          <w:u w:val="single"/>
        </w:rPr>
        <w:t>obowiązujące</w:t>
      </w:r>
      <w:r w:rsidRPr="00037C76">
        <w:rPr>
          <w:rFonts w:eastAsia="Arial" w:cs="Arial"/>
          <w:b/>
          <w:kern w:val="1"/>
          <w:u w:val="single"/>
        </w:rPr>
        <w:t xml:space="preserve"> </w:t>
      </w:r>
      <w:r w:rsidRPr="00037C76">
        <w:rPr>
          <w:rFonts w:cs="Arial"/>
          <w:b/>
          <w:kern w:val="1"/>
          <w:u w:val="single"/>
        </w:rPr>
        <w:t>terminy:</w:t>
      </w:r>
    </w:p>
    <w:p w:rsidR="00037C76" w:rsidRPr="00037C76" w:rsidRDefault="00526017" w:rsidP="00526017">
      <w:pPr>
        <w:widowControl w:val="0"/>
        <w:suppressAutoHyphens/>
        <w:jc w:val="both"/>
        <w:rPr>
          <w:rFonts w:cs="Arial"/>
          <w:b/>
          <w:kern w:val="1"/>
          <w:sz w:val="26"/>
          <w:szCs w:val="26"/>
        </w:rPr>
      </w:pPr>
      <w:r>
        <w:rPr>
          <w:rFonts w:cs="Arial"/>
          <w:b/>
          <w:kern w:val="1"/>
          <w:sz w:val="26"/>
          <w:szCs w:val="26"/>
        </w:rPr>
        <w:t>T</w:t>
      </w:r>
      <w:r w:rsidR="00037C76" w:rsidRPr="00037C76">
        <w:rPr>
          <w:rFonts w:cs="Arial"/>
          <w:b/>
          <w:kern w:val="1"/>
          <w:sz w:val="26"/>
          <w:szCs w:val="26"/>
        </w:rPr>
        <w:t>ermin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składania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ofert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upływa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dnia:</w:t>
      </w:r>
      <w:r w:rsidR="00905073">
        <w:rPr>
          <w:rFonts w:eastAsia="Arial" w:cs="Arial"/>
          <w:b/>
          <w:kern w:val="1"/>
          <w:sz w:val="26"/>
          <w:szCs w:val="26"/>
        </w:rPr>
        <w:t xml:space="preserve"> 01.08.2022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r.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godz.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1</w:t>
      </w:r>
      <w:r w:rsidR="00905073">
        <w:rPr>
          <w:rFonts w:cs="Arial"/>
          <w:b/>
          <w:kern w:val="1"/>
          <w:sz w:val="26"/>
          <w:szCs w:val="26"/>
        </w:rPr>
        <w:t>3</w:t>
      </w:r>
      <w:r w:rsidR="00037C76" w:rsidRPr="00037C76">
        <w:rPr>
          <w:rFonts w:cs="Arial"/>
          <w:b/>
          <w:kern w:val="1"/>
          <w:sz w:val="26"/>
          <w:szCs w:val="26"/>
        </w:rPr>
        <w:t>:00</w:t>
      </w:r>
    </w:p>
    <w:p w:rsidR="00037C76" w:rsidRPr="00037C76" w:rsidRDefault="00037C76" w:rsidP="00526017">
      <w:pPr>
        <w:widowControl w:val="0"/>
        <w:tabs>
          <w:tab w:val="left" w:pos="709"/>
        </w:tabs>
        <w:suppressAutoHyphens/>
        <w:jc w:val="both"/>
        <w:rPr>
          <w:rFonts w:cs="Arial"/>
          <w:b/>
          <w:kern w:val="1"/>
          <w:sz w:val="26"/>
          <w:szCs w:val="26"/>
        </w:rPr>
      </w:pPr>
      <w:r w:rsidRPr="00037C76">
        <w:rPr>
          <w:rFonts w:cs="Arial"/>
          <w:b/>
          <w:kern w:val="1"/>
          <w:sz w:val="26"/>
          <w:szCs w:val="26"/>
        </w:rPr>
        <w:t>Otwarcie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ofert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nastąpi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dnia:</w:t>
      </w:r>
      <w:r w:rsidR="00905073">
        <w:rPr>
          <w:rFonts w:eastAsia="Arial" w:cs="Arial"/>
          <w:b/>
          <w:kern w:val="1"/>
          <w:sz w:val="26"/>
          <w:szCs w:val="26"/>
        </w:rPr>
        <w:t xml:space="preserve"> 01.08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.2022 </w:t>
      </w:r>
      <w:r w:rsidRPr="00037C76">
        <w:rPr>
          <w:rFonts w:cs="Arial"/>
          <w:b/>
          <w:kern w:val="1"/>
          <w:sz w:val="26"/>
          <w:szCs w:val="26"/>
        </w:rPr>
        <w:t>r.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godz.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1</w:t>
      </w:r>
      <w:r w:rsidR="00905073">
        <w:rPr>
          <w:rFonts w:cs="Arial"/>
          <w:b/>
          <w:kern w:val="1"/>
          <w:sz w:val="26"/>
          <w:szCs w:val="26"/>
        </w:rPr>
        <w:t>3</w:t>
      </w:r>
      <w:r w:rsidRPr="00037C76">
        <w:rPr>
          <w:rFonts w:cs="Arial"/>
          <w:b/>
          <w:kern w:val="1"/>
          <w:sz w:val="26"/>
          <w:szCs w:val="26"/>
        </w:rPr>
        <w:t>:30</w:t>
      </w:r>
    </w:p>
    <w:p w:rsidR="00037C76" w:rsidRPr="00037C76" w:rsidRDefault="00037C76" w:rsidP="00037C76">
      <w:pPr>
        <w:numPr>
          <w:ilvl w:val="0"/>
          <w:numId w:val="18"/>
        </w:numPr>
        <w:suppressAutoHyphens/>
        <w:jc w:val="both"/>
        <w:rPr>
          <w:rFonts w:cs="Calibri"/>
          <w:iCs/>
          <w:kern w:val="1"/>
        </w:rPr>
      </w:pPr>
      <w:r w:rsidRPr="00037C76">
        <w:rPr>
          <w:rFonts w:cs="Calibri"/>
          <w:iCs/>
          <w:kern w:val="1"/>
        </w:rPr>
        <w:t>Dokonuje się odpowiednio zmiany terminu związania ofertą, w związku z czym postanowienie ust. 5 pkt 1) SWZ otrzymuje nową treść:</w:t>
      </w:r>
    </w:p>
    <w:p w:rsidR="00037C76" w:rsidRPr="00037C76" w:rsidRDefault="00037C76" w:rsidP="00037C76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037C76">
        <w:rPr>
          <w:rFonts w:cs="Calibri"/>
          <w:b/>
          <w:kern w:val="1"/>
          <w:lang w:eastAsia="zh-CN"/>
        </w:rPr>
        <w:t>„5. TERMIN ZWIĄZANIA OFERTĄ</w:t>
      </w:r>
    </w:p>
    <w:p w:rsidR="00037C76" w:rsidRPr="00526017" w:rsidRDefault="00037C76" w:rsidP="00037C76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037C76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037C76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037C76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905073">
        <w:rPr>
          <w:rFonts w:cs="Calibri"/>
          <w:b/>
          <w:kern w:val="1"/>
          <w:lang w:eastAsia="zh-CN"/>
        </w:rPr>
        <w:t>30.08.2022</w:t>
      </w:r>
      <w:r w:rsidRPr="00037C76">
        <w:rPr>
          <w:rFonts w:cs="Calibri"/>
          <w:b/>
          <w:kern w:val="1"/>
          <w:lang w:eastAsia="zh-CN"/>
        </w:rPr>
        <w:t xml:space="preserve"> r.”</w:t>
      </w:r>
    </w:p>
    <w:p w:rsidR="00037C76" w:rsidRPr="00037C76" w:rsidRDefault="00037C76" w:rsidP="00037C76">
      <w:pPr>
        <w:numPr>
          <w:ilvl w:val="0"/>
          <w:numId w:val="18"/>
        </w:numPr>
        <w:suppressAutoHyphens/>
        <w:jc w:val="both"/>
        <w:rPr>
          <w:rFonts w:cs="Arial"/>
          <w:iCs/>
          <w:kern w:val="1"/>
        </w:rPr>
      </w:pPr>
      <w:r w:rsidRPr="00037C76">
        <w:rPr>
          <w:rFonts w:cs="Arial"/>
          <w:iCs/>
          <w:kern w:val="1"/>
        </w:rPr>
        <w:t xml:space="preserve">Zamawiający informuje jednocześnie o odpowiedniej zmianie ogłoszenia o zamówieniu nr </w:t>
      </w:r>
      <w:proofErr w:type="spellStart"/>
      <w:r w:rsidR="00905073">
        <w:rPr>
          <w:rFonts w:ascii="Arial" w:hAnsi="Arial" w:cs="Arial"/>
          <w:sz w:val="15"/>
          <w:szCs w:val="15"/>
        </w:rPr>
        <w:t>nr</w:t>
      </w:r>
      <w:proofErr w:type="spellEnd"/>
      <w:r w:rsidR="00905073">
        <w:rPr>
          <w:rFonts w:ascii="Arial" w:hAnsi="Arial" w:cs="Arial"/>
          <w:sz w:val="15"/>
          <w:szCs w:val="15"/>
        </w:rPr>
        <w:t xml:space="preserve"> </w:t>
      </w:r>
      <w:r w:rsidR="00905073" w:rsidRPr="00526017">
        <w:rPr>
          <w:rFonts w:asciiTheme="minorHAnsi" w:hAnsiTheme="minorHAnsi" w:cstheme="minorHAnsi"/>
        </w:rPr>
        <w:t>2022/BZP 00253597/01 z dnia 2022-07-13</w:t>
      </w:r>
    </w:p>
    <w:p w:rsidR="00037C76" w:rsidRPr="00037C76" w:rsidRDefault="00037C76" w:rsidP="00037C76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Ko:</w:t>
      </w:r>
    </w:p>
    <w:p w:rsidR="00037C76" w:rsidRPr="00037C76" w:rsidRDefault="00037C76" w:rsidP="00037C76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Strona internetowa prowadzonego postępowania</w:t>
      </w:r>
    </w:p>
    <w:p w:rsidR="00037C76" w:rsidRPr="00037C76" w:rsidRDefault="00037C76" w:rsidP="00037C76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a/a</w:t>
      </w: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ind w:left="4253"/>
        <w:rPr>
          <w:kern w:val="1"/>
          <w:sz w:val="20"/>
          <w:szCs w:val="20"/>
        </w:rPr>
      </w:pPr>
      <w:r w:rsidRPr="00037C76">
        <w:rPr>
          <w:kern w:val="1"/>
          <w:sz w:val="20"/>
          <w:szCs w:val="20"/>
        </w:rPr>
        <w:t xml:space="preserve">                                      ………………………………………………………………….</w:t>
      </w:r>
    </w:p>
    <w:p w:rsidR="00037C76" w:rsidRPr="00037C76" w:rsidRDefault="00037C76" w:rsidP="00037C76">
      <w:pPr>
        <w:suppressAutoHyphens/>
        <w:ind w:left="4253"/>
        <w:rPr>
          <w:i/>
          <w:iCs/>
          <w:kern w:val="1"/>
          <w:sz w:val="20"/>
          <w:szCs w:val="20"/>
        </w:rPr>
      </w:pPr>
      <w:r w:rsidRPr="00037C76">
        <w:rPr>
          <w:i/>
          <w:iCs/>
          <w:kern w:val="1"/>
          <w:sz w:val="20"/>
          <w:szCs w:val="20"/>
        </w:rPr>
        <w:t xml:space="preserve">                                            (podpis kierownika Zamawiającego)</w:t>
      </w: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bookmarkEnd w:id="0"/>
    <w:p w:rsidR="006505AF" w:rsidRPr="00037C76" w:rsidRDefault="00AC2C71" w:rsidP="006505AF">
      <w:pPr>
        <w:rPr>
          <w:sz w:val="20"/>
          <w:szCs w:val="20"/>
        </w:rPr>
      </w:pPr>
      <w:r w:rsidRPr="00037C76">
        <w:rPr>
          <w:sz w:val="20"/>
          <w:szCs w:val="20"/>
        </w:rPr>
        <w:t xml:space="preserve">Sporządził : Mirosław Łopata - </w:t>
      </w:r>
      <w:r w:rsidRPr="00037C76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AF0B5D" w:rsidRPr="00037C76" w:rsidRDefault="00AF0B5D" w:rsidP="006505AF"/>
    <w:sectPr w:rsidR="00AF0B5D" w:rsidRPr="00037C76" w:rsidSect="006D10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D4" w:rsidRDefault="00DF60D4">
      <w:r>
        <w:separator/>
      </w:r>
    </w:p>
  </w:endnote>
  <w:endnote w:type="continuationSeparator" w:id="0">
    <w:p w:rsidR="00DF60D4" w:rsidRDefault="00DF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D4" w:rsidRDefault="00DF60D4">
      <w:r>
        <w:separator/>
      </w:r>
    </w:p>
  </w:footnote>
  <w:footnote w:type="continuationSeparator" w:id="0">
    <w:p w:rsidR="00DF60D4" w:rsidRDefault="00DF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9" w:rsidRDefault="00DF4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82F4C"/>
    <w:multiLevelType w:val="multilevel"/>
    <w:tmpl w:val="549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Akapitzlis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cs="Times New Roman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cs="Times New Roman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26110F86"/>
    <w:multiLevelType w:val="hybridMultilevel"/>
    <w:tmpl w:val="50F89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0DF5"/>
    <w:multiLevelType w:val="multilevel"/>
    <w:tmpl w:val="539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537E"/>
    <w:multiLevelType w:val="hybridMultilevel"/>
    <w:tmpl w:val="DE6EE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2AE7"/>
    <w:multiLevelType w:val="hybridMultilevel"/>
    <w:tmpl w:val="6E0C2922"/>
    <w:lvl w:ilvl="0" w:tplc="A80C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476"/>
    <w:multiLevelType w:val="multilevel"/>
    <w:tmpl w:val="31B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7D39"/>
    <w:multiLevelType w:val="hybridMultilevel"/>
    <w:tmpl w:val="7EBA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1B58"/>
    <w:multiLevelType w:val="multilevel"/>
    <w:tmpl w:val="6B9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1A4B"/>
    <w:multiLevelType w:val="multilevel"/>
    <w:tmpl w:val="E34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61D14"/>
    <w:multiLevelType w:val="multilevel"/>
    <w:tmpl w:val="687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304A"/>
    <w:multiLevelType w:val="hybridMultilevel"/>
    <w:tmpl w:val="1AFA6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1535C"/>
    <w:rsid w:val="00023D7C"/>
    <w:rsid w:val="000277D3"/>
    <w:rsid w:val="00037C76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10F4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137B1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1376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B00E0"/>
    <w:rsid w:val="004C48E7"/>
    <w:rsid w:val="004F0C2A"/>
    <w:rsid w:val="004F3138"/>
    <w:rsid w:val="004F7433"/>
    <w:rsid w:val="00500FF6"/>
    <w:rsid w:val="00501C4D"/>
    <w:rsid w:val="005243AB"/>
    <w:rsid w:val="00524CFC"/>
    <w:rsid w:val="00526017"/>
    <w:rsid w:val="00534B34"/>
    <w:rsid w:val="0055605B"/>
    <w:rsid w:val="005567C6"/>
    <w:rsid w:val="00561EC8"/>
    <w:rsid w:val="00567ABB"/>
    <w:rsid w:val="00571658"/>
    <w:rsid w:val="0057299D"/>
    <w:rsid w:val="00591A1C"/>
    <w:rsid w:val="005920D1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E4E4A"/>
    <w:rsid w:val="008F29BE"/>
    <w:rsid w:val="008F4359"/>
    <w:rsid w:val="00905073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4A4F"/>
    <w:rsid w:val="00956263"/>
    <w:rsid w:val="009616D0"/>
    <w:rsid w:val="00964662"/>
    <w:rsid w:val="00971748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21FA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4E39"/>
    <w:rsid w:val="00DF5CA7"/>
    <w:rsid w:val="00DF60D4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A2CBE"/>
    <w:rsid w:val="00EC3CA7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2CBE"/>
    <w:pPr>
      <w:numPr>
        <w:numId w:val="6"/>
      </w:numPr>
      <w:spacing w:line="360" w:lineRule="auto"/>
      <w:contextualSpacing/>
    </w:pPr>
    <w:rPr>
      <w:rFonts w:asciiTheme="minorHAnsi" w:eastAsiaTheme="minorEastAsia" w:hAnsiTheme="minorHAnsi"/>
      <w:sz w:val="22"/>
      <w:lang w:val="nl-NL" w:eastAsia="nl-NL"/>
    </w:rPr>
  </w:style>
  <w:style w:type="numbering" w:customStyle="1" w:styleId="Philipsbullets">
    <w:name w:val="Philips bullets"/>
    <w:rsid w:val="00EA2CB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A2CBE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C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EA2CB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2CBE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9"/>
      <w:szCs w:val="19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EA2CBE"/>
    <w:rPr>
      <w:rFonts w:asciiTheme="minorHAnsi" w:eastAsiaTheme="minorEastAsia" w:hAnsiTheme="minorHAnsi"/>
      <w:sz w:val="22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unhideWhenUsed/>
    <w:rsid w:val="00EA2CBE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037C76"/>
  </w:style>
  <w:style w:type="paragraph" w:customStyle="1" w:styleId="Default">
    <w:name w:val="Default"/>
    <w:rsid w:val="00037C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p.waw.pl/is-pib/laboratorium-nawierzchni-sportowy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F3E4-855E-4590-93FB-2CA11FA8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7</TotalTime>
  <Pages>4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6</cp:revision>
  <cp:lastPrinted>2022-07-26T12:45:00Z</cp:lastPrinted>
  <dcterms:created xsi:type="dcterms:W3CDTF">2022-07-26T12:36:00Z</dcterms:created>
  <dcterms:modified xsi:type="dcterms:W3CDTF">2022-07-26T12:50:00Z</dcterms:modified>
</cp:coreProperties>
</file>