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20C" w:rsidRPr="00983E64" w:rsidRDefault="006E420C" w:rsidP="006E420C">
      <w:pPr>
        <w:jc w:val="center"/>
        <w:rPr>
          <w:rFonts w:ascii="Verdana" w:hAnsi="Verdana"/>
          <w:b/>
          <w:sz w:val="18"/>
          <w:szCs w:val="18"/>
        </w:rPr>
      </w:pPr>
      <w:r w:rsidRPr="00983E64">
        <w:rPr>
          <w:rFonts w:ascii="Verdana" w:hAnsi="Verdana"/>
          <w:b/>
          <w:sz w:val="18"/>
          <w:szCs w:val="18"/>
        </w:rPr>
        <w:t>SPECYFIKACJA TECHNICZNA WYKONANIA I ODBIORU ROBÓT BUDOWALANYCH</w:t>
      </w:r>
    </w:p>
    <w:p w:rsidR="006E420C" w:rsidRDefault="006E420C" w:rsidP="006E420C">
      <w:pPr>
        <w:spacing w:before="120"/>
        <w:jc w:val="center"/>
        <w:rPr>
          <w:rFonts w:ascii="Verdana" w:hAnsi="Verdana"/>
          <w:b/>
          <w:sz w:val="18"/>
          <w:szCs w:val="18"/>
        </w:rPr>
      </w:pPr>
      <w:r w:rsidRPr="00983E64">
        <w:rPr>
          <w:rFonts w:ascii="Verdana" w:hAnsi="Verdana"/>
          <w:b/>
          <w:sz w:val="18"/>
          <w:szCs w:val="18"/>
        </w:rPr>
        <w:t>D–</w:t>
      </w:r>
      <w:r>
        <w:rPr>
          <w:rFonts w:ascii="Verdana" w:hAnsi="Verdana"/>
          <w:b/>
          <w:sz w:val="18"/>
          <w:szCs w:val="18"/>
        </w:rPr>
        <w:t>10</w:t>
      </w:r>
      <w:r w:rsidRPr="00983E64">
        <w:rPr>
          <w:rFonts w:ascii="Verdana" w:hAnsi="Verdana"/>
          <w:b/>
          <w:sz w:val="18"/>
          <w:szCs w:val="18"/>
        </w:rPr>
        <w:t>.0</w:t>
      </w:r>
      <w:r>
        <w:rPr>
          <w:rFonts w:ascii="Verdana" w:hAnsi="Verdana"/>
          <w:b/>
          <w:sz w:val="18"/>
          <w:szCs w:val="18"/>
        </w:rPr>
        <w:t>7</w:t>
      </w:r>
      <w:r w:rsidRPr="00983E64">
        <w:rPr>
          <w:rFonts w:ascii="Verdana" w:hAnsi="Verdana"/>
          <w:b/>
          <w:sz w:val="18"/>
          <w:szCs w:val="18"/>
        </w:rPr>
        <w:t xml:space="preserve">.01 </w:t>
      </w:r>
    </w:p>
    <w:p w:rsidR="006E420C" w:rsidRPr="00983E64" w:rsidRDefault="006E420C" w:rsidP="006E420C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Zjazdy</w:t>
      </w:r>
      <w:r w:rsidR="00CD5BFD">
        <w:rPr>
          <w:rFonts w:ascii="Verdana" w:hAnsi="Verdana"/>
          <w:b/>
          <w:sz w:val="18"/>
          <w:szCs w:val="18"/>
        </w:rPr>
        <w:t>/przejazdy</w:t>
      </w:r>
      <w:r>
        <w:rPr>
          <w:rFonts w:ascii="Verdana" w:hAnsi="Verdana"/>
          <w:b/>
          <w:sz w:val="18"/>
          <w:szCs w:val="18"/>
        </w:rPr>
        <w:t xml:space="preserve"> na szlaki zrywkowe</w:t>
      </w:r>
      <w:r w:rsidRPr="00983E64">
        <w:rPr>
          <w:rFonts w:ascii="Verdana" w:hAnsi="Verdana"/>
          <w:b/>
          <w:sz w:val="18"/>
          <w:szCs w:val="18"/>
        </w:rPr>
        <w:t xml:space="preserve"> </w:t>
      </w:r>
    </w:p>
    <w:p w:rsidR="00355334" w:rsidRPr="006E420C" w:rsidRDefault="00355334" w:rsidP="006E420C">
      <w:pPr>
        <w:pStyle w:val="Tekstpodstawowy"/>
        <w:rPr>
          <w:rFonts w:ascii="Verdana" w:hAnsi="Verdana"/>
          <w:b/>
          <w:sz w:val="18"/>
          <w:szCs w:val="18"/>
        </w:rPr>
      </w:pP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398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WSTĘP</w:t>
      </w:r>
    </w:p>
    <w:p w:rsidR="00355334" w:rsidRPr="006E420C" w:rsidRDefault="002E4FB3" w:rsidP="006E420C">
      <w:pPr>
        <w:pStyle w:val="Akapitzlist"/>
        <w:numPr>
          <w:ilvl w:val="1"/>
          <w:numId w:val="8"/>
        </w:numPr>
        <w:tabs>
          <w:tab w:val="left" w:pos="549"/>
        </w:tabs>
        <w:rPr>
          <w:rFonts w:ascii="Verdana" w:hAnsi="Verdana"/>
          <w:b/>
          <w:sz w:val="18"/>
          <w:szCs w:val="18"/>
        </w:rPr>
      </w:pPr>
      <w:r w:rsidRPr="006E420C">
        <w:rPr>
          <w:rFonts w:ascii="Verdana" w:hAnsi="Verdana"/>
          <w:b/>
          <w:color w:val="221F1F"/>
          <w:sz w:val="18"/>
          <w:szCs w:val="18"/>
        </w:rPr>
        <w:t>Przedmiot SST</w:t>
      </w:r>
    </w:p>
    <w:p w:rsidR="006E420C" w:rsidRPr="006E420C" w:rsidRDefault="002E4FB3" w:rsidP="006E420C">
      <w:pPr>
        <w:ind w:left="196" w:right="107" w:firstLine="707"/>
        <w:jc w:val="both"/>
        <w:rPr>
          <w:rFonts w:ascii="Verdana" w:hAnsi="Verdana"/>
          <w:bCs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Przedmiotem niniejszej szczegółowej specyfikacji technicznej (SST) są wymagania ogólne dotyczące</w:t>
      </w:r>
      <w:r w:rsidR="00CD5BFD">
        <w:rPr>
          <w:rFonts w:ascii="Verdana" w:hAnsi="Verdana"/>
          <w:color w:val="221F1F"/>
          <w:sz w:val="18"/>
          <w:szCs w:val="18"/>
        </w:rPr>
        <w:t xml:space="preserve"> wykonania przejazdów z płyt żelbetowych </w:t>
      </w:r>
      <w:r w:rsidR="006E420C">
        <w:rPr>
          <w:rFonts w:ascii="Verdana" w:hAnsi="Verdana"/>
          <w:color w:val="221F1F"/>
          <w:sz w:val="18"/>
          <w:szCs w:val="18"/>
        </w:rPr>
        <w:t xml:space="preserve">na szlaki zrywkowe </w:t>
      </w:r>
      <w:r w:rsidR="006E420C" w:rsidRPr="006E420C">
        <w:rPr>
          <w:rFonts w:ascii="Verdana" w:hAnsi="Verdana"/>
          <w:bCs/>
          <w:sz w:val="18"/>
          <w:szCs w:val="18"/>
        </w:rPr>
        <w:t>w ramach zadania pn.:</w:t>
      </w:r>
    </w:p>
    <w:p w:rsidR="001B0415" w:rsidRPr="001B0415" w:rsidRDefault="001B0415" w:rsidP="001B0415">
      <w:pPr>
        <w:pStyle w:val="Akapitzlist"/>
        <w:tabs>
          <w:tab w:val="left" w:pos="630"/>
        </w:tabs>
        <w:spacing w:line="276" w:lineRule="auto"/>
        <w:ind w:left="397" w:firstLine="0"/>
        <w:jc w:val="center"/>
        <w:rPr>
          <w:rFonts w:ascii="Verdana" w:hAnsi="Verdana"/>
          <w:b/>
          <w:i/>
          <w:sz w:val="18"/>
          <w:szCs w:val="18"/>
        </w:rPr>
      </w:pPr>
      <w:r w:rsidRPr="001B0415">
        <w:rPr>
          <w:rFonts w:ascii="Verdana" w:hAnsi="Verdana"/>
          <w:b/>
          <w:i/>
          <w:sz w:val="18"/>
          <w:szCs w:val="18"/>
        </w:rPr>
        <w:t xml:space="preserve">Remont drogi leśnej nr </w:t>
      </w:r>
      <w:proofErr w:type="spellStart"/>
      <w:r w:rsidRPr="001B0415">
        <w:rPr>
          <w:rFonts w:ascii="Verdana" w:hAnsi="Verdana"/>
          <w:b/>
          <w:i/>
          <w:sz w:val="18"/>
          <w:szCs w:val="18"/>
        </w:rPr>
        <w:t>inw</w:t>
      </w:r>
      <w:proofErr w:type="spellEnd"/>
      <w:r w:rsidRPr="001B0415">
        <w:rPr>
          <w:rFonts w:ascii="Verdana" w:hAnsi="Verdana"/>
          <w:b/>
          <w:i/>
          <w:sz w:val="18"/>
          <w:szCs w:val="18"/>
        </w:rPr>
        <w:t>. 220/82 Węglówka-Bonarówka km 2+300 –3+395                                           w Leśnictwie Węglówka</w:t>
      </w:r>
    </w:p>
    <w:p w:rsidR="00355334" w:rsidRPr="006E420C" w:rsidRDefault="002E4FB3" w:rsidP="006E420C">
      <w:pPr>
        <w:pStyle w:val="Nagwek1"/>
        <w:numPr>
          <w:ilvl w:val="1"/>
          <w:numId w:val="8"/>
        </w:numPr>
        <w:tabs>
          <w:tab w:val="left" w:pos="549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Zakres stosowania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SST</w:t>
      </w:r>
    </w:p>
    <w:p w:rsidR="00355334" w:rsidRPr="006E420C" w:rsidRDefault="002E4FB3" w:rsidP="006E420C">
      <w:pPr>
        <w:pStyle w:val="Tekstpodstawowy"/>
        <w:ind w:left="196" w:right="249" w:firstLine="707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Szczegółowa specyfikacja techniczna (SST) stanowi dokument przetargowy i kontraktowy przy zlecaniu i realizacji robót wymienionych w pkt. 1.1.</w:t>
      </w:r>
    </w:p>
    <w:p w:rsidR="00355334" w:rsidRPr="006E420C" w:rsidRDefault="00355334" w:rsidP="006E420C">
      <w:pPr>
        <w:pStyle w:val="Tekstpodstawowy"/>
        <w:rPr>
          <w:rFonts w:ascii="Verdana" w:hAnsi="Verdana"/>
          <w:sz w:val="18"/>
          <w:szCs w:val="18"/>
        </w:rPr>
      </w:pPr>
    </w:p>
    <w:p w:rsidR="00355334" w:rsidRPr="006E420C" w:rsidRDefault="002E4FB3" w:rsidP="006E420C">
      <w:pPr>
        <w:pStyle w:val="Nagwek1"/>
        <w:numPr>
          <w:ilvl w:val="1"/>
          <w:numId w:val="8"/>
        </w:numPr>
        <w:tabs>
          <w:tab w:val="left" w:pos="549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Zakres robót objętych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SST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Zakres stosowania</w:t>
      </w:r>
      <w:r w:rsidRPr="006E420C">
        <w:rPr>
          <w:rFonts w:ascii="Verdana" w:hAnsi="Verdana"/>
          <w:color w:val="221F1F"/>
          <w:spacing w:val="-2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zjazdów</w:t>
      </w:r>
    </w:p>
    <w:p w:rsidR="00355334" w:rsidRPr="006E420C" w:rsidRDefault="002E4FB3" w:rsidP="006E420C">
      <w:pPr>
        <w:pStyle w:val="Tekstpodstawowy"/>
        <w:tabs>
          <w:tab w:val="left" w:pos="9072"/>
        </w:tabs>
        <w:ind w:left="196" w:right="249" w:firstLine="707"/>
        <w:jc w:val="both"/>
        <w:rPr>
          <w:rFonts w:ascii="Verdana" w:hAnsi="Verdana"/>
          <w:color w:val="221F1F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Ustalenia zawarte w niniejszej specyfikacji dotyczą wykonywania zjazdów </w:t>
      </w:r>
      <w:r w:rsidR="006E420C">
        <w:rPr>
          <w:rFonts w:ascii="Verdana" w:hAnsi="Verdana"/>
          <w:color w:val="221F1F"/>
          <w:sz w:val="18"/>
          <w:szCs w:val="18"/>
        </w:rPr>
        <w:t>na szlaki zrywkowe</w:t>
      </w:r>
      <w:r w:rsidRPr="006E420C">
        <w:rPr>
          <w:rFonts w:ascii="Verdana" w:hAnsi="Verdana"/>
          <w:color w:val="221F1F"/>
          <w:sz w:val="18"/>
          <w:szCs w:val="18"/>
        </w:rPr>
        <w:t>.</w:t>
      </w:r>
    </w:p>
    <w:p w:rsidR="00355334" w:rsidRPr="006E420C" w:rsidRDefault="00355334" w:rsidP="006E420C">
      <w:pPr>
        <w:pStyle w:val="Tekstpodstawowy"/>
        <w:rPr>
          <w:rFonts w:ascii="Verdana" w:hAnsi="Verdana"/>
          <w:sz w:val="18"/>
          <w:szCs w:val="18"/>
        </w:rPr>
      </w:pP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Rodzaje nawierzchni stosowanych na zjazdach: </w:t>
      </w:r>
      <w:r w:rsidR="006E420C">
        <w:rPr>
          <w:rFonts w:ascii="Verdana" w:hAnsi="Verdana"/>
          <w:color w:val="221F1F"/>
          <w:sz w:val="18"/>
          <w:szCs w:val="18"/>
        </w:rPr>
        <w:t xml:space="preserve">kruszywo kamienne, płyty </w:t>
      </w:r>
      <w:r w:rsidR="00972BE2">
        <w:rPr>
          <w:rFonts w:ascii="Verdana" w:hAnsi="Verdana"/>
          <w:color w:val="221F1F"/>
          <w:sz w:val="18"/>
          <w:szCs w:val="18"/>
        </w:rPr>
        <w:t>ż</w:t>
      </w:r>
      <w:r w:rsidR="006E420C">
        <w:rPr>
          <w:rFonts w:ascii="Verdana" w:hAnsi="Verdana"/>
          <w:color w:val="221F1F"/>
          <w:sz w:val="18"/>
          <w:szCs w:val="18"/>
        </w:rPr>
        <w:t>elbetowe</w:t>
      </w:r>
      <w:r w:rsidRPr="006E420C">
        <w:rPr>
          <w:rFonts w:ascii="Verdana" w:hAnsi="Verdana"/>
          <w:color w:val="221F1F"/>
          <w:sz w:val="18"/>
          <w:szCs w:val="18"/>
        </w:rPr>
        <w:t>.</w:t>
      </w:r>
    </w:p>
    <w:p w:rsidR="00355334" w:rsidRPr="006E420C" w:rsidRDefault="002E4FB3" w:rsidP="00CD5BFD">
      <w:pPr>
        <w:pStyle w:val="Nagwek1"/>
        <w:numPr>
          <w:ilvl w:val="1"/>
          <w:numId w:val="8"/>
        </w:numPr>
        <w:tabs>
          <w:tab w:val="left" w:pos="549"/>
        </w:tabs>
        <w:spacing w:before="120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Określenia podstawowe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ind w:left="196" w:right="112" w:firstLine="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Zjazd - urządzone miejsce dostępu do drogi, którego lokalizacja wynika z potrzeb obsługi przyległego terenu i jest uzgodniona z zarządem drogi. W zależności od pełnionej funkcji, rozróżnia się dwa typy zjazdów: publiczne i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indywidualne.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ind w:left="195" w:right="109" w:firstLine="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Zjazd publiczny - urządzone miejsce dostępu do drogi z drogi bocznej lub obiektu, w którym jest prowadzona działalność gospodarcza. Zjazd publiczny zapewnia dostęp z/do parkingu, stacji paliw, obiektów gastronomicznych, obiektów przemysłowych lub innych obiektów</w:t>
      </w:r>
      <w:r w:rsidRPr="006E420C">
        <w:rPr>
          <w:rFonts w:ascii="Verdana" w:hAnsi="Verdana"/>
          <w:color w:val="221F1F"/>
          <w:spacing w:val="-6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ogólnodostępnych.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ind w:left="195" w:right="112" w:firstLine="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Zjazd indywidualny (do gospodarstw) - miejsce dostępu do drogi z obiektu, który jest użytkowany indywidualnie. Zjazd indywidualny zapewnia dostęp do pojedynczych posesji, zabudowań gospodarczych, na pole lub do innych obiektów użytkowanych</w:t>
      </w:r>
      <w:r w:rsidRPr="006E420C">
        <w:rPr>
          <w:rFonts w:ascii="Verdana" w:hAnsi="Verdana"/>
          <w:color w:val="221F1F"/>
          <w:spacing w:val="-4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indywidualnie.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spacing w:after="120"/>
        <w:ind w:left="196" w:right="112" w:firstLine="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.Pozostałe określenia podstawowe są zgodne z obowiązującymi odpowiednimi polskimi normami i definicjami podanymi w OST D-M-00.00.00 „Wymagania</w:t>
      </w:r>
      <w:r w:rsidRPr="006E420C">
        <w:rPr>
          <w:rFonts w:ascii="Verdana" w:hAnsi="Verdana"/>
          <w:color w:val="221F1F"/>
          <w:spacing w:val="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ogólne”.</w:t>
      </w:r>
    </w:p>
    <w:p w:rsidR="00355334" w:rsidRPr="006E420C" w:rsidRDefault="002E4FB3" w:rsidP="006E420C">
      <w:pPr>
        <w:pStyle w:val="Nagwek1"/>
        <w:numPr>
          <w:ilvl w:val="1"/>
          <w:numId w:val="8"/>
        </w:numPr>
        <w:tabs>
          <w:tab w:val="left" w:pos="549"/>
        </w:tabs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Ogólne wym</w:t>
      </w:r>
      <w:bookmarkStart w:id="0" w:name="_GoBack"/>
      <w:bookmarkEnd w:id="0"/>
      <w:r w:rsidRPr="006E420C">
        <w:rPr>
          <w:rFonts w:ascii="Verdana" w:hAnsi="Verdana"/>
          <w:color w:val="221F1F"/>
          <w:sz w:val="18"/>
          <w:szCs w:val="18"/>
        </w:rPr>
        <w:t>agania dotyczące robót</w:t>
      </w:r>
    </w:p>
    <w:p w:rsidR="00355334" w:rsidRPr="006E420C" w:rsidRDefault="002E4FB3" w:rsidP="006E420C">
      <w:pPr>
        <w:pStyle w:val="Tekstpodstawowy"/>
        <w:ind w:left="903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Ogólne wymagania dotyczące robót podano w OST D-M-00.00.00 „Wymagania ogólne”.</w:t>
      </w:r>
    </w:p>
    <w:p w:rsidR="00355334" w:rsidRPr="006E420C" w:rsidRDefault="002E4FB3" w:rsidP="00CD5BFD">
      <w:pPr>
        <w:pStyle w:val="Nagwek1"/>
        <w:numPr>
          <w:ilvl w:val="0"/>
          <w:numId w:val="8"/>
        </w:numPr>
        <w:tabs>
          <w:tab w:val="left" w:pos="396"/>
        </w:tabs>
        <w:spacing w:before="120"/>
        <w:ind w:left="395" w:hanging="20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MATERIAŁY</w:t>
      </w:r>
    </w:p>
    <w:p w:rsidR="00355334" w:rsidRPr="006E420C" w:rsidRDefault="002E4FB3" w:rsidP="006E420C">
      <w:pPr>
        <w:pStyle w:val="Akapitzlist"/>
        <w:numPr>
          <w:ilvl w:val="1"/>
          <w:numId w:val="8"/>
        </w:numPr>
        <w:tabs>
          <w:tab w:val="left" w:pos="549"/>
        </w:tabs>
        <w:jc w:val="both"/>
        <w:rPr>
          <w:rFonts w:ascii="Verdana" w:hAnsi="Verdana"/>
          <w:b/>
          <w:sz w:val="18"/>
          <w:szCs w:val="18"/>
        </w:rPr>
      </w:pPr>
      <w:r w:rsidRPr="006E420C">
        <w:rPr>
          <w:rFonts w:ascii="Verdana" w:hAnsi="Verdana"/>
          <w:b/>
          <w:color w:val="221F1F"/>
          <w:sz w:val="18"/>
          <w:szCs w:val="18"/>
        </w:rPr>
        <w:t>Ogólne wymagania dotyczące</w:t>
      </w:r>
      <w:r w:rsidRPr="006E420C">
        <w:rPr>
          <w:rFonts w:ascii="Verdana" w:hAnsi="Verdana"/>
          <w:b/>
          <w:color w:val="221F1F"/>
          <w:spacing w:val="2"/>
          <w:sz w:val="18"/>
          <w:szCs w:val="18"/>
        </w:rPr>
        <w:t xml:space="preserve"> </w:t>
      </w:r>
      <w:r w:rsidRPr="006E420C">
        <w:rPr>
          <w:rFonts w:ascii="Verdana" w:hAnsi="Verdana"/>
          <w:b/>
          <w:color w:val="221F1F"/>
          <w:sz w:val="18"/>
          <w:szCs w:val="18"/>
        </w:rPr>
        <w:t>materiałów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spacing w:after="120"/>
        <w:ind w:left="196" w:right="112" w:firstLine="0"/>
        <w:jc w:val="both"/>
        <w:rPr>
          <w:rFonts w:ascii="Verdana" w:hAnsi="Verdana"/>
          <w:color w:val="221F1F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Ogólne wymagania dotyczące materiałów, ich pozyskiwania i składowania, podano </w:t>
      </w:r>
      <w:r w:rsidR="006E420C">
        <w:rPr>
          <w:rFonts w:ascii="Verdana" w:hAnsi="Verdana"/>
          <w:color w:val="221F1F"/>
          <w:sz w:val="18"/>
          <w:szCs w:val="18"/>
        </w:rPr>
        <w:t xml:space="preserve">                        </w:t>
      </w:r>
      <w:r w:rsidRPr="006E420C">
        <w:rPr>
          <w:rFonts w:ascii="Verdana" w:hAnsi="Verdana"/>
          <w:color w:val="221F1F"/>
          <w:sz w:val="18"/>
          <w:szCs w:val="18"/>
        </w:rPr>
        <w:t xml:space="preserve">w </w:t>
      </w:r>
      <w:r w:rsidR="006E420C">
        <w:rPr>
          <w:rFonts w:ascii="Verdana" w:hAnsi="Verdana"/>
          <w:color w:val="221F1F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ST D-M-00.00.00 „Wymagania ogólne”.</w:t>
      </w:r>
    </w:p>
    <w:p w:rsidR="00355334" w:rsidRPr="006E420C" w:rsidRDefault="002E4FB3" w:rsidP="006E420C">
      <w:pPr>
        <w:pStyle w:val="Nagwek1"/>
        <w:numPr>
          <w:ilvl w:val="1"/>
          <w:numId w:val="8"/>
        </w:numPr>
        <w:tabs>
          <w:tab w:val="left" w:pos="547"/>
        </w:tabs>
        <w:spacing w:before="120"/>
        <w:ind w:left="546" w:hanging="351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Materiały do konstrukcji nawierzchni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zjazdów</w:t>
      </w:r>
    </w:p>
    <w:p w:rsidR="00355334" w:rsidRPr="006E420C" w:rsidRDefault="002E4FB3" w:rsidP="006E420C">
      <w:pPr>
        <w:pStyle w:val="Akapitzlist"/>
        <w:numPr>
          <w:ilvl w:val="2"/>
          <w:numId w:val="8"/>
        </w:numPr>
        <w:tabs>
          <w:tab w:val="left" w:pos="696"/>
        </w:tabs>
        <w:ind w:left="196" w:right="112" w:firstLine="0"/>
        <w:jc w:val="both"/>
        <w:rPr>
          <w:rFonts w:ascii="Verdana" w:hAnsi="Verdana"/>
          <w:color w:val="221F1F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Materiały użyte do wykonywania nawierzchni i podbudowy na zjazdach powinny odpowiadać wymaganiom zawartym w punkcie 2 odpowiednich SST:</w:t>
      </w:r>
    </w:p>
    <w:p w:rsidR="00355334" w:rsidRPr="006E420C" w:rsidRDefault="006E420C" w:rsidP="006E420C">
      <w:pPr>
        <w:pStyle w:val="Akapitzlist"/>
        <w:tabs>
          <w:tab w:val="left" w:pos="696"/>
        </w:tabs>
        <w:spacing w:after="120"/>
        <w:ind w:left="196" w:right="112" w:firstLine="0"/>
        <w:jc w:val="both"/>
        <w:rPr>
          <w:rFonts w:ascii="Verdana" w:hAnsi="Verdana"/>
          <w:color w:val="221F1F"/>
          <w:sz w:val="18"/>
          <w:szCs w:val="18"/>
        </w:rPr>
      </w:pPr>
      <w:r>
        <w:rPr>
          <w:rFonts w:ascii="Verdana" w:hAnsi="Verdana"/>
          <w:color w:val="221F1F"/>
          <w:sz w:val="18"/>
          <w:szCs w:val="18"/>
        </w:rPr>
        <w:t xml:space="preserve">- </w:t>
      </w:r>
      <w:r w:rsidR="002E4FB3" w:rsidRPr="006E420C">
        <w:rPr>
          <w:rFonts w:ascii="Verdana" w:hAnsi="Verdana"/>
          <w:color w:val="221F1F"/>
          <w:sz w:val="18"/>
          <w:szCs w:val="18"/>
        </w:rPr>
        <w:t xml:space="preserve">materiały do podbudowy z kruszywa łamanego stabilizowanego mechanicznie, wymagania </w:t>
      </w:r>
      <w:r>
        <w:rPr>
          <w:rFonts w:ascii="Verdana" w:hAnsi="Verdana"/>
          <w:color w:val="221F1F"/>
          <w:sz w:val="18"/>
          <w:szCs w:val="18"/>
        </w:rPr>
        <w:t xml:space="preserve">                  w</w:t>
      </w:r>
      <w:r w:rsidR="002E4FB3" w:rsidRPr="006E420C">
        <w:rPr>
          <w:rFonts w:ascii="Verdana" w:hAnsi="Verdana"/>
          <w:color w:val="221F1F"/>
          <w:sz w:val="18"/>
          <w:szCs w:val="18"/>
        </w:rPr>
        <w:t>g SST D-</w:t>
      </w:r>
      <w:r>
        <w:rPr>
          <w:rFonts w:ascii="Verdana" w:hAnsi="Verdana"/>
          <w:color w:val="221F1F"/>
          <w:sz w:val="18"/>
          <w:szCs w:val="18"/>
        </w:rPr>
        <w:t>04.04.02</w:t>
      </w:r>
      <w:r w:rsidR="002E4FB3" w:rsidRPr="006E420C">
        <w:rPr>
          <w:rFonts w:ascii="Verdana" w:hAnsi="Verdana"/>
          <w:color w:val="221F1F"/>
          <w:sz w:val="18"/>
          <w:szCs w:val="18"/>
        </w:rPr>
        <w:t>„Podbudowa z kruszywa łamanego”.</w:t>
      </w: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398"/>
        </w:tabs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SPRZĘT</w:t>
      </w:r>
    </w:p>
    <w:p w:rsidR="00355334" w:rsidRPr="006E420C" w:rsidRDefault="002E4FB3" w:rsidP="006E420C">
      <w:pPr>
        <w:pStyle w:val="Tekstpodstawowy"/>
        <w:ind w:left="903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Wymagania ogólne dotyczące sprzętu podano w SST D-M-00.00.00 „Wymagania ogólne”.</w:t>
      </w: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398"/>
        </w:tabs>
        <w:spacing w:before="12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TRANSPORT</w:t>
      </w:r>
    </w:p>
    <w:p w:rsidR="00355334" w:rsidRPr="006E420C" w:rsidRDefault="002E4FB3" w:rsidP="006E420C">
      <w:pPr>
        <w:pStyle w:val="Tekstpodstawowy"/>
        <w:ind w:left="903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Wymagania ogólne dotyczące transportu podano w SST D-M-00.00.00 „Wymagania ogólne”.</w:t>
      </w:r>
    </w:p>
    <w:p w:rsidR="00355334" w:rsidRPr="006E420C" w:rsidRDefault="002E4FB3" w:rsidP="006E420C">
      <w:pPr>
        <w:pStyle w:val="Tekstpodstawowy"/>
        <w:ind w:left="196" w:firstLine="707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Transport materiałów stosowanych do wykonania zjazdów powinien odpowiadać wymaganiom według punktu 4 odpowiednich SST, wymienionych w punktach 2.2 - 2.4 niniejszej specyfikacji technicznej.</w:t>
      </w: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398"/>
        </w:tabs>
        <w:spacing w:before="120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WYKONANIE</w:t>
      </w:r>
      <w:r w:rsidRPr="006E420C">
        <w:rPr>
          <w:rFonts w:ascii="Verdana" w:hAnsi="Verdana"/>
          <w:color w:val="221F1F"/>
          <w:spacing w:val="-2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ROBÓT</w:t>
      </w:r>
    </w:p>
    <w:p w:rsidR="00355334" w:rsidRPr="006E420C" w:rsidRDefault="002E4FB3" w:rsidP="006E420C">
      <w:pPr>
        <w:pStyle w:val="Akapitzlist"/>
        <w:numPr>
          <w:ilvl w:val="1"/>
          <w:numId w:val="8"/>
        </w:numPr>
        <w:tabs>
          <w:tab w:val="left" w:pos="550"/>
        </w:tabs>
        <w:ind w:left="549" w:hanging="354"/>
        <w:jc w:val="both"/>
        <w:rPr>
          <w:rFonts w:ascii="Verdana" w:hAnsi="Verdana"/>
          <w:b/>
          <w:sz w:val="18"/>
          <w:szCs w:val="18"/>
        </w:rPr>
      </w:pPr>
      <w:r w:rsidRPr="006E420C">
        <w:rPr>
          <w:rFonts w:ascii="Verdana" w:hAnsi="Verdana"/>
          <w:b/>
          <w:color w:val="221F1F"/>
          <w:sz w:val="18"/>
          <w:szCs w:val="18"/>
        </w:rPr>
        <w:t>Ogólne zasady wykonania</w:t>
      </w:r>
      <w:r w:rsidRPr="006E420C">
        <w:rPr>
          <w:rFonts w:ascii="Verdana" w:hAnsi="Verdana"/>
          <w:b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b/>
          <w:color w:val="221F1F"/>
          <w:sz w:val="18"/>
          <w:szCs w:val="18"/>
        </w:rPr>
        <w:t>robót</w:t>
      </w:r>
    </w:p>
    <w:p w:rsidR="00355334" w:rsidRPr="006E420C" w:rsidRDefault="002E4FB3" w:rsidP="006E420C">
      <w:pPr>
        <w:pStyle w:val="Tekstpodstawowy"/>
        <w:ind w:left="904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Ogólne wymagania wykonania robót podano w SST D-M-00.00.00 „Wymagania ogólne”.</w:t>
      </w:r>
    </w:p>
    <w:p w:rsidR="00355334" w:rsidRPr="006E420C" w:rsidRDefault="002E4FB3" w:rsidP="006E420C">
      <w:pPr>
        <w:pStyle w:val="Nagwek1"/>
        <w:numPr>
          <w:ilvl w:val="1"/>
          <w:numId w:val="8"/>
        </w:numPr>
        <w:tabs>
          <w:tab w:val="left" w:pos="549"/>
        </w:tabs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Roboty przygotowawcze</w:t>
      </w:r>
    </w:p>
    <w:p w:rsidR="00355334" w:rsidRPr="006E420C" w:rsidRDefault="002E4FB3" w:rsidP="006E420C">
      <w:pPr>
        <w:pStyle w:val="Tekstpodstawowy"/>
        <w:ind w:left="196" w:right="249" w:firstLine="707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Przed przystąpieniem do właściwych robót należy wykonać roboty przygotowawcze zgodnie z wymogami podanymi w SST D-01.00.00 „Roboty przygotowawcze”.</w:t>
      </w:r>
    </w:p>
    <w:p w:rsidR="00355334" w:rsidRPr="006E420C" w:rsidRDefault="002E4FB3" w:rsidP="006E420C">
      <w:pPr>
        <w:pStyle w:val="Nagwek1"/>
        <w:numPr>
          <w:ilvl w:val="1"/>
          <w:numId w:val="8"/>
        </w:numPr>
        <w:tabs>
          <w:tab w:val="left" w:pos="549"/>
        </w:tabs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Wykonanie nawierzchni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zjazdów</w:t>
      </w:r>
    </w:p>
    <w:p w:rsidR="00355334" w:rsidRPr="006E420C" w:rsidRDefault="002E4FB3" w:rsidP="006E420C">
      <w:pPr>
        <w:pStyle w:val="Tekstpodstawowy"/>
        <w:tabs>
          <w:tab w:val="left" w:pos="8789"/>
        </w:tabs>
        <w:ind w:left="196" w:right="620" w:firstLine="707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Wykonanie nawierzchni zjazdów powinno odpowiadać wymaganiom według </w:t>
      </w:r>
      <w:r w:rsidR="006E420C">
        <w:rPr>
          <w:rFonts w:ascii="Verdana" w:hAnsi="Verdana"/>
          <w:color w:val="221F1F"/>
          <w:sz w:val="18"/>
          <w:szCs w:val="18"/>
        </w:rPr>
        <w:t>o</w:t>
      </w:r>
      <w:r w:rsidRPr="006E420C">
        <w:rPr>
          <w:rFonts w:ascii="Verdana" w:hAnsi="Verdana"/>
          <w:color w:val="221F1F"/>
          <w:sz w:val="18"/>
          <w:szCs w:val="18"/>
        </w:rPr>
        <w:t>dpowiednich SST, wymienionych w punkcie 2.2.</w:t>
      </w:r>
    </w:p>
    <w:p w:rsidR="00355334" w:rsidRPr="006E420C" w:rsidRDefault="00355334" w:rsidP="006E420C">
      <w:pPr>
        <w:rPr>
          <w:rFonts w:ascii="Verdana" w:hAnsi="Verdana"/>
          <w:sz w:val="18"/>
          <w:szCs w:val="18"/>
        </w:rPr>
        <w:sectPr w:rsidR="00355334" w:rsidRPr="006E420C" w:rsidSect="0063712F">
          <w:footerReference w:type="default" r:id="rId7"/>
          <w:pgSz w:w="11900" w:h="16840"/>
          <w:pgMar w:top="1060" w:right="1300" w:bottom="993" w:left="1220" w:header="0" w:footer="961" w:gutter="0"/>
          <w:cols w:space="708"/>
        </w:sectPr>
      </w:pP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398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lastRenderedPageBreak/>
        <w:t>KONTROLA JAKOŚCI</w:t>
      </w:r>
      <w:r w:rsidRPr="006E420C">
        <w:rPr>
          <w:rFonts w:ascii="Verdana" w:hAnsi="Verdana"/>
          <w:color w:val="221F1F"/>
          <w:spacing w:val="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ROBÓT</w:t>
      </w:r>
    </w:p>
    <w:p w:rsidR="00355334" w:rsidRPr="006E420C" w:rsidRDefault="002E4FB3" w:rsidP="006E420C">
      <w:pPr>
        <w:pStyle w:val="Akapitzlist"/>
        <w:numPr>
          <w:ilvl w:val="1"/>
          <w:numId w:val="8"/>
        </w:numPr>
        <w:tabs>
          <w:tab w:val="left" w:pos="549"/>
        </w:tabs>
        <w:rPr>
          <w:rFonts w:ascii="Verdana" w:hAnsi="Verdana"/>
          <w:b/>
          <w:sz w:val="18"/>
          <w:szCs w:val="18"/>
        </w:rPr>
      </w:pPr>
      <w:r w:rsidRPr="006E420C">
        <w:rPr>
          <w:rFonts w:ascii="Verdana" w:hAnsi="Verdana"/>
          <w:b/>
          <w:color w:val="221F1F"/>
          <w:sz w:val="18"/>
          <w:szCs w:val="18"/>
        </w:rPr>
        <w:t>Sprawdzenie prawidłowości robót</w:t>
      </w:r>
      <w:r w:rsidRPr="006E420C">
        <w:rPr>
          <w:rFonts w:ascii="Verdana" w:hAnsi="Verdana"/>
          <w:b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b/>
          <w:color w:val="221F1F"/>
          <w:sz w:val="18"/>
          <w:szCs w:val="18"/>
        </w:rPr>
        <w:t>przygotowawczych</w:t>
      </w:r>
    </w:p>
    <w:p w:rsidR="00355334" w:rsidRPr="006E420C" w:rsidRDefault="002E4FB3" w:rsidP="006E420C">
      <w:pPr>
        <w:pStyle w:val="Tekstpodstawowy"/>
        <w:ind w:left="903"/>
        <w:jc w:val="both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Kontrola jakości robót przygotowawczych polega na sprawdzeniu ich zgodności </w:t>
      </w:r>
      <w:r w:rsidR="006E420C">
        <w:rPr>
          <w:rFonts w:ascii="Verdana" w:hAnsi="Verdana"/>
          <w:color w:val="221F1F"/>
          <w:sz w:val="18"/>
          <w:szCs w:val="18"/>
        </w:rPr>
        <w:t xml:space="preserve">                              </w:t>
      </w:r>
      <w:r w:rsidRPr="006E420C">
        <w:rPr>
          <w:rFonts w:ascii="Verdana" w:hAnsi="Verdana"/>
          <w:color w:val="221F1F"/>
          <w:sz w:val="18"/>
          <w:szCs w:val="18"/>
        </w:rPr>
        <w:t>z</w:t>
      </w:r>
      <w:r w:rsidR="006E420C">
        <w:rPr>
          <w:rFonts w:ascii="Verdana" w:hAnsi="Verdana"/>
          <w:color w:val="221F1F"/>
          <w:sz w:val="18"/>
          <w:szCs w:val="18"/>
        </w:rPr>
        <w:t xml:space="preserve"> d</w:t>
      </w:r>
      <w:r w:rsidRPr="006E420C">
        <w:rPr>
          <w:rFonts w:ascii="Verdana" w:hAnsi="Verdana"/>
          <w:color w:val="221F1F"/>
          <w:sz w:val="18"/>
          <w:szCs w:val="18"/>
        </w:rPr>
        <w:t>okumentacją projektową - na podstawie oględzin i pomiarów,</w:t>
      </w:r>
    </w:p>
    <w:p w:rsidR="00355334" w:rsidRPr="006E420C" w:rsidRDefault="002E4FB3" w:rsidP="006E420C">
      <w:pPr>
        <w:pStyle w:val="Nagwek1"/>
        <w:numPr>
          <w:ilvl w:val="1"/>
          <w:numId w:val="4"/>
        </w:numPr>
        <w:tabs>
          <w:tab w:val="left" w:pos="549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Sprawdzenie wykonania nawierzchni zjazdów</w:t>
      </w:r>
    </w:p>
    <w:p w:rsidR="00355334" w:rsidRPr="006E420C" w:rsidRDefault="002E4FB3" w:rsidP="006E420C">
      <w:pPr>
        <w:pStyle w:val="Tekstpodstawowy"/>
        <w:ind w:left="903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Kontrola jakości wykonania nawierzchni polega na sprawdzeniu ich zgodności z:</w:t>
      </w:r>
    </w:p>
    <w:p w:rsidR="00355334" w:rsidRPr="006E420C" w:rsidRDefault="002E4FB3" w:rsidP="006E420C">
      <w:pPr>
        <w:pStyle w:val="Akapitzlist"/>
        <w:numPr>
          <w:ilvl w:val="0"/>
          <w:numId w:val="2"/>
        </w:numPr>
        <w:tabs>
          <w:tab w:val="left" w:pos="480"/>
          <w:tab w:val="left" w:pos="1808"/>
          <w:tab w:val="left" w:pos="2917"/>
          <w:tab w:val="left" w:pos="3267"/>
          <w:tab w:val="left" w:pos="4188"/>
          <w:tab w:val="left" w:pos="5086"/>
          <w:tab w:val="left" w:pos="6195"/>
          <w:tab w:val="left" w:pos="7430"/>
          <w:tab w:val="left" w:pos="8534"/>
        </w:tabs>
        <w:ind w:right="110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dokumentacją</w:t>
      </w:r>
      <w:r w:rsidRPr="006E420C">
        <w:rPr>
          <w:rFonts w:ascii="Verdana" w:hAnsi="Verdana"/>
          <w:color w:val="221F1F"/>
          <w:sz w:val="18"/>
          <w:szCs w:val="18"/>
        </w:rPr>
        <w:tab/>
        <w:t>projektową</w:t>
      </w:r>
      <w:r w:rsidRPr="006E420C">
        <w:rPr>
          <w:rFonts w:ascii="Verdana" w:hAnsi="Verdana"/>
          <w:color w:val="221F1F"/>
          <w:sz w:val="18"/>
          <w:szCs w:val="18"/>
        </w:rPr>
        <w:tab/>
        <w:t>w</w:t>
      </w:r>
      <w:r w:rsidRPr="006E420C">
        <w:rPr>
          <w:rFonts w:ascii="Verdana" w:hAnsi="Verdana"/>
          <w:color w:val="221F1F"/>
          <w:sz w:val="18"/>
          <w:szCs w:val="18"/>
        </w:rPr>
        <w:tab/>
        <w:t>zakresie:</w:t>
      </w:r>
      <w:r w:rsidRPr="006E420C">
        <w:rPr>
          <w:rFonts w:ascii="Verdana" w:hAnsi="Verdana"/>
          <w:color w:val="221F1F"/>
          <w:sz w:val="18"/>
          <w:szCs w:val="18"/>
        </w:rPr>
        <w:tab/>
        <w:t>grubości</w:t>
      </w:r>
      <w:r w:rsidRPr="006E420C">
        <w:rPr>
          <w:rFonts w:ascii="Verdana" w:hAnsi="Verdana"/>
          <w:color w:val="221F1F"/>
          <w:sz w:val="18"/>
          <w:szCs w:val="18"/>
        </w:rPr>
        <w:tab/>
        <w:t>konstrukcji</w:t>
      </w:r>
      <w:r w:rsidRPr="006E420C">
        <w:rPr>
          <w:rFonts w:ascii="Verdana" w:hAnsi="Verdana"/>
          <w:color w:val="221F1F"/>
          <w:sz w:val="18"/>
          <w:szCs w:val="18"/>
        </w:rPr>
        <w:tab/>
        <w:t>nawierzchni,</w:t>
      </w:r>
      <w:r w:rsidRPr="006E420C">
        <w:rPr>
          <w:rFonts w:ascii="Verdana" w:hAnsi="Verdana"/>
          <w:color w:val="221F1F"/>
          <w:sz w:val="18"/>
          <w:szCs w:val="18"/>
        </w:rPr>
        <w:tab/>
        <w:t>szerokości,</w:t>
      </w:r>
      <w:r w:rsidRPr="006E420C">
        <w:rPr>
          <w:rFonts w:ascii="Verdana" w:hAnsi="Verdana"/>
          <w:color w:val="221F1F"/>
          <w:sz w:val="18"/>
          <w:szCs w:val="18"/>
        </w:rPr>
        <w:tab/>
      </w:r>
      <w:r w:rsidRPr="006E420C">
        <w:rPr>
          <w:rFonts w:ascii="Verdana" w:hAnsi="Verdana"/>
          <w:color w:val="221F1F"/>
          <w:spacing w:val="-3"/>
          <w:sz w:val="18"/>
          <w:szCs w:val="18"/>
        </w:rPr>
        <w:t xml:space="preserve">rzędnych </w:t>
      </w:r>
      <w:r w:rsidRPr="006E420C">
        <w:rPr>
          <w:rFonts w:ascii="Verdana" w:hAnsi="Verdana"/>
          <w:color w:val="221F1F"/>
          <w:sz w:val="18"/>
          <w:szCs w:val="18"/>
        </w:rPr>
        <w:t>wysokościowych i spadków</w:t>
      </w:r>
      <w:r w:rsidRPr="006E420C">
        <w:rPr>
          <w:rFonts w:ascii="Verdana" w:hAnsi="Verdana"/>
          <w:color w:val="221F1F"/>
          <w:spacing w:val="-4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poprzecznych,</w:t>
      </w:r>
    </w:p>
    <w:p w:rsidR="00355334" w:rsidRPr="006E420C" w:rsidRDefault="002E4FB3" w:rsidP="006E420C">
      <w:pPr>
        <w:pStyle w:val="Akapitzlist"/>
        <w:numPr>
          <w:ilvl w:val="0"/>
          <w:numId w:val="2"/>
        </w:numPr>
        <w:tabs>
          <w:tab w:val="left" w:pos="480"/>
        </w:tabs>
        <w:ind w:hanging="285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wymaganiami podanymi wg odpowiednich</w:t>
      </w:r>
      <w:r w:rsidRPr="006E420C">
        <w:rPr>
          <w:rFonts w:ascii="Verdana" w:hAnsi="Verdana"/>
          <w:color w:val="221F1F"/>
          <w:spacing w:val="3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SST.</w:t>
      </w:r>
    </w:p>
    <w:p w:rsidR="00355334" w:rsidRPr="006E420C" w:rsidRDefault="002E4FB3" w:rsidP="006E420C">
      <w:pPr>
        <w:pStyle w:val="Nagwek1"/>
        <w:numPr>
          <w:ilvl w:val="1"/>
          <w:numId w:val="4"/>
        </w:numPr>
        <w:tabs>
          <w:tab w:val="left" w:pos="549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Pomiary cech geometrycznych zjazdów</w:t>
      </w:r>
    </w:p>
    <w:p w:rsidR="00355334" w:rsidRPr="006E420C" w:rsidRDefault="002E4FB3" w:rsidP="006E420C">
      <w:pPr>
        <w:pStyle w:val="Tekstpodstawowy"/>
        <w:ind w:left="196" w:right="249" w:firstLine="707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Przeprowadzone pomiary nie powinny wykazywać większych odchyleń w zakresie cech geometrycznych zjazdów niż to podano w tablicy 1.</w:t>
      </w:r>
    </w:p>
    <w:p w:rsidR="00355334" w:rsidRPr="006E420C" w:rsidRDefault="00355334" w:rsidP="006E420C">
      <w:pPr>
        <w:pStyle w:val="Tekstpodstawowy"/>
        <w:rPr>
          <w:rFonts w:ascii="Verdana" w:hAnsi="Verdana"/>
          <w:sz w:val="18"/>
          <w:szCs w:val="18"/>
        </w:rPr>
      </w:pPr>
    </w:p>
    <w:p w:rsidR="00355334" w:rsidRPr="006E420C" w:rsidRDefault="002E4FB3" w:rsidP="006E420C">
      <w:pPr>
        <w:pStyle w:val="Tekstpodstawowy"/>
        <w:ind w:left="196"/>
        <w:rPr>
          <w:rFonts w:ascii="Verdana" w:hAnsi="Verdana"/>
          <w:sz w:val="16"/>
          <w:szCs w:val="16"/>
        </w:rPr>
      </w:pPr>
      <w:r w:rsidRPr="006E420C">
        <w:rPr>
          <w:rFonts w:ascii="Verdana" w:hAnsi="Verdana"/>
          <w:color w:val="221F1F"/>
          <w:sz w:val="16"/>
          <w:szCs w:val="16"/>
        </w:rPr>
        <w:t>Tablica 1. Dopuszczalne odchylenia dla nawierzchni zjazdów</w:t>
      </w:r>
    </w:p>
    <w:p w:rsidR="00355334" w:rsidRPr="006E420C" w:rsidRDefault="00355334" w:rsidP="006E420C">
      <w:pPr>
        <w:pStyle w:val="Tekstpodstawowy"/>
        <w:rPr>
          <w:rFonts w:ascii="Verdana" w:hAnsi="Verdana"/>
          <w:sz w:val="18"/>
          <w:szCs w:val="1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180"/>
        <w:gridCol w:w="1665"/>
        <w:gridCol w:w="1663"/>
      </w:tblGrid>
      <w:tr w:rsidR="00355334" w:rsidRPr="0063712F">
        <w:trPr>
          <w:trHeight w:val="428"/>
        </w:trPr>
        <w:tc>
          <w:tcPr>
            <w:tcW w:w="4180" w:type="dxa"/>
            <w:vMerge w:val="restart"/>
          </w:tcPr>
          <w:p w:rsidR="00355334" w:rsidRPr="0063712F" w:rsidRDefault="00355334" w:rsidP="006E420C">
            <w:pPr>
              <w:pStyle w:val="TableParagraph"/>
              <w:ind w:left="0"/>
              <w:rPr>
                <w:rFonts w:ascii="Verdana" w:hAnsi="Verdana"/>
                <w:sz w:val="16"/>
                <w:szCs w:val="16"/>
              </w:rPr>
            </w:pPr>
          </w:p>
          <w:p w:rsidR="00355334" w:rsidRPr="0063712F" w:rsidRDefault="002E4FB3" w:rsidP="006E420C">
            <w:pPr>
              <w:pStyle w:val="TableParagraph"/>
              <w:ind w:left="448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Cechy geometryczne nawierzchni zjazdu</w:t>
            </w:r>
          </w:p>
        </w:tc>
        <w:tc>
          <w:tcPr>
            <w:tcW w:w="3328" w:type="dxa"/>
            <w:gridSpan w:val="2"/>
          </w:tcPr>
          <w:p w:rsidR="00355334" w:rsidRPr="0063712F" w:rsidRDefault="002E4FB3" w:rsidP="006E420C">
            <w:pPr>
              <w:pStyle w:val="TableParagraph"/>
              <w:ind w:left="640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Dopuszczalne odchylenia</w:t>
            </w:r>
          </w:p>
        </w:tc>
      </w:tr>
      <w:tr w:rsidR="00355334" w:rsidRPr="0063712F" w:rsidTr="0063712F">
        <w:trPr>
          <w:trHeight w:val="366"/>
        </w:trPr>
        <w:tc>
          <w:tcPr>
            <w:tcW w:w="4180" w:type="dxa"/>
            <w:vMerge/>
            <w:tcBorders>
              <w:top w:val="nil"/>
            </w:tcBorders>
          </w:tcPr>
          <w:p w:rsidR="00355334" w:rsidRPr="0063712F" w:rsidRDefault="00355334" w:rsidP="006E420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434" w:hanging="156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w w:val="95"/>
                <w:sz w:val="16"/>
                <w:szCs w:val="16"/>
              </w:rPr>
              <w:t xml:space="preserve">Nawierzchnia </w:t>
            </w: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ulepszona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310" w:hanging="34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w w:val="95"/>
                <w:sz w:val="16"/>
                <w:szCs w:val="16"/>
              </w:rPr>
              <w:t xml:space="preserve">Nawierzchnia </w:t>
            </w: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nieulepszona</w:t>
            </w:r>
          </w:p>
        </w:tc>
      </w:tr>
      <w:tr w:rsidR="00355334" w:rsidRPr="0063712F">
        <w:trPr>
          <w:trHeight w:val="445"/>
        </w:trPr>
        <w:tc>
          <w:tcPr>
            <w:tcW w:w="4180" w:type="dxa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Szerokość, cm</w:t>
            </w: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606" w:right="590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5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494" w:right="479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+10 i -5</w:t>
            </w:r>
          </w:p>
        </w:tc>
      </w:tr>
      <w:tr w:rsidR="00355334" w:rsidRPr="0063712F">
        <w:trPr>
          <w:trHeight w:val="431"/>
        </w:trPr>
        <w:tc>
          <w:tcPr>
            <w:tcW w:w="4180" w:type="dxa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Równość podłużna, mm</w:t>
            </w: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14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w w:val="99"/>
                <w:sz w:val="16"/>
                <w:szCs w:val="16"/>
              </w:rPr>
              <w:t>9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494" w:right="477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12</w:t>
            </w:r>
          </w:p>
        </w:tc>
      </w:tr>
      <w:tr w:rsidR="00355334" w:rsidRPr="0063712F">
        <w:trPr>
          <w:trHeight w:val="428"/>
        </w:trPr>
        <w:tc>
          <w:tcPr>
            <w:tcW w:w="4180" w:type="dxa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Równość poprzeczna, mm</w:t>
            </w: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14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w w:val="99"/>
                <w:sz w:val="16"/>
                <w:szCs w:val="16"/>
              </w:rPr>
              <w:t>9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494" w:right="477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12</w:t>
            </w:r>
          </w:p>
        </w:tc>
      </w:tr>
      <w:tr w:rsidR="00355334" w:rsidRPr="0063712F">
        <w:trPr>
          <w:trHeight w:val="445"/>
        </w:trPr>
        <w:tc>
          <w:tcPr>
            <w:tcW w:w="4180" w:type="dxa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Pochylenie poprzeczne, %</w:t>
            </w: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609" w:right="590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0,5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494" w:right="477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1,0</w:t>
            </w:r>
          </w:p>
        </w:tc>
      </w:tr>
      <w:tr w:rsidR="00355334" w:rsidRPr="0063712F">
        <w:trPr>
          <w:trHeight w:val="443"/>
        </w:trPr>
        <w:tc>
          <w:tcPr>
            <w:tcW w:w="4180" w:type="dxa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Odchylenie osi zjazdu w planie, cm</w:t>
            </w: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606" w:right="590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5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493" w:right="479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10</w:t>
            </w:r>
          </w:p>
        </w:tc>
      </w:tr>
      <w:tr w:rsidR="00355334" w:rsidRPr="0063712F">
        <w:trPr>
          <w:trHeight w:val="445"/>
        </w:trPr>
        <w:tc>
          <w:tcPr>
            <w:tcW w:w="4180" w:type="dxa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 xml:space="preserve">Grubość konstrukcji nawierzchni </w:t>
            </w:r>
            <w:r w:rsidRPr="0063712F">
              <w:rPr>
                <w:rFonts w:ascii="Verdana" w:hAnsi="Verdana"/>
                <w:color w:val="221F1F"/>
                <w:sz w:val="16"/>
                <w:szCs w:val="16"/>
                <w:vertAlign w:val="superscript"/>
              </w:rPr>
              <w:t>*)</w:t>
            </w: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, cm</w:t>
            </w:r>
          </w:p>
        </w:tc>
        <w:tc>
          <w:tcPr>
            <w:tcW w:w="1665" w:type="dxa"/>
          </w:tcPr>
          <w:p w:rsidR="00355334" w:rsidRPr="0063712F" w:rsidRDefault="002E4FB3" w:rsidP="006E420C">
            <w:pPr>
              <w:pStyle w:val="TableParagraph"/>
              <w:ind w:left="609" w:right="590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0,5</w:t>
            </w:r>
          </w:p>
        </w:tc>
        <w:tc>
          <w:tcPr>
            <w:tcW w:w="1663" w:type="dxa"/>
          </w:tcPr>
          <w:p w:rsidR="00355334" w:rsidRPr="0063712F" w:rsidRDefault="002E4FB3" w:rsidP="006E420C">
            <w:pPr>
              <w:pStyle w:val="TableParagraph"/>
              <w:ind w:left="494" w:right="477"/>
              <w:jc w:val="center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 2,0</w:t>
            </w:r>
          </w:p>
        </w:tc>
      </w:tr>
      <w:tr w:rsidR="00355334" w:rsidRPr="0063712F">
        <w:trPr>
          <w:trHeight w:val="431"/>
        </w:trPr>
        <w:tc>
          <w:tcPr>
            <w:tcW w:w="7508" w:type="dxa"/>
            <w:gridSpan w:val="3"/>
          </w:tcPr>
          <w:p w:rsidR="00355334" w:rsidRPr="0063712F" w:rsidRDefault="002E4FB3" w:rsidP="006E420C">
            <w:pPr>
              <w:pStyle w:val="TableParagraph"/>
              <w:rPr>
                <w:rFonts w:ascii="Verdana" w:hAnsi="Verdana"/>
                <w:sz w:val="16"/>
                <w:szCs w:val="16"/>
              </w:rPr>
            </w:pPr>
            <w:r w:rsidRPr="0063712F">
              <w:rPr>
                <w:rFonts w:ascii="Verdana" w:hAnsi="Verdana"/>
                <w:color w:val="221F1F"/>
                <w:sz w:val="16"/>
                <w:szCs w:val="16"/>
              </w:rPr>
              <w:t>*) Odchylenia grubości konstrukcji nawierzchni zjazdu liczone dla łącznej grubości warstw</w:t>
            </w:r>
          </w:p>
        </w:tc>
      </w:tr>
    </w:tbl>
    <w:p w:rsidR="00355334" w:rsidRPr="006E420C" w:rsidRDefault="002E4FB3" w:rsidP="006E420C">
      <w:pPr>
        <w:pStyle w:val="Nagwek1"/>
        <w:numPr>
          <w:ilvl w:val="1"/>
          <w:numId w:val="4"/>
        </w:numPr>
        <w:tabs>
          <w:tab w:val="left" w:pos="549"/>
        </w:tabs>
        <w:spacing w:before="120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Ocena wyników badań</w:t>
      </w:r>
    </w:p>
    <w:p w:rsidR="00355334" w:rsidRPr="006E420C" w:rsidRDefault="002E4FB3" w:rsidP="006E420C">
      <w:pPr>
        <w:pStyle w:val="Tekstpodstawowy"/>
        <w:ind w:left="903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Wszystkie materiały muszą spełniać wymagania podane w punkcie 2.</w:t>
      </w:r>
    </w:p>
    <w:p w:rsidR="00355334" w:rsidRPr="006E420C" w:rsidRDefault="002E4FB3" w:rsidP="006E420C">
      <w:pPr>
        <w:pStyle w:val="Tekstpodstawowy"/>
        <w:ind w:left="195" w:right="182" w:firstLine="708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Wszystkie elementy robót, które wykazują odstępstwa od postanowień SST, powinny być doprowadzone na koszt Wykonawcy do stanu zgodności z SST, a po przeprowadzeniu badań i pomiarów mogą być ponownie przedstawione do akceptacji Inżyniera.</w:t>
      </w: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398"/>
        </w:tabs>
        <w:spacing w:before="120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OBMIAR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ROBÓT</w:t>
      </w:r>
    </w:p>
    <w:p w:rsidR="006E420C" w:rsidRDefault="002E4FB3" w:rsidP="006E420C">
      <w:pPr>
        <w:pStyle w:val="Tekstpodstawowy"/>
        <w:ind w:left="196" w:right="249" w:firstLine="707"/>
        <w:rPr>
          <w:rFonts w:ascii="Verdana" w:hAnsi="Verdana"/>
          <w:color w:val="221F1F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Jednostką obmiarową jest</w:t>
      </w:r>
      <w:r w:rsidR="006E420C">
        <w:rPr>
          <w:rFonts w:ascii="Verdana" w:hAnsi="Verdana"/>
          <w:color w:val="221F1F"/>
          <w:sz w:val="18"/>
          <w:szCs w:val="18"/>
        </w:rPr>
        <w:t>:</w:t>
      </w:r>
    </w:p>
    <w:p w:rsidR="00355334" w:rsidRPr="006E420C" w:rsidRDefault="006E420C" w:rsidP="006E420C">
      <w:pPr>
        <w:pStyle w:val="Tekstpodstawowy"/>
        <w:ind w:left="196" w:right="249" w:hanging="54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221F1F"/>
          <w:sz w:val="18"/>
          <w:szCs w:val="18"/>
        </w:rPr>
        <w:t xml:space="preserve">- </w:t>
      </w:r>
      <w:r w:rsidR="002E4FB3" w:rsidRPr="006E420C">
        <w:rPr>
          <w:rFonts w:ascii="Verdana" w:hAnsi="Verdana"/>
          <w:color w:val="221F1F"/>
          <w:sz w:val="18"/>
          <w:szCs w:val="18"/>
        </w:rPr>
        <w:t>m</w:t>
      </w:r>
      <w:r>
        <w:rPr>
          <w:rFonts w:ascii="Verdana" w:hAnsi="Verdana"/>
          <w:color w:val="221F1F"/>
          <w:sz w:val="18"/>
          <w:szCs w:val="18"/>
          <w:vertAlign w:val="superscript"/>
        </w:rPr>
        <w:t>3</w:t>
      </w:r>
      <w:r w:rsidR="002E4FB3" w:rsidRPr="006E420C">
        <w:rPr>
          <w:rFonts w:ascii="Verdana" w:hAnsi="Verdana"/>
          <w:color w:val="221F1F"/>
          <w:sz w:val="18"/>
          <w:szCs w:val="18"/>
        </w:rPr>
        <w:t xml:space="preserve"> (metr </w:t>
      </w:r>
      <w:r>
        <w:rPr>
          <w:rFonts w:ascii="Verdana" w:hAnsi="Verdana"/>
          <w:color w:val="221F1F"/>
          <w:sz w:val="18"/>
          <w:szCs w:val="18"/>
        </w:rPr>
        <w:t>sześcienny</w:t>
      </w:r>
      <w:r w:rsidR="002E4FB3" w:rsidRPr="006E420C">
        <w:rPr>
          <w:rFonts w:ascii="Verdana" w:hAnsi="Verdana"/>
          <w:color w:val="221F1F"/>
          <w:sz w:val="18"/>
          <w:szCs w:val="18"/>
        </w:rPr>
        <w:t xml:space="preserve">) </w:t>
      </w:r>
      <w:r>
        <w:rPr>
          <w:rFonts w:ascii="Verdana" w:hAnsi="Verdana"/>
          <w:color w:val="221F1F"/>
          <w:sz w:val="18"/>
          <w:szCs w:val="18"/>
        </w:rPr>
        <w:t>uzupełnienia/profilowania zjazdu kruszywem kamiennym w dostosowaniu do nawierzchni drogi głównej</w:t>
      </w:r>
      <w:r w:rsidR="002E4FB3" w:rsidRPr="006E420C">
        <w:rPr>
          <w:rFonts w:ascii="Verdana" w:hAnsi="Verdana"/>
          <w:color w:val="221F1F"/>
          <w:sz w:val="18"/>
          <w:szCs w:val="18"/>
        </w:rPr>
        <w:t>.</w:t>
      </w:r>
    </w:p>
    <w:p w:rsidR="006E420C" w:rsidRPr="006E420C" w:rsidRDefault="006E420C" w:rsidP="006E420C">
      <w:pPr>
        <w:pStyle w:val="Tekstpodstawowy"/>
        <w:ind w:left="196" w:right="249" w:hanging="54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221F1F"/>
          <w:sz w:val="18"/>
          <w:szCs w:val="18"/>
        </w:rPr>
        <w:t xml:space="preserve">- </w:t>
      </w:r>
      <w:r w:rsidRPr="006E420C">
        <w:rPr>
          <w:rFonts w:ascii="Verdana" w:hAnsi="Verdana"/>
          <w:color w:val="221F1F"/>
          <w:sz w:val="18"/>
          <w:szCs w:val="18"/>
        </w:rPr>
        <w:t>m</w:t>
      </w:r>
      <w:r w:rsidRPr="006E420C">
        <w:rPr>
          <w:rFonts w:ascii="Verdana" w:hAnsi="Verdana"/>
          <w:color w:val="221F1F"/>
          <w:sz w:val="18"/>
          <w:szCs w:val="18"/>
          <w:vertAlign w:val="superscript"/>
        </w:rPr>
        <w:t>2</w:t>
      </w:r>
      <w:r w:rsidRPr="006E420C">
        <w:rPr>
          <w:rFonts w:ascii="Verdana" w:hAnsi="Verdana"/>
          <w:color w:val="221F1F"/>
          <w:sz w:val="18"/>
          <w:szCs w:val="18"/>
        </w:rPr>
        <w:t xml:space="preserve"> (metr kwadratowy) </w:t>
      </w:r>
      <w:r>
        <w:rPr>
          <w:rFonts w:ascii="Verdana" w:hAnsi="Verdana"/>
          <w:color w:val="221F1F"/>
          <w:sz w:val="18"/>
          <w:szCs w:val="18"/>
        </w:rPr>
        <w:t>regulacji</w:t>
      </w:r>
      <w:r w:rsidR="00CD5BFD">
        <w:rPr>
          <w:rFonts w:ascii="Verdana" w:hAnsi="Verdana"/>
          <w:color w:val="221F1F"/>
          <w:sz w:val="18"/>
          <w:szCs w:val="18"/>
        </w:rPr>
        <w:t xml:space="preserve">/wykonania </w:t>
      </w:r>
      <w:r>
        <w:rPr>
          <w:rFonts w:ascii="Verdana" w:hAnsi="Verdana"/>
          <w:color w:val="221F1F"/>
          <w:sz w:val="18"/>
          <w:szCs w:val="18"/>
        </w:rPr>
        <w:t xml:space="preserve">płyt przejazdowych </w:t>
      </w:r>
      <w:r w:rsidR="0063712F">
        <w:rPr>
          <w:rFonts w:ascii="Verdana" w:hAnsi="Verdana"/>
          <w:color w:val="221F1F"/>
          <w:sz w:val="18"/>
          <w:szCs w:val="18"/>
        </w:rPr>
        <w:t>w dostosowaniu do nawierzchni drogi głównej</w:t>
      </w:r>
      <w:r w:rsidRPr="006E420C">
        <w:rPr>
          <w:rFonts w:ascii="Verdana" w:hAnsi="Verdana"/>
          <w:color w:val="221F1F"/>
          <w:sz w:val="18"/>
          <w:szCs w:val="18"/>
        </w:rPr>
        <w:t>.</w:t>
      </w:r>
    </w:p>
    <w:p w:rsidR="00355334" w:rsidRPr="006E420C" w:rsidRDefault="002E4FB3" w:rsidP="0063712F">
      <w:pPr>
        <w:pStyle w:val="Nagwek1"/>
        <w:numPr>
          <w:ilvl w:val="0"/>
          <w:numId w:val="8"/>
        </w:numPr>
        <w:tabs>
          <w:tab w:val="left" w:pos="398"/>
        </w:tabs>
        <w:spacing w:before="120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ODBIÓR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ROBÓT</w:t>
      </w:r>
    </w:p>
    <w:p w:rsidR="00355334" w:rsidRPr="006E420C" w:rsidRDefault="002E4FB3" w:rsidP="006E420C">
      <w:pPr>
        <w:pStyle w:val="Tekstpodstawowy"/>
        <w:ind w:left="903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Roboty objęte niniejszą SST podlegają:</w:t>
      </w:r>
    </w:p>
    <w:p w:rsidR="00355334" w:rsidRPr="006E420C" w:rsidRDefault="002E4FB3" w:rsidP="006E420C">
      <w:pPr>
        <w:pStyle w:val="Akapitzlist"/>
        <w:numPr>
          <w:ilvl w:val="0"/>
          <w:numId w:val="1"/>
        </w:numPr>
        <w:tabs>
          <w:tab w:val="left" w:pos="480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odbiorowi robót zanikających i ulegających zakryciu, który powinien być dokonany po</w:t>
      </w:r>
      <w:r w:rsidRPr="006E420C">
        <w:rPr>
          <w:rFonts w:ascii="Verdana" w:hAnsi="Verdana"/>
          <w:color w:val="221F1F"/>
          <w:spacing w:val="-14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wykonaniu: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5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prac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pomiarowych,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5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robót</w:t>
      </w:r>
      <w:r w:rsidRPr="006E420C">
        <w:rPr>
          <w:rFonts w:ascii="Verdana" w:hAnsi="Verdana"/>
          <w:color w:val="221F1F"/>
          <w:spacing w:val="-4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przygotowawczych,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5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robót ziemnych i ewentualnie przepustów,</w:t>
      </w:r>
    </w:p>
    <w:p w:rsidR="00355334" w:rsidRPr="006E420C" w:rsidRDefault="002E4FB3" w:rsidP="006E420C">
      <w:pPr>
        <w:pStyle w:val="Akapitzlist"/>
        <w:numPr>
          <w:ilvl w:val="0"/>
          <w:numId w:val="1"/>
        </w:numPr>
        <w:tabs>
          <w:tab w:val="left" w:pos="480"/>
        </w:tabs>
        <w:spacing w:line="229" w:lineRule="exact"/>
        <w:ind w:hanging="285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odbiorowi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końcowemu,</w:t>
      </w:r>
    </w:p>
    <w:p w:rsidR="00355334" w:rsidRPr="006E420C" w:rsidRDefault="002E4FB3" w:rsidP="006E420C">
      <w:pPr>
        <w:pStyle w:val="Akapitzlist"/>
        <w:numPr>
          <w:ilvl w:val="0"/>
          <w:numId w:val="1"/>
        </w:numPr>
        <w:tabs>
          <w:tab w:val="left" w:pos="480"/>
        </w:tabs>
        <w:spacing w:line="229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odbiorowi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ostatecznemu.</w:t>
      </w:r>
    </w:p>
    <w:p w:rsidR="00355334" w:rsidRPr="006E420C" w:rsidRDefault="002E4FB3" w:rsidP="0063712F">
      <w:pPr>
        <w:pStyle w:val="Nagwek1"/>
        <w:numPr>
          <w:ilvl w:val="0"/>
          <w:numId w:val="8"/>
        </w:numPr>
        <w:tabs>
          <w:tab w:val="left" w:pos="398"/>
        </w:tabs>
        <w:spacing w:before="120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PODSTAWA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PŁATNOŚCI</w:t>
      </w:r>
    </w:p>
    <w:p w:rsidR="00355334" w:rsidRPr="006E420C" w:rsidRDefault="002E4FB3" w:rsidP="006E420C">
      <w:pPr>
        <w:pStyle w:val="Tekstpodstawowy"/>
        <w:ind w:left="196" w:right="589" w:firstLine="707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Płatność za </w:t>
      </w:r>
      <w:r w:rsidR="0063712F">
        <w:rPr>
          <w:rFonts w:ascii="Verdana" w:hAnsi="Verdana"/>
          <w:color w:val="221F1F"/>
          <w:sz w:val="18"/>
          <w:szCs w:val="18"/>
        </w:rPr>
        <w:t xml:space="preserve">jednostkę obmiarową zjazdu </w:t>
      </w:r>
      <w:r w:rsidRPr="006E420C">
        <w:rPr>
          <w:rFonts w:ascii="Verdana" w:hAnsi="Verdana"/>
          <w:color w:val="221F1F"/>
          <w:sz w:val="18"/>
          <w:szCs w:val="18"/>
        </w:rPr>
        <w:t>należy przyjmować zgodnie z obmiarem i oceną jakości wykonanych robót na podstawie wyników pomiarów i badań laboratoryjnych.</w:t>
      </w:r>
    </w:p>
    <w:p w:rsidR="00355334" w:rsidRPr="006E420C" w:rsidRDefault="002E4FB3" w:rsidP="006E420C">
      <w:pPr>
        <w:pStyle w:val="Tekstpodstawowy"/>
        <w:ind w:left="903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Cena wykonania robót obejmuje: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5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prace pomiarowe i roboty</w:t>
      </w:r>
      <w:r w:rsidRPr="006E420C">
        <w:rPr>
          <w:rFonts w:ascii="Verdana" w:hAnsi="Verdana"/>
          <w:color w:val="221F1F"/>
          <w:spacing w:val="-5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przygotowawcze,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5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dostarczenie potrzebnych materiałów,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4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wykonanie konstrukcji nawierzchni (nawierzchni i ewentualnie</w:t>
      </w:r>
      <w:r w:rsidRPr="006E420C">
        <w:rPr>
          <w:rFonts w:ascii="Verdana" w:hAnsi="Verdana"/>
          <w:color w:val="221F1F"/>
          <w:spacing w:val="-4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podbudowy),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spacing w:line="244" w:lineRule="exact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wykonanie robót</w:t>
      </w:r>
      <w:r w:rsidRPr="006E420C">
        <w:rPr>
          <w:rFonts w:ascii="Verdana" w:hAnsi="Verdana"/>
          <w:color w:val="221F1F"/>
          <w:spacing w:val="-1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wykończeniowych,</w:t>
      </w:r>
    </w:p>
    <w:p w:rsidR="00355334" w:rsidRPr="006E420C" w:rsidRDefault="002E4FB3" w:rsidP="006E420C">
      <w:pPr>
        <w:pStyle w:val="Akapitzlist"/>
        <w:numPr>
          <w:ilvl w:val="0"/>
          <w:numId w:val="7"/>
        </w:numPr>
        <w:tabs>
          <w:tab w:val="left" w:pos="480"/>
        </w:tabs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przeprowadzenie pomiarów i badań laboratoryjnych wymaganych w specyfikacji</w:t>
      </w:r>
      <w:r w:rsidRPr="006E420C">
        <w:rPr>
          <w:rFonts w:ascii="Verdana" w:hAnsi="Verdana"/>
          <w:color w:val="221F1F"/>
          <w:spacing w:val="-7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technicznej.</w:t>
      </w:r>
    </w:p>
    <w:p w:rsidR="00355334" w:rsidRPr="006E420C" w:rsidRDefault="002E4FB3" w:rsidP="006E420C">
      <w:pPr>
        <w:pStyle w:val="Nagwek1"/>
        <w:numPr>
          <w:ilvl w:val="0"/>
          <w:numId w:val="8"/>
        </w:numPr>
        <w:tabs>
          <w:tab w:val="left" w:pos="499"/>
        </w:tabs>
        <w:ind w:left="498" w:hanging="303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>PRZEPISY</w:t>
      </w:r>
      <w:r w:rsidRPr="006E420C">
        <w:rPr>
          <w:rFonts w:ascii="Verdana" w:hAnsi="Verdana"/>
          <w:color w:val="221F1F"/>
          <w:spacing w:val="4"/>
          <w:sz w:val="18"/>
          <w:szCs w:val="18"/>
        </w:rPr>
        <w:t xml:space="preserve"> </w:t>
      </w:r>
      <w:r w:rsidRPr="006E420C">
        <w:rPr>
          <w:rFonts w:ascii="Verdana" w:hAnsi="Verdana"/>
          <w:color w:val="221F1F"/>
          <w:sz w:val="18"/>
          <w:szCs w:val="18"/>
        </w:rPr>
        <w:t>ZWIĄZANE</w:t>
      </w:r>
    </w:p>
    <w:p w:rsidR="00355334" w:rsidRPr="006E420C" w:rsidRDefault="002E4FB3" w:rsidP="0063712F">
      <w:pPr>
        <w:pStyle w:val="Tekstpodstawowy"/>
        <w:ind w:left="196" w:right="658" w:firstLine="707"/>
        <w:rPr>
          <w:rFonts w:ascii="Verdana" w:hAnsi="Verdana"/>
          <w:sz w:val="18"/>
          <w:szCs w:val="18"/>
        </w:rPr>
      </w:pPr>
      <w:r w:rsidRPr="006E420C">
        <w:rPr>
          <w:rFonts w:ascii="Verdana" w:hAnsi="Verdana"/>
          <w:color w:val="221F1F"/>
          <w:sz w:val="18"/>
          <w:szCs w:val="18"/>
        </w:rPr>
        <w:t xml:space="preserve">Normy i inne dokumenty wg odpowiednich SST, przywołanych w niniejszej </w:t>
      </w:r>
      <w:r w:rsidR="0063712F">
        <w:rPr>
          <w:rFonts w:ascii="Verdana" w:hAnsi="Verdana"/>
          <w:color w:val="221F1F"/>
          <w:sz w:val="18"/>
          <w:szCs w:val="18"/>
        </w:rPr>
        <w:t>ST</w:t>
      </w:r>
    </w:p>
    <w:sectPr w:rsidR="00355334" w:rsidRPr="006E420C">
      <w:pgSz w:w="11900" w:h="16840"/>
      <w:pgMar w:top="1060" w:right="1300" w:bottom="1160" w:left="1220" w:header="0" w:footer="9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EE1" w:rsidRDefault="00A45EE1">
      <w:r>
        <w:separator/>
      </w:r>
    </w:p>
  </w:endnote>
  <w:endnote w:type="continuationSeparator" w:id="0">
    <w:p w:rsidR="00A45EE1" w:rsidRDefault="00A45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34" w:rsidRDefault="00355334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EE1" w:rsidRDefault="00A45EE1">
      <w:r>
        <w:separator/>
      </w:r>
    </w:p>
  </w:footnote>
  <w:footnote w:type="continuationSeparator" w:id="0">
    <w:p w:rsidR="00A45EE1" w:rsidRDefault="00A45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C44"/>
    <w:multiLevelType w:val="hybridMultilevel"/>
    <w:tmpl w:val="33C454D0"/>
    <w:lvl w:ilvl="0" w:tplc="07D869F8">
      <w:start w:val="1"/>
      <w:numFmt w:val="lowerLetter"/>
      <w:lvlText w:val="%1)"/>
      <w:lvlJc w:val="left"/>
      <w:pPr>
        <w:ind w:left="479" w:hanging="284"/>
      </w:pPr>
      <w:rPr>
        <w:rFonts w:ascii="Times New Roman" w:eastAsia="Times New Roman" w:hAnsi="Times New Roman" w:cs="Times New Roman" w:hint="default"/>
        <w:color w:val="221F1F"/>
        <w:w w:val="99"/>
        <w:sz w:val="20"/>
        <w:szCs w:val="20"/>
        <w:lang w:val="pl-PL" w:eastAsia="en-US" w:bidi="ar-SA"/>
      </w:rPr>
    </w:lvl>
    <w:lvl w:ilvl="1" w:tplc="B20CF55E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CC7C5B2A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CF20B4DE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3B7C86FA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B69ABD64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15F6C96E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1F58EFC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936AE80C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161E3606"/>
    <w:multiLevelType w:val="hybridMultilevel"/>
    <w:tmpl w:val="898421EA"/>
    <w:lvl w:ilvl="0" w:tplc="54C0B5CE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color w:val="221F1F"/>
        <w:w w:val="99"/>
        <w:sz w:val="20"/>
        <w:szCs w:val="20"/>
        <w:lang w:val="pl-PL" w:eastAsia="en-US" w:bidi="ar-SA"/>
      </w:rPr>
    </w:lvl>
    <w:lvl w:ilvl="1" w:tplc="2E783FBC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6DF0E98C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363C0DC2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110071A8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D38645FE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7C4621AC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056C4156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F81E3AD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1C41265B"/>
    <w:multiLevelType w:val="hybridMultilevel"/>
    <w:tmpl w:val="7AF226B8"/>
    <w:lvl w:ilvl="0" w:tplc="AD8A3410">
      <w:start w:val="1"/>
      <w:numFmt w:val="lowerLetter"/>
      <w:lvlText w:val="%1)"/>
      <w:lvlJc w:val="left"/>
      <w:pPr>
        <w:ind w:left="479" w:hanging="284"/>
      </w:pPr>
      <w:rPr>
        <w:rFonts w:ascii="Times New Roman" w:eastAsia="Times New Roman" w:hAnsi="Times New Roman" w:cs="Times New Roman" w:hint="default"/>
        <w:color w:val="221F1F"/>
        <w:w w:val="99"/>
        <w:sz w:val="20"/>
        <w:szCs w:val="20"/>
        <w:lang w:val="pl-PL" w:eastAsia="en-US" w:bidi="ar-SA"/>
      </w:rPr>
    </w:lvl>
    <w:lvl w:ilvl="1" w:tplc="920AFE5A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6D68A8F0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953EDFB0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18F0195E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B1907CC8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726C34B4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5F826366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AF446986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409F4948"/>
    <w:multiLevelType w:val="hybridMultilevel"/>
    <w:tmpl w:val="14E626D0"/>
    <w:lvl w:ilvl="0" w:tplc="80581FAA">
      <w:start w:val="1"/>
      <w:numFmt w:val="lowerLetter"/>
      <w:lvlText w:val="%1)"/>
      <w:lvlJc w:val="left"/>
      <w:pPr>
        <w:ind w:left="479" w:hanging="284"/>
      </w:pPr>
      <w:rPr>
        <w:rFonts w:ascii="Times New Roman" w:eastAsia="Times New Roman" w:hAnsi="Times New Roman" w:cs="Times New Roman" w:hint="default"/>
        <w:color w:val="221F1F"/>
        <w:w w:val="99"/>
        <w:sz w:val="20"/>
        <w:szCs w:val="20"/>
        <w:lang w:val="pl-PL" w:eastAsia="en-US" w:bidi="ar-SA"/>
      </w:rPr>
    </w:lvl>
    <w:lvl w:ilvl="1" w:tplc="299A6632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01685082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E5F0CAEA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052EFE40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8D92BABC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34621212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BC268592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DC0AE8D0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4F472FD1"/>
    <w:multiLevelType w:val="hybridMultilevel"/>
    <w:tmpl w:val="4022C83E"/>
    <w:lvl w:ilvl="0" w:tplc="92F8CCA2">
      <w:start w:val="1"/>
      <w:numFmt w:val="lowerLetter"/>
      <w:lvlText w:val="%1)"/>
      <w:lvlJc w:val="left"/>
      <w:pPr>
        <w:ind w:left="479" w:hanging="284"/>
      </w:pPr>
      <w:rPr>
        <w:rFonts w:ascii="Times New Roman" w:eastAsia="Times New Roman" w:hAnsi="Times New Roman" w:cs="Times New Roman" w:hint="default"/>
        <w:color w:val="221F1F"/>
        <w:w w:val="99"/>
        <w:sz w:val="20"/>
        <w:szCs w:val="20"/>
        <w:lang w:val="pl-PL" w:eastAsia="en-US" w:bidi="ar-SA"/>
      </w:rPr>
    </w:lvl>
    <w:lvl w:ilvl="1" w:tplc="E7984C42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0C101E06">
      <w:numFmt w:val="bullet"/>
      <w:lvlText w:val="•"/>
      <w:lvlJc w:val="left"/>
      <w:pPr>
        <w:ind w:left="2260" w:hanging="284"/>
      </w:pPr>
      <w:rPr>
        <w:rFonts w:hint="default"/>
        <w:lang w:val="pl-PL" w:eastAsia="en-US" w:bidi="ar-SA"/>
      </w:rPr>
    </w:lvl>
    <w:lvl w:ilvl="3" w:tplc="381036E0">
      <w:numFmt w:val="bullet"/>
      <w:lvlText w:val="•"/>
      <w:lvlJc w:val="left"/>
      <w:pPr>
        <w:ind w:left="3150" w:hanging="284"/>
      </w:pPr>
      <w:rPr>
        <w:rFonts w:hint="default"/>
        <w:lang w:val="pl-PL" w:eastAsia="en-US" w:bidi="ar-SA"/>
      </w:rPr>
    </w:lvl>
    <w:lvl w:ilvl="4" w:tplc="80B06BF2">
      <w:numFmt w:val="bullet"/>
      <w:lvlText w:val="•"/>
      <w:lvlJc w:val="left"/>
      <w:pPr>
        <w:ind w:left="4040" w:hanging="284"/>
      </w:pPr>
      <w:rPr>
        <w:rFonts w:hint="default"/>
        <w:lang w:val="pl-PL" w:eastAsia="en-US" w:bidi="ar-SA"/>
      </w:rPr>
    </w:lvl>
    <w:lvl w:ilvl="5" w:tplc="95824BBA">
      <w:numFmt w:val="bullet"/>
      <w:lvlText w:val="•"/>
      <w:lvlJc w:val="left"/>
      <w:pPr>
        <w:ind w:left="4930" w:hanging="284"/>
      </w:pPr>
      <w:rPr>
        <w:rFonts w:hint="default"/>
        <w:lang w:val="pl-PL" w:eastAsia="en-US" w:bidi="ar-SA"/>
      </w:rPr>
    </w:lvl>
    <w:lvl w:ilvl="6" w:tplc="A1663746">
      <w:numFmt w:val="bullet"/>
      <w:lvlText w:val="•"/>
      <w:lvlJc w:val="left"/>
      <w:pPr>
        <w:ind w:left="5820" w:hanging="284"/>
      </w:pPr>
      <w:rPr>
        <w:rFonts w:hint="default"/>
        <w:lang w:val="pl-PL" w:eastAsia="en-US" w:bidi="ar-SA"/>
      </w:rPr>
    </w:lvl>
    <w:lvl w:ilvl="7" w:tplc="D76A7D60">
      <w:numFmt w:val="bullet"/>
      <w:lvlText w:val="•"/>
      <w:lvlJc w:val="left"/>
      <w:pPr>
        <w:ind w:left="6710" w:hanging="284"/>
      </w:pPr>
      <w:rPr>
        <w:rFonts w:hint="default"/>
        <w:lang w:val="pl-PL" w:eastAsia="en-US" w:bidi="ar-SA"/>
      </w:rPr>
    </w:lvl>
    <w:lvl w:ilvl="8" w:tplc="40E05254">
      <w:numFmt w:val="bullet"/>
      <w:lvlText w:val="•"/>
      <w:lvlJc w:val="left"/>
      <w:pPr>
        <w:ind w:left="760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5B09426A"/>
    <w:multiLevelType w:val="multilevel"/>
    <w:tmpl w:val="C6844506"/>
    <w:lvl w:ilvl="0">
      <w:start w:val="1"/>
      <w:numFmt w:val="decimal"/>
      <w:lvlText w:val="%1."/>
      <w:lvlJc w:val="left"/>
      <w:pPr>
        <w:ind w:left="397" w:hanging="202"/>
      </w:pPr>
      <w:rPr>
        <w:rFonts w:ascii="Verdana" w:eastAsia="Times New Roman" w:hAnsi="Verdana" w:cs="Times New Roman" w:hint="default"/>
        <w:b/>
        <w:bCs/>
        <w:color w:val="221F1F"/>
        <w:spacing w:val="0"/>
        <w:w w:val="99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8" w:hanging="353"/>
      </w:pPr>
      <w:rPr>
        <w:rFonts w:ascii="Verdana" w:eastAsia="Times New Roman" w:hAnsi="Verdana" w:cs="Times New Roman" w:hint="default"/>
        <w:b/>
        <w:bCs/>
        <w:color w:val="221F1F"/>
        <w:spacing w:val="0"/>
        <w:w w:val="99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95" w:hanging="500"/>
      </w:pPr>
      <w:rPr>
        <w:rFonts w:ascii="Verdana" w:eastAsia="Times New Roman" w:hAnsi="Verdana" w:cs="Times New Roman" w:hint="default"/>
        <w:b/>
        <w:bCs/>
        <w:color w:val="221F1F"/>
        <w:spacing w:val="0"/>
        <w:w w:val="99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700" w:hanging="5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40" w:hanging="5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80" w:hanging="5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20" w:hanging="5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60" w:hanging="5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00" w:hanging="500"/>
      </w:pPr>
      <w:rPr>
        <w:rFonts w:hint="default"/>
        <w:lang w:val="pl-PL" w:eastAsia="en-US" w:bidi="ar-SA"/>
      </w:rPr>
    </w:lvl>
  </w:abstractNum>
  <w:abstractNum w:abstractNumId="6" w15:restartNumberingAfterBreak="0">
    <w:nsid w:val="5C364D51"/>
    <w:multiLevelType w:val="multilevel"/>
    <w:tmpl w:val="AE04842E"/>
    <w:lvl w:ilvl="0">
      <w:start w:val="6"/>
      <w:numFmt w:val="decimal"/>
      <w:lvlText w:val="%1"/>
      <w:lvlJc w:val="left"/>
      <w:pPr>
        <w:ind w:left="548" w:hanging="353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48" w:hanging="353"/>
      </w:pPr>
      <w:rPr>
        <w:rFonts w:ascii="Times New Roman" w:eastAsia="Times New Roman" w:hAnsi="Times New Roman" w:cs="Times New Roman" w:hint="default"/>
        <w:b/>
        <w:bCs/>
        <w:color w:val="221F1F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308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2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76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0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4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2" w:hanging="353"/>
      </w:pPr>
      <w:rPr>
        <w:rFonts w:hint="default"/>
        <w:lang w:val="pl-PL" w:eastAsia="en-US" w:bidi="ar-SA"/>
      </w:rPr>
    </w:lvl>
  </w:abstractNum>
  <w:abstractNum w:abstractNumId="7" w15:restartNumberingAfterBreak="0">
    <w:nsid w:val="5C492739"/>
    <w:multiLevelType w:val="multilevel"/>
    <w:tmpl w:val="37925654"/>
    <w:lvl w:ilvl="0">
      <w:start w:val="4"/>
      <w:numFmt w:val="decimalZero"/>
      <w:lvlText w:val="%1"/>
      <w:lvlJc w:val="left"/>
      <w:pPr>
        <w:ind w:left="1232" w:hanging="754"/>
      </w:pPr>
      <w:rPr>
        <w:rFonts w:hint="default"/>
        <w:lang w:val="pl-PL" w:eastAsia="en-US" w:bidi="ar-SA"/>
      </w:rPr>
    </w:lvl>
    <w:lvl w:ilvl="1">
      <w:start w:val="4"/>
      <w:numFmt w:val="decimalZero"/>
      <w:lvlText w:val="%1.%2"/>
      <w:lvlJc w:val="left"/>
      <w:pPr>
        <w:ind w:left="1232" w:hanging="754"/>
      </w:pPr>
      <w:rPr>
        <w:rFonts w:hint="default"/>
        <w:lang w:val="pl-PL" w:eastAsia="en-US" w:bidi="ar-SA"/>
      </w:rPr>
    </w:lvl>
    <w:lvl w:ilvl="2">
      <w:start w:val="1"/>
      <w:numFmt w:val="decimalZero"/>
      <w:lvlText w:val="%1.%2.%3"/>
      <w:lvlJc w:val="left"/>
      <w:pPr>
        <w:ind w:left="1232" w:hanging="754"/>
      </w:pPr>
      <w:rPr>
        <w:rFonts w:ascii="Times New Roman" w:eastAsia="Times New Roman" w:hAnsi="Times New Roman" w:cs="Times New Roman" w:hint="default"/>
        <w:color w:val="221F1F"/>
        <w:spacing w:val="-2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682" w:hanging="75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96" w:hanging="7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10" w:hanging="7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4" w:hanging="7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8" w:hanging="7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2" w:hanging="754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355334"/>
    <w:rsid w:val="001B0415"/>
    <w:rsid w:val="002E4FB3"/>
    <w:rsid w:val="00355334"/>
    <w:rsid w:val="00523374"/>
    <w:rsid w:val="0063712F"/>
    <w:rsid w:val="006E420C"/>
    <w:rsid w:val="00972BE2"/>
    <w:rsid w:val="00A45EE1"/>
    <w:rsid w:val="00CD5BFD"/>
    <w:rsid w:val="00F4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FC11"/>
  <w15:docId w15:val="{BFD06E48-A8C1-40B2-B9A3-EA465880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548" w:hanging="353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2B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ind w:left="2116" w:right="2036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9" w:hanging="284"/>
    </w:pPr>
  </w:style>
  <w:style w:type="paragraph" w:customStyle="1" w:styleId="TableParagraph">
    <w:name w:val="Table Paragraph"/>
    <w:basedOn w:val="Normalny"/>
    <w:uiPriority w:val="1"/>
    <w:qFormat/>
    <w:pPr>
      <w:ind w:left="69"/>
    </w:pPr>
  </w:style>
  <w:style w:type="paragraph" w:customStyle="1" w:styleId="Zwykytekst1">
    <w:name w:val="Zwykły tekst1"/>
    <w:basedOn w:val="Normalny"/>
    <w:rsid w:val="006E420C"/>
    <w:pPr>
      <w:widowControl/>
      <w:suppressAutoHyphens/>
      <w:autoSpaceDE/>
      <w:autoSpaceDN/>
    </w:pPr>
    <w:rPr>
      <w:rFonts w:ascii="Courier New" w:hAnsi="Courier New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2BE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SSTWiOR</vt:lpstr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SSTWiOR</dc:title>
  <dc:creator>Ja</dc:creator>
  <cp:lastModifiedBy>admin</cp:lastModifiedBy>
  <cp:revision>5</cp:revision>
  <cp:lastPrinted>2024-06-20T17:05:00Z</cp:lastPrinted>
  <dcterms:created xsi:type="dcterms:W3CDTF">2021-04-17T13:58:00Z</dcterms:created>
  <dcterms:modified xsi:type="dcterms:W3CDTF">2024-06-20T17:05:00Z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2020-10-29T00:00:00Z</vt:filetime>
  </property>
  <property fmtid="{D5CDD505-2E9C-101B-9397-08002B2CF9AE}" pid="3" name="Creator">
    <vt:lpwstr>pdfFactory Pro www.pdffactory.pl</vt:lpwstr>
  </property>
  <property fmtid="{D5CDD505-2E9C-101B-9397-08002B2CF9AE}" pid="4" name="LastSaved">
    <vt:filetime>2021-04-17T00:00:00Z</vt:filetime>
  </property>
</Properties>
</file>