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C221" w14:textId="77777777" w:rsidR="004C1DAF" w:rsidRPr="00287EC6" w:rsidRDefault="004C1DAF" w:rsidP="004C1DAF">
      <w:pPr>
        <w:tabs>
          <w:tab w:val="right" w:pos="9072"/>
        </w:tabs>
        <w:spacing w:after="0" w:line="240" w:lineRule="auto"/>
        <w:jc w:val="right"/>
        <w:rPr>
          <w:rFonts w:ascii="Arial" w:hAnsi="Arial" w:cs="Arial"/>
        </w:rPr>
      </w:pPr>
      <w:r w:rsidRPr="00287EC6">
        <w:rPr>
          <w:rFonts w:ascii="Arial" w:hAnsi="Arial" w:cs="Arial"/>
        </w:rPr>
        <w:t xml:space="preserve">Świnoujście, dnia </w:t>
      </w:r>
      <w:r>
        <w:rPr>
          <w:rFonts w:ascii="Arial" w:hAnsi="Arial" w:cs="Arial"/>
        </w:rPr>
        <w:t>13</w:t>
      </w:r>
      <w:r w:rsidRPr="00287EC6">
        <w:rPr>
          <w:rFonts w:ascii="Arial" w:hAnsi="Arial" w:cs="Arial"/>
        </w:rPr>
        <w:t>.0</w:t>
      </w:r>
      <w:r>
        <w:rPr>
          <w:rFonts w:ascii="Arial" w:hAnsi="Arial" w:cs="Arial"/>
        </w:rPr>
        <w:t>4</w:t>
      </w:r>
      <w:r w:rsidRPr="00287EC6">
        <w:rPr>
          <w:rFonts w:ascii="Arial" w:hAnsi="Arial" w:cs="Arial"/>
        </w:rPr>
        <w:t>.2023 r.</w:t>
      </w:r>
    </w:p>
    <w:p w14:paraId="51091BA4" w14:textId="77777777" w:rsidR="004C1DAF" w:rsidRPr="00287EC6" w:rsidRDefault="004C1DAF" w:rsidP="004C1DAF">
      <w:pPr>
        <w:tabs>
          <w:tab w:val="center" w:pos="4535"/>
        </w:tabs>
        <w:spacing w:after="0" w:line="240" w:lineRule="auto"/>
        <w:jc w:val="both"/>
        <w:rPr>
          <w:rFonts w:ascii="Arial" w:hAnsi="Arial" w:cs="Arial"/>
        </w:rPr>
      </w:pPr>
      <w:r w:rsidRPr="00287EC6">
        <w:rPr>
          <w:rFonts w:ascii="Arial" w:hAnsi="Arial" w:cs="Arial"/>
        </w:rPr>
        <w:t>Nr postępowania BZP.271.1.4.2023</w:t>
      </w:r>
    </w:p>
    <w:p w14:paraId="6576507F" w14:textId="77777777" w:rsidR="004C1DAF" w:rsidRPr="00287EC6" w:rsidRDefault="004C1DAF" w:rsidP="004C1DAF">
      <w:pPr>
        <w:spacing w:after="0" w:line="240" w:lineRule="auto"/>
        <w:ind w:left="3969"/>
        <w:jc w:val="both"/>
        <w:rPr>
          <w:rFonts w:ascii="Arial" w:hAnsi="Arial" w:cs="Arial"/>
          <w:b/>
        </w:rPr>
      </w:pPr>
    </w:p>
    <w:p w14:paraId="06FB03E3" w14:textId="77777777" w:rsidR="004C1DAF" w:rsidRPr="00287EC6" w:rsidRDefault="004C1DAF" w:rsidP="004C1DAF">
      <w:pPr>
        <w:spacing w:after="0" w:line="240" w:lineRule="auto"/>
        <w:ind w:left="3969"/>
        <w:jc w:val="both"/>
        <w:rPr>
          <w:rFonts w:ascii="Arial" w:hAnsi="Arial" w:cs="Arial"/>
          <w:b/>
        </w:rPr>
      </w:pPr>
      <w:r w:rsidRPr="00287EC6">
        <w:rPr>
          <w:rFonts w:ascii="Arial" w:hAnsi="Arial" w:cs="Arial"/>
          <w:b/>
        </w:rPr>
        <w:t>Strona internetowa Zamawiającego, na której umieszczono ogłoszenie o zamówieniu i udostępniono SWZ</w:t>
      </w:r>
    </w:p>
    <w:p w14:paraId="66D0D695" w14:textId="77777777" w:rsidR="004C1DAF" w:rsidRPr="00287EC6" w:rsidRDefault="004C1DAF" w:rsidP="004C1DAF">
      <w:pPr>
        <w:spacing w:after="0" w:line="240" w:lineRule="auto"/>
        <w:jc w:val="both"/>
        <w:rPr>
          <w:rFonts w:ascii="Arial" w:hAnsi="Arial" w:cs="Arial"/>
        </w:rPr>
      </w:pPr>
    </w:p>
    <w:p w14:paraId="74C4F807" w14:textId="77777777" w:rsidR="004C1DAF" w:rsidRPr="00287EC6" w:rsidRDefault="004C1DAF" w:rsidP="004C1DAF">
      <w:pPr>
        <w:spacing w:after="0" w:line="240" w:lineRule="auto"/>
        <w:jc w:val="both"/>
        <w:rPr>
          <w:rFonts w:ascii="Arial" w:hAnsi="Arial" w:cs="Arial"/>
        </w:rPr>
      </w:pPr>
    </w:p>
    <w:p w14:paraId="436C25F2" w14:textId="77777777" w:rsidR="004C1DAF" w:rsidRPr="00287EC6" w:rsidRDefault="004C1DAF" w:rsidP="004C1DAF">
      <w:pPr>
        <w:spacing w:after="0" w:line="240" w:lineRule="auto"/>
        <w:jc w:val="both"/>
        <w:rPr>
          <w:rFonts w:ascii="Arial" w:hAnsi="Arial" w:cs="Arial"/>
          <w:b/>
        </w:rPr>
      </w:pPr>
      <w:r w:rsidRPr="00287EC6">
        <w:rPr>
          <w:rFonts w:ascii="Arial" w:hAnsi="Arial" w:cs="Arial"/>
          <w:b/>
        </w:rPr>
        <w:t xml:space="preserve">Dotyczy: postępowania nr BZP.271.1.4.2023 pn.: „Budowa stacji uzdatniania wody powierzchniowej słonawej w Świnoujściu wraz z infrastrukturą” </w:t>
      </w:r>
    </w:p>
    <w:p w14:paraId="26F88311" w14:textId="77777777" w:rsidR="004C1DAF" w:rsidRPr="00287EC6" w:rsidRDefault="004C1DAF" w:rsidP="004C1DAF">
      <w:pPr>
        <w:spacing w:after="0" w:line="240" w:lineRule="auto"/>
        <w:jc w:val="both"/>
        <w:rPr>
          <w:rFonts w:ascii="Arial" w:hAnsi="Arial" w:cs="Arial"/>
        </w:rPr>
      </w:pPr>
    </w:p>
    <w:p w14:paraId="26C8E7F6" w14:textId="77777777" w:rsidR="004C1DAF" w:rsidRPr="00287EC6" w:rsidRDefault="004C1DAF" w:rsidP="004C1DAF">
      <w:pPr>
        <w:spacing w:after="0" w:line="240" w:lineRule="auto"/>
        <w:jc w:val="both"/>
        <w:rPr>
          <w:rFonts w:ascii="Arial" w:hAnsi="Arial" w:cs="Arial"/>
        </w:rPr>
      </w:pPr>
    </w:p>
    <w:p w14:paraId="04779878" w14:textId="77777777" w:rsidR="004C1DAF" w:rsidRPr="00287EC6" w:rsidRDefault="004C1DAF" w:rsidP="004C1DAF">
      <w:pPr>
        <w:spacing w:after="0" w:line="240" w:lineRule="auto"/>
        <w:jc w:val="center"/>
        <w:rPr>
          <w:rFonts w:ascii="Arial" w:hAnsi="Arial" w:cs="Arial"/>
          <w:b/>
          <w:bCs/>
        </w:rPr>
      </w:pPr>
      <w:r w:rsidRPr="00287EC6">
        <w:rPr>
          <w:rFonts w:ascii="Arial" w:hAnsi="Arial" w:cs="Arial"/>
          <w:b/>
          <w:bCs/>
        </w:rPr>
        <w:t>ODPOWIEDZI NA PYTANIA WYKONAWC</w:t>
      </w:r>
      <w:r>
        <w:rPr>
          <w:rFonts w:ascii="Arial" w:hAnsi="Arial" w:cs="Arial"/>
          <w:b/>
          <w:bCs/>
        </w:rPr>
        <w:t>ÓW</w:t>
      </w:r>
    </w:p>
    <w:p w14:paraId="7B20EDBC" w14:textId="006963FE" w:rsidR="004C1DAF" w:rsidRPr="00287EC6" w:rsidRDefault="004C1DAF" w:rsidP="004C1DAF">
      <w:pPr>
        <w:spacing w:after="0" w:line="240" w:lineRule="auto"/>
        <w:jc w:val="center"/>
        <w:rPr>
          <w:rFonts w:ascii="Arial" w:hAnsi="Arial" w:cs="Arial"/>
          <w:b/>
          <w:bCs/>
        </w:rPr>
      </w:pPr>
      <w:r w:rsidRPr="00287EC6">
        <w:rPr>
          <w:rFonts w:ascii="Arial" w:hAnsi="Arial" w:cs="Arial"/>
          <w:b/>
          <w:bCs/>
        </w:rPr>
        <w:t xml:space="preserve">z dnia </w:t>
      </w:r>
      <w:r>
        <w:rPr>
          <w:rFonts w:ascii="Arial" w:hAnsi="Arial" w:cs="Arial"/>
          <w:b/>
          <w:bCs/>
        </w:rPr>
        <w:t>13.04.2023r.</w:t>
      </w:r>
    </w:p>
    <w:p w14:paraId="394D43B4" w14:textId="77777777" w:rsidR="004C1DAF" w:rsidRPr="00287EC6" w:rsidRDefault="004C1DAF" w:rsidP="004C1DAF">
      <w:pPr>
        <w:spacing w:after="0" w:line="240" w:lineRule="auto"/>
        <w:jc w:val="center"/>
        <w:rPr>
          <w:rFonts w:ascii="Arial" w:hAnsi="Arial" w:cs="Arial"/>
          <w:b/>
          <w:bCs/>
        </w:rPr>
      </w:pPr>
    </w:p>
    <w:p w14:paraId="642B1459" w14:textId="77777777" w:rsidR="004C1DAF" w:rsidRPr="00287EC6" w:rsidRDefault="004C1DAF" w:rsidP="004C1DAF">
      <w:pPr>
        <w:spacing w:after="0" w:line="240" w:lineRule="auto"/>
        <w:jc w:val="center"/>
        <w:rPr>
          <w:rFonts w:ascii="Arial" w:hAnsi="Arial" w:cs="Arial"/>
          <w:b/>
          <w:bCs/>
        </w:rPr>
      </w:pPr>
    </w:p>
    <w:p w14:paraId="63B890DE" w14:textId="77777777" w:rsidR="004C1DAF" w:rsidRPr="00287EC6" w:rsidRDefault="004C1DAF" w:rsidP="004C1DAF">
      <w:pPr>
        <w:spacing w:after="0" w:line="240" w:lineRule="auto"/>
        <w:jc w:val="both"/>
        <w:rPr>
          <w:rFonts w:ascii="Arial" w:eastAsia="Calibri" w:hAnsi="Arial" w:cs="Arial"/>
        </w:rPr>
      </w:pPr>
      <w:r w:rsidRPr="00287EC6">
        <w:rPr>
          <w:rFonts w:ascii="Arial" w:eastAsia="Calibri" w:hAnsi="Arial" w:cs="Arial"/>
        </w:rPr>
        <w:t xml:space="preserve">Zamawiający na mocy przysługujących mu uprawnień, w świetle przepisu art. 135 ust. 1 i 2 ustawy z dnia 11 września 2019 r. Prawo zamówień publicznych (Dz. U. z 2022 r., poz. 1710, z </w:t>
      </w:r>
      <w:proofErr w:type="spellStart"/>
      <w:r w:rsidRPr="00287EC6">
        <w:rPr>
          <w:rFonts w:ascii="Arial" w:eastAsia="Calibri" w:hAnsi="Arial" w:cs="Arial"/>
        </w:rPr>
        <w:t>późn</w:t>
      </w:r>
      <w:proofErr w:type="spellEnd"/>
      <w:r w:rsidRPr="00287EC6">
        <w:rPr>
          <w:rFonts w:ascii="Arial" w:eastAsia="Calibri" w:hAnsi="Arial" w:cs="Arial"/>
        </w:rPr>
        <w:t>. zm.), udziela wyjaśnień przekazując treść pytań i odpowiedzi wszystkim wykonawcom, biorącym udział w postępowaniu i publikując je również na stronie internetowej.</w:t>
      </w:r>
    </w:p>
    <w:p w14:paraId="3A9A7C20" w14:textId="77777777" w:rsidR="004C1DAF" w:rsidRPr="00287EC6" w:rsidRDefault="004C1DAF" w:rsidP="004C1DAF">
      <w:pPr>
        <w:spacing w:after="0" w:line="240" w:lineRule="auto"/>
        <w:jc w:val="both"/>
        <w:rPr>
          <w:rFonts w:ascii="Arial" w:hAnsi="Arial" w:cs="Arial"/>
          <w:b/>
          <w:bCs/>
        </w:rPr>
      </w:pPr>
    </w:p>
    <w:p w14:paraId="5398AB8B" w14:textId="77777777" w:rsidR="004C1DAF" w:rsidRDefault="004C1DAF" w:rsidP="004C1DAF">
      <w:pPr>
        <w:rPr>
          <w:rFonts w:ascii="Arial" w:hAnsi="Arial" w:cs="Arial"/>
        </w:rPr>
      </w:pPr>
    </w:p>
    <w:p w14:paraId="22F9DE1F" w14:textId="77777777" w:rsidR="004C1DAF" w:rsidRPr="00436A00" w:rsidRDefault="004C1DAF" w:rsidP="004C1DAF">
      <w:pPr>
        <w:spacing w:after="0"/>
        <w:rPr>
          <w:rFonts w:ascii="Arial" w:hAnsi="Arial" w:cs="Arial"/>
          <w:b/>
          <w:bCs/>
          <w:u w:val="single"/>
        </w:rPr>
      </w:pPr>
      <w:r>
        <w:rPr>
          <w:rFonts w:ascii="Arial" w:hAnsi="Arial" w:cs="Arial"/>
          <w:b/>
          <w:bCs/>
          <w:u w:val="single"/>
        </w:rPr>
        <w:t>Pytanie nr 1:</w:t>
      </w:r>
    </w:p>
    <w:p w14:paraId="06178A1E" w14:textId="5BF0F2A7" w:rsidR="004C1DAF" w:rsidRPr="004C1DAF" w:rsidRDefault="004C1DAF" w:rsidP="004C1DAF">
      <w:pPr>
        <w:spacing w:after="0" w:line="240" w:lineRule="auto"/>
        <w:rPr>
          <w:rFonts w:ascii="Arial" w:hAnsi="Arial" w:cs="Arial"/>
        </w:rPr>
      </w:pPr>
      <w:r w:rsidRPr="004C1DAF">
        <w:rPr>
          <w:rFonts w:ascii="Arial" w:hAnsi="Arial" w:cs="Arial"/>
        </w:rPr>
        <w:t xml:space="preserve">Przedstawione w opinii geotechnicznej z lutego 2017 r. (załącznik 2.1 do SWZ) rzędne terenu na działce pod budowę SUW </w:t>
      </w:r>
      <w:proofErr w:type="spellStart"/>
      <w:r w:rsidRPr="004C1DAF">
        <w:rPr>
          <w:rFonts w:ascii="Arial" w:hAnsi="Arial" w:cs="Arial"/>
        </w:rPr>
        <w:t>Wydrzany</w:t>
      </w:r>
      <w:proofErr w:type="spellEnd"/>
      <w:r w:rsidRPr="004C1DAF">
        <w:rPr>
          <w:rFonts w:ascii="Arial" w:hAnsi="Arial" w:cs="Arial"/>
        </w:rPr>
        <w:t xml:space="preserve"> II znacznie odbiegają od rzędnych terenu pokazanych w innych dokumentach:</w:t>
      </w:r>
    </w:p>
    <w:p w14:paraId="501A477C" w14:textId="77777777" w:rsidR="004C1DAF" w:rsidRPr="004C1DAF" w:rsidRDefault="004C1DAF" w:rsidP="004C1DAF">
      <w:pPr>
        <w:pStyle w:val="Akapitzlist"/>
        <w:numPr>
          <w:ilvl w:val="0"/>
          <w:numId w:val="2"/>
        </w:numPr>
        <w:rPr>
          <w:rFonts w:ascii="Arial" w:eastAsia="Times New Roman" w:hAnsi="Arial" w:cs="Arial"/>
        </w:rPr>
      </w:pPr>
      <w:r w:rsidRPr="004C1DAF">
        <w:rPr>
          <w:rFonts w:ascii="Arial" w:eastAsia="Times New Roman" w:hAnsi="Arial" w:cs="Arial"/>
        </w:rPr>
        <w:t xml:space="preserve">W przytoczonej opinii geotechnicznej rzędne terenu dla wykonanych otworów wynoszą od 9,14 m </w:t>
      </w:r>
      <w:proofErr w:type="spellStart"/>
      <w:r w:rsidRPr="004C1DAF">
        <w:rPr>
          <w:rFonts w:ascii="Arial" w:eastAsia="Times New Roman" w:hAnsi="Arial" w:cs="Arial"/>
        </w:rPr>
        <w:t>npm</w:t>
      </w:r>
      <w:proofErr w:type="spellEnd"/>
      <w:r w:rsidRPr="004C1DAF">
        <w:rPr>
          <w:rFonts w:ascii="Arial" w:eastAsia="Times New Roman" w:hAnsi="Arial" w:cs="Arial"/>
        </w:rPr>
        <w:t xml:space="preserve"> (otwór nr 3) do 10,86 m </w:t>
      </w:r>
      <w:proofErr w:type="spellStart"/>
      <w:r w:rsidRPr="004C1DAF">
        <w:rPr>
          <w:rFonts w:ascii="Arial" w:eastAsia="Times New Roman" w:hAnsi="Arial" w:cs="Arial"/>
        </w:rPr>
        <w:t>npm</w:t>
      </w:r>
      <w:proofErr w:type="spellEnd"/>
      <w:r w:rsidRPr="004C1DAF">
        <w:rPr>
          <w:rFonts w:ascii="Arial" w:eastAsia="Times New Roman" w:hAnsi="Arial" w:cs="Arial"/>
        </w:rPr>
        <w:t xml:space="preserve"> (otwór nr 5).</w:t>
      </w:r>
    </w:p>
    <w:p w14:paraId="1B354ECB" w14:textId="77777777" w:rsidR="004C1DAF" w:rsidRPr="004C1DAF" w:rsidRDefault="004C1DAF" w:rsidP="004C1DAF">
      <w:pPr>
        <w:pStyle w:val="Akapitzlist"/>
        <w:numPr>
          <w:ilvl w:val="0"/>
          <w:numId w:val="2"/>
        </w:numPr>
        <w:rPr>
          <w:rFonts w:ascii="Arial" w:eastAsia="Times New Roman" w:hAnsi="Arial" w:cs="Arial"/>
        </w:rPr>
      </w:pPr>
      <w:r w:rsidRPr="004C1DAF">
        <w:rPr>
          <w:rFonts w:ascii="Arial" w:eastAsia="Times New Roman" w:hAnsi="Arial" w:cs="Arial"/>
        </w:rPr>
        <w:t xml:space="preserve">W projekcie budowlanym z maja 2017 r. zbiorników retencyjnych, na rysunku nr A-03 (Przekrój A-A zbiorników) rzędna terenu poniżej skarpy zbiorników wynosi 4,2 m </w:t>
      </w:r>
      <w:proofErr w:type="spellStart"/>
      <w:r w:rsidRPr="004C1DAF">
        <w:rPr>
          <w:rFonts w:ascii="Arial" w:eastAsia="Times New Roman" w:hAnsi="Arial" w:cs="Arial"/>
        </w:rPr>
        <w:t>npm</w:t>
      </w:r>
      <w:proofErr w:type="spellEnd"/>
      <w:r w:rsidRPr="004C1DAF">
        <w:rPr>
          <w:rFonts w:ascii="Arial" w:eastAsia="Times New Roman" w:hAnsi="Arial" w:cs="Arial"/>
        </w:rPr>
        <w:t>.</w:t>
      </w:r>
    </w:p>
    <w:p w14:paraId="671C870D" w14:textId="77777777" w:rsidR="004C1DAF" w:rsidRPr="004C1DAF" w:rsidRDefault="004C1DAF" w:rsidP="004C1DAF">
      <w:pPr>
        <w:pStyle w:val="Akapitzlist"/>
        <w:numPr>
          <w:ilvl w:val="0"/>
          <w:numId w:val="2"/>
        </w:numPr>
        <w:rPr>
          <w:rFonts w:ascii="Arial" w:eastAsia="Times New Roman" w:hAnsi="Arial" w:cs="Arial"/>
        </w:rPr>
      </w:pPr>
      <w:r w:rsidRPr="004C1DAF">
        <w:rPr>
          <w:rFonts w:ascii="Arial" w:eastAsia="Times New Roman" w:hAnsi="Arial" w:cs="Arial"/>
        </w:rPr>
        <w:t xml:space="preserve">Rzędne terenu widoczne na mapie do celów projektowych z 09.04.2020 r. (załącznik nr 7 do PFU) na działce 263/8 wynoszą od 4,6 m </w:t>
      </w:r>
      <w:proofErr w:type="spellStart"/>
      <w:r w:rsidRPr="004C1DAF">
        <w:rPr>
          <w:rFonts w:ascii="Arial" w:eastAsia="Times New Roman" w:hAnsi="Arial" w:cs="Arial"/>
        </w:rPr>
        <w:t>npm</w:t>
      </w:r>
      <w:proofErr w:type="spellEnd"/>
      <w:r w:rsidRPr="004C1DAF">
        <w:rPr>
          <w:rFonts w:ascii="Arial" w:eastAsia="Times New Roman" w:hAnsi="Arial" w:cs="Arial"/>
        </w:rPr>
        <w:t xml:space="preserve"> do 6,3 m </w:t>
      </w:r>
      <w:proofErr w:type="spellStart"/>
      <w:r w:rsidRPr="004C1DAF">
        <w:rPr>
          <w:rFonts w:ascii="Arial" w:eastAsia="Times New Roman" w:hAnsi="Arial" w:cs="Arial"/>
        </w:rPr>
        <w:t>npm</w:t>
      </w:r>
      <w:proofErr w:type="spellEnd"/>
      <w:r w:rsidRPr="004C1DAF">
        <w:rPr>
          <w:rFonts w:ascii="Arial" w:eastAsia="Times New Roman" w:hAnsi="Arial" w:cs="Arial"/>
        </w:rPr>
        <w:t>.</w:t>
      </w:r>
    </w:p>
    <w:p w14:paraId="4C75FE99" w14:textId="77777777" w:rsidR="004C1DAF" w:rsidRPr="004C1DAF" w:rsidRDefault="004C1DAF" w:rsidP="004C1DAF">
      <w:pPr>
        <w:pStyle w:val="Akapitzlist"/>
        <w:rPr>
          <w:rFonts w:ascii="Arial" w:eastAsia="Times New Roman" w:hAnsi="Arial" w:cs="Arial"/>
        </w:rPr>
      </w:pPr>
    </w:p>
    <w:p w14:paraId="65B51D9B" w14:textId="77777777" w:rsidR="004C1DAF" w:rsidRPr="004C1DAF" w:rsidRDefault="004C1DAF" w:rsidP="004C1DAF">
      <w:pPr>
        <w:spacing w:after="0" w:line="240" w:lineRule="auto"/>
        <w:jc w:val="both"/>
        <w:rPr>
          <w:rFonts w:ascii="Arial" w:hAnsi="Arial" w:cs="Arial"/>
        </w:rPr>
      </w:pPr>
      <w:r w:rsidRPr="004C1DAF">
        <w:rPr>
          <w:rFonts w:ascii="Arial" w:hAnsi="Arial" w:cs="Arial"/>
        </w:rPr>
        <w:t>Z uwagi na powyższe rozbieżności nie wiemy, jak intepretować informacje dotyczące wód podziemnych zawarte w ww. opinii geotechnicznej. Jest to bardzo istotne z uwagi na fakt, że rozporządzenie w sprawie ustanowienia strefy ochronnej ujęcia wody podziemnej „</w:t>
      </w:r>
      <w:proofErr w:type="spellStart"/>
      <w:r w:rsidRPr="004C1DAF">
        <w:rPr>
          <w:rFonts w:ascii="Arial" w:hAnsi="Arial" w:cs="Arial"/>
        </w:rPr>
        <w:t>Wydrzany</w:t>
      </w:r>
      <w:proofErr w:type="spellEnd"/>
      <w:r w:rsidRPr="004C1DAF">
        <w:rPr>
          <w:rFonts w:ascii="Arial" w:hAnsi="Arial" w:cs="Arial"/>
        </w:rPr>
        <w:t xml:space="preserve">” w Świnoujściu zabrania wykonywania </w:t>
      </w:r>
      <w:proofErr w:type="spellStart"/>
      <w:r w:rsidRPr="004C1DAF">
        <w:rPr>
          <w:rFonts w:ascii="Arial" w:hAnsi="Arial" w:cs="Arial"/>
        </w:rPr>
        <w:t>odwodnień</w:t>
      </w:r>
      <w:proofErr w:type="spellEnd"/>
      <w:r w:rsidRPr="004C1DAF">
        <w:rPr>
          <w:rFonts w:ascii="Arial" w:hAnsi="Arial" w:cs="Arial"/>
        </w:rPr>
        <w:t xml:space="preserve"> budowlanych na terenie ochrony pośredniej, a więc również na terenie pod budowę SUW </w:t>
      </w:r>
      <w:proofErr w:type="spellStart"/>
      <w:r w:rsidRPr="004C1DAF">
        <w:rPr>
          <w:rFonts w:ascii="Arial" w:hAnsi="Arial" w:cs="Arial"/>
        </w:rPr>
        <w:t>Wydrzany</w:t>
      </w:r>
      <w:proofErr w:type="spellEnd"/>
      <w:r w:rsidRPr="004C1DAF">
        <w:rPr>
          <w:rFonts w:ascii="Arial" w:hAnsi="Arial" w:cs="Arial"/>
        </w:rPr>
        <w:t xml:space="preserve"> II.</w:t>
      </w:r>
    </w:p>
    <w:p w14:paraId="2A1289FF" w14:textId="77777777" w:rsidR="004C1DAF" w:rsidRPr="004C1DAF" w:rsidRDefault="004C1DAF" w:rsidP="004C1DAF">
      <w:pPr>
        <w:spacing w:after="0" w:line="240" w:lineRule="auto"/>
        <w:jc w:val="both"/>
        <w:rPr>
          <w:rFonts w:ascii="Arial" w:hAnsi="Arial" w:cs="Arial"/>
        </w:rPr>
      </w:pPr>
      <w:r w:rsidRPr="004C1DAF">
        <w:rPr>
          <w:rFonts w:ascii="Arial" w:hAnsi="Arial" w:cs="Arial"/>
        </w:rPr>
        <w:t xml:space="preserve">W związku z powyższym, </w:t>
      </w:r>
      <w:r w:rsidRPr="004C1DAF">
        <w:rPr>
          <w:rFonts w:ascii="Arial" w:hAnsi="Arial" w:cs="Arial"/>
          <w:u w:val="single"/>
        </w:rPr>
        <w:t>prosimy o wyjaśnienie rozbieżności w dokumentacji</w:t>
      </w:r>
      <w:r w:rsidRPr="004C1DAF">
        <w:rPr>
          <w:rFonts w:ascii="Arial" w:hAnsi="Arial" w:cs="Arial"/>
        </w:rPr>
        <w:t xml:space="preserve"> technicznej </w:t>
      </w:r>
      <w:r w:rsidRPr="004C1DAF">
        <w:rPr>
          <w:rFonts w:ascii="Arial" w:hAnsi="Arial" w:cs="Arial"/>
        </w:rPr>
        <w:t>d</w:t>
      </w:r>
      <w:r w:rsidRPr="004C1DAF">
        <w:rPr>
          <w:rFonts w:ascii="Arial" w:hAnsi="Arial" w:cs="Arial"/>
        </w:rPr>
        <w:t xml:space="preserve">otyczących rzędnych terenu na działce pod SUW </w:t>
      </w:r>
      <w:proofErr w:type="spellStart"/>
      <w:r w:rsidRPr="004C1DAF">
        <w:rPr>
          <w:rFonts w:ascii="Arial" w:hAnsi="Arial" w:cs="Arial"/>
        </w:rPr>
        <w:t>Wydrzany</w:t>
      </w:r>
      <w:proofErr w:type="spellEnd"/>
      <w:r w:rsidRPr="004C1DAF">
        <w:rPr>
          <w:rFonts w:ascii="Arial" w:hAnsi="Arial" w:cs="Arial"/>
        </w:rPr>
        <w:t xml:space="preserve"> II.                                                                          </w:t>
      </w:r>
    </w:p>
    <w:p w14:paraId="703D9DF8" w14:textId="2A44D5F5" w:rsidR="004C1DAF" w:rsidRPr="004C1DAF" w:rsidRDefault="004C1DAF" w:rsidP="004C1DAF">
      <w:pPr>
        <w:spacing w:after="0" w:line="240" w:lineRule="auto"/>
        <w:jc w:val="both"/>
        <w:rPr>
          <w:rFonts w:ascii="Arial" w:hAnsi="Arial" w:cs="Arial"/>
        </w:rPr>
      </w:pPr>
      <w:r w:rsidRPr="004C1DAF">
        <w:rPr>
          <w:rFonts w:ascii="Arial" w:hAnsi="Arial" w:cs="Arial"/>
          <w:u w:val="single"/>
        </w:rPr>
        <w:t>Prosimy również  o udzielenie dodatkowej informacji</w:t>
      </w:r>
      <w:r w:rsidRPr="004C1DAF">
        <w:rPr>
          <w:rFonts w:ascii="Arial" w:hAnsi="Arial" w:cs="Arial"/>
        </w:rPr>
        <w:t xml:space="preserve"> wg wiedzy Zamawiającego, na jakich rzędnych obserwowano  wodę gruntową na terenie pod budowę SUW </w:t>
      </w:r>
      <w:proofErr w:type="spellStart"/>
      <w:r w:rsidRPr="004C1DAF">
        <w:rPr>
          <w:rFonts w:ascii="Arial" w:hAnsi="Arial" w:cs="Arial"/>
        </w:rPr>
        <w:t>Wydrzany</w:t>
      </w:r>
      <w:proofErr w:type="spellEnd"/>
      <w:r w:rsidRPr="004C1DAF">
        <w:rPr>
          <w:rFonts w:ascii="Arial" w:hAnsi="Arial" w:cs="Arial"/>
        </w:rPr>
        <w:t xml:space="preserve"> II i terenach bezpośrednio sąsiadujących.</w:t>
      </w:r>
    </w:p>
    <w:p w14:paraId="56219BB3" w14:textId="77777777" w:rsidR="004C1DAF" w:rsidRPr="004C1DAF" w:rsidRDefault="004C1DAF" w:rsidP="004C1DAF">
      <w:pPr>
        <w:spacing w:after="0" w:line="240" w:lineRule="auto"/>
        <w:jc w:val="both"/>
        <w:rPr>
          <w:rFonts w:ascii="Arial" w:hAnsi="Arial" w:cs="Arial"/>
        </w:rPr>
      </w:pPr>
    </w:p>
    <w:p w14:paraId="625EFE90" w14:textId="77777777" w:rsidR="004C1DAF" w:rsidRPr="00F34842" w:rsidRDefault="004C1DAF" w:rsidP="004C1DAF">
      <w:pPr>
        <w:spacing w:after="0"/>
        <w:jc w:val="both"/>
        <w:rPr>
          <w:rFonts w:ascii="Arial" w:hAnsi="Arial" w:cs="Arial"/>
          <w:b/>
          <w:bCs/>
          <w:color w:val="2E74B5" w:themeColor="accent5" w:themeShade="BF"/>
          <w:u w:val="single"/>
        </w:rPr>
      </w:pPr>
      <w:r w:rsidRPr="00F34842">
        <w:rPr>
          <w:rFonts w:ascii="Arial" w:hAnsi="Arial" w:cs="Arial"/>
          <w:b/>
          <w:bCs/>
          <w:color w:val="2E74B5" w:themeColor="accent5" w:themeShade="BF"/>
          <w:u w:val="single"/>
        </w:rPr>
        <w:t>Odpowiedź:</w:t>
      </w:r>
    </w:p>
    <w:p w14:paraId="1A5AD134" w14:textId="482C5E83" w:rsidR="004C1DAF" w:rsidRPr="004C1DAF" w:rsidRDefault="004C1DAF" w:rsidP="004C1DAF">
      <w:pPr>
        <w:spacing w:after="0" w:line="240" w:lineRule="auto"/>
        <w:jc w:val="both"/>
        <w:rPr>
          <w:rFonts w:ascii="Arial" w:hAnsi="Arial" w:cs="Arial"/>
          <w:color w:val="2F5496" w:themeColor="accent1" w:themeShade="BF"/>
        </w:rPr>
      </w:pPr>
      <w:r w:rsidRPr="004C1DAF">
        <w:rPr>
          <w:rFonts w:ascii="Arial" w:hAnsi="Arial" w:cs="Arial"/>
          <w:color w:val="2F5496" w:themeColor="accent1" w:themeShade="BF"/>
        </w:rPr>
        <w:t>Jako  dane wyjściowe do sporządzenia oferty w zakresie wyceny prac, odnoszące się do  poziomu  wody gruntowej  na obszarze działki 263/8 należy  przyjąć  informacje umieszczone w przywołanej w pytaniu opinii  geotechnicznej z  2020 r.  (w pkt. IV tego  opracowania) , które prezentują wyniki  odniesione  do poziomu terenu (tzn., że zgodnie z informacją zawartą w tej opinii  w 7 z wykonanych  8  otworów badawczych  o  głębokości 5,00  m p.p.t.  nie stwierdzono  wody  gruntowej a w jednym z nich stwierdzono  mokry piasek  na głębokości 1,7 m p.p.t.).</w:t>
      </w:r>
    </w:p>
    <w:p w14:paraId="1FB069B8" w14:textId="77777777" w:rsidR="004C1DAF" w:rsidRDefault="004C1DAF" w:rsidP="004C1DAF">
      <w:pPr>
        <w:spacing w:after="0" w:line="240" w:lineRule="auto"/>
        <w:rPr>
          <w:rFonts w:ascii="Arial" w:hAnsi="Arial" w:cs="Arial"/>
          <w:color w:val="2F5496" w:themeColor="accent1" w:themeShade="BF"/>
        </w:rPr>
      </w:pPr>
    </w:p>
    <w:p w14:paraId="29187988" w14:textId="0E40A720" w:rsidR="004C1DAF" w:rsidRPr="004C1DAF" w:rsidRDefault="004C1DAF" w:rsidP="004C1DAF">
      <w:pPr>
        <w:spacing w:after="0" w:line="240" w:lineRule="auto"/>
        <w:jc w:val="both"/>
        <w:rPr>
          <w:rFonts w:ascii="Arial" w:hAnsi="Arial" w:cs="Arial"/>
          <w:color w:val="2F5496" w:themeColor="accent1" w:themeShade="BF"/>
        </w:rPr>
      </w:pPr>
      <w:r w:rsidRPr="004C1DAF">
        <w:rPr>
          <w:rFonts w:ascii="Arial" w:hAnsi="Arial" w:cs="Arial"/>
          <w:color w:val="2F5496" w:themeColor="accent1" w:themeShade="BF"/>
        </w:rPr>
        <w:lastRenderedPageBreak/>
        <w:t xml:space="preserve">Dodatkowo Zamawiający prezentuje załącznik nr </w:t>
      </w:r>
      <w:r>
        <w:rPr>
          <w:rFonts w:ascii="Arial" w:hAnsi="Arial" w:cs="Arial"/>
          <w:color w:val="2F5496" w:themeColor="accent1" w:themeShade="BF"/>
        </w:rPr>
        <w:t xml:space="preserve">1 (reper 304) </w:t>
      </w:r>
      <w:r w:rsidRPr="004C1DAF">
        <w:rPr>
          <w:rFonts w:ascii="Arial" w:hAnsi="Arial" w:cs="Arial"/>
          <w:color w:val="2F5496" w:themeColor="accent1" w:themeShade="BF"/>
        </w:rPr>
        <w:t xml:space="preserve"> do niniejszej odpowiedzi na pytania, w formie pliku jpg obrazujący aktualne dane szczegółowe jednego z przywołanych reperów - w narożniku budynku SUW </w:t>
      </w:r>
      <w:proofErr w:type="spellStart"/>
      <w:r w:rsidRPr="004C1DAF">
        <w:rPr>
          <w:rFonts w:ascii="Arial" w:hAnsi="Arial" w:cs="Arial"/>
          <w:color w:val="2F5496" w:themeColor="accent1" w:themeShade="BF"/>
        </w:rPr>
        <w:t>Wydrzany</w:t>
      </w:r>
      <w:proofErr w:type="spellEnd"/>
      <w:r w:rsidRPr="004C1DAF">
        <w:rPr>
          <w:rFonts w:ascii="Arial" w:hAnsi="Arial" w:cs="Arial"/>
          <w:color w:val="2F5496" w:themeColor="accent1" w:themeShade="BF"/>
        </w:rPr>
        <w:t xml:space="preserve">. Jest to wyciąg z ogólnopolskiego rejestru Głównego Urzędu Geodezji. Zgodnie z tymi danymi, reper 304 znajduje się obecnie na  wysokości  H=4,9975m  n.p.m. wg odniesienia (Amsterdam2007) i wysokości H=4,8271m n.p.m. wg odniesienia Kronsztad. </w:t>
      </w:r>
    </w:p>
    <w:p w14:paraId="2AFB0E61" w14:textId="77777777" w:rsidR="004C1DAF" w:rsidRDefault="004C1DAF" w:rsidP="004C1DAF">
      <w:pPr>
        <w:spacing w:after="0" w:line="240" w:lineRule="auto"/>
        <w:rPr>
          <w:rFonts w:cstheme="minorHAnsi"/>
          <w:color w:val="2F5496" w:themeColor="accent1" w:themeShade="BF"/>
          <w:sz w:val="24"/>
          <w:szCs w:val="24"/>
        </w:rPr>
      </w:pPr>
    </w:p>
    <w:p w14:paraId="7C636D03"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 xml:space="preserve">Wydruk z metryki </w:t>
      </w:r>
      <w:proofErr w:type="spellStart"/>
      <w:r w:rsidRPr="004C1DAF">
        <w:rPr>
          <w:rFonts w:ascii="Arial" w:hAnsi="Arial" w:cs="Arial"/>
          <w:color w:val="2F5496" w:themeColor="accent1" w:themeShade="BF"/>
        </w:rPr>
        <w:t>reperu</w:t>
      </w:r>
      <w:proofErr w:type="spellEnd"/>
      <w:r w:rsidRPr="004C1DAF">
        <w:rPr>
          <w:rFonts w:ascii="Arial" w:hAnsi="Arial" w:cs="Arial"/>
          <w:color w:val="2F5496" w:themeColor="accent1" w:themeShade="BF"/>
        </w:rPr>
        <w:t>:</w:t>
      </w:r>
    </w:p>
    <w:p w14:paraId="0D59FAC3"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w:t>
      </w:r>
    </w:p>
    <w:p w14:paraId="4FF5C941" w14:textId="77777777" w:rsidR="004C1DAF" w:rsidRPr="004C1DAF" w:rsidRDefault="004C1DAF" w:rsidP="004C1DAF">
      <w:pPr>
        <w:spacing w:after="0" w:line="240" w:lineRule="auto"/>
        <w:jc w:val="both"/>
        <w:rPr>
          <w:rFonts w:ascii="Arial" w:hAnsi="Arial" w:cs="Arial"/>
          <w:color w:val="2F5496" w:themeColor="accent1" w:themeShade="BF"/>
        </w:rPr>
      </w:pPr>
      <w:r w:rsidRPr="004C1DAF">
        <w:rPr>
          <w:rFonts w:ascii="Arial" w:hAnsi="Arial" w:cs="Arial"/>
          <w:color w:val="2F5496" w:themeColor="accent1" w:themeShade="BF"/>
        </w:rPr>
        <w:t xml:space="preserve"> Dokument wygenerowany dn. 2023-04-14 przez System Automatycznej Obsługi Zgłoszeń prac geodezyjnych aplikacją </w:t>
      </w:r>
      <w:proofErr w:type="spellStart"/>
      <w:r w:rsidRPr="004C1DAF">
        <w:rPr>
          <w:rFonts w:ascii="Arial" w:hAnsi="Arial" w:cs="Arial"/>
          <w:color w:val="2F5496" w:themeColor="accent1" w:themeShade="BF"/>
        </w:rPr>
        <w:t>Geo</w:t>
      </w:r>
      <w:proofErr w:type="spellEnd"/>
      <w:r w:rsidRPr="004C1DAF">
        <w:rPr>
          <w:rFonts w:ascii="Arial" w:hAnsi="Arial" w:cs="Arial"/>
          <w:color w:val="2F5496" w:themeColor="accent1" w:themeShade="BF"/>
        </w:rPr>
        <w:t xml:space="preserve">-Info 7 </w:t>
      </w:r>
      <w:proofErr w:type="spellStart"/>
      <w:r w:rsidRPr="004C1DAF">
        <w:rPr>
          <w:rFonts w:ascii="Arial" w:hAnsi="Arial" w:cs="Arial"/>
          <w:color w:val="2F5496" w:themeColor="accent1" w:themeShade="BF"/>
        </w:rPr>
        <w:t>i.Kerg</w:t>
      </w:r>
      <w:proofErr w:type="spellEnd"/>
      <w:r w:rsidRPr="004C1DAF">
        <w:rPr>
          <w:rFonts w:ascii="Arial" w:hAnsi="Arial" w:cs="Arial"/>
          <w:color w:val="2F5496" w:themeColor="accent1" w:themeShade="BF"/>
        </w:rPr>
        <w:t xml:space="preserve"> - nr KERG BGM.6642.144.2023</w:t>
      </w:r>
    </w:p>
    <w:p w14:paraId="2336A838" w14:textId="77777777" w:rsidR="004C1DAF" w:rsidRPr="004C1DAF" w:rsidRDefault="004C1DAF" w:rsidP="004C1DAF">
      <w:pPr>
        <w:spacing w:after="0" w:line="240" w:lineRule="auto"/>
        <w:rPr>
          <w:rFonts w:ascii="Arial" w:hAnsi="Arial" w:cs="Arial"/>
          <w:color w:val="2F5496" w:themeColor="accent1" w:themeShade="BF"/>
        </w:rPr>
      </w:pPr>
    </w:p>
    <w:p w14:paraId="02E02B83"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System Informacji Przestrzennej GEO-INFO Mapa (wyd. 23.1.4.0)</w:t>
      </w:r>
    </w:p>
    <w:p w14:paraId="6CF1F8C9"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Data sporządzenia: 2023-04-14 08:56:50</w:t>
      </w:r>
    </w:p>
    <w:p w14:paraId="19E219B5"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Układ współrzędnych: 2000_15</w:t>
      </w:r>
    </w:p>
    <w:p w14:paraId="1200E157" w14:textId="77777777" w:rsidR="004C1DAF" w:rsidRPr="00C974FD" w:rsidRDefault="004C1DAF" w:rsidP="004C1DAF">
      <w:pPr>
        <w:spacing w:after="0" w:line="240" w:lineRule="auto"/>
        <w:rPr>
          <w:rFonts w:cstheme="minorHAnsi"/>
          <w:color w:val="2F5496" w:themeColor="accent1" w:themeShade="BF"/>
          <w:sz w:val="24"/>
          <w:szCs w:val="24"/>
        </w:rPr>
      </w:pPr>
    </w:p>
    <w:p w14:paraId="46D17D01"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Numer: </w:t>
      </w:r>
      <w:r w:rsidRPr="00C974FD">
        <w:rPr>
          <w:rFonts w:cstheme="minorHAnsi"/>
          <w:color w:val="2F5496" w:themeColor="accent1" w:themeShade="BF"/>
          <w:sz w:val="24"/>
          <w:szCs w:val="24"/>
        </w:rPr>
        <w:tab/>
        <w:t xml:space="preserve">304 </w:t>
      </w:r>
      <w:r w:rsidRPr="00C974FD">
        <w:rPr>
          <w:rFonts w:cstheme="minorHAnsi"/>
          <w:color w:val="2F5496" w:themeColor="accent1" w:themeShade="BF"/>
          <w:sz w:val="24"/>
          <w:szCs w:val="24"/>
        </w:rPr>
        <w:tab/>
        <w:t xml:space="preserve">Inny numer: </w:t>
      </w:r>
      <w:r w:rsidRPr="00C974FD">
        <w:rPr>
          <w:rFonts w:cstheme="minorHAnsi"/>
          <w:color w:val="2F5496" w:themeColor="accent1" w:themeShade="BF"/>
          <w:sz w:val="24"/>
          <w:szCs w:val="24"/>
        </w:rPr>
        <w:tab/>
        <w:t xml:space="preserve">330.2-304 </w:t>
      </w:r>
      <w:r w:rsidRPr="00C974FD">
        <w:rPr>
          <w:rFonts w:cstheme="minorHAnsi"/>
          <w:color w:val="2F5496" w:themeColor="accent1" w:themeShade="BF"/>
          <w:sz w:val="24"/>
          <w:szCs w:val="24"/>
        </w:rPr>
        <w:tab/>
        <w:t xml:space="preserve">Pełna systematyka: </w:t>
      </w:r>
      <w:r w:rsidRPr="00C974FD">
        <w:rPr>
          <w:rFonts w:cstheme="minorHAnsi"/>
          <w:color w:val="2F5496" w:themeColor="accent1" w:themeShade="BF"/>
          <w:sz w:val="24"/>
          <w:szCs w:val="24"/>
        </w:rPr>
        <w:tab/>
        <w:t>330.221</w:t>
      </w:r>
    </w:p>
    <w:p w14:paraId="6DB56441"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X: </w:t>
      </w:r>
      <w:r w:rsidRPr="00C974FD">
        <w:rPr>
          <w:rFonts w:cstheme="minorHAnsi"/>
          <w:color w:val="2F5496" w:themeColor="accent1" w:themeShade="BF"/>
          <w:sz w:val="24"/>
          <w:szCs w:val="24"/>
        </w:rPr>
        <w:tab/>
        <w:t xml:space="preserve">5972047.70 </w:t>
      </w:r>
      <w:r w:rsidRPr="00C974FD">
        <w:rPr>
          <w:rFonts w:cstheme="minorHAnsi"/>
          <w:color w:val="2F5496" w:themeColor="accent1" w:themeShade="BF"/>
          <w:sz w:val="24"/>
          <w:szCs w:val="24"/>
        </w:rPr>
        <w:tab/>
        <w:t xml:space="preserve">Y: </w:t>
      </w:r>
      <w:r w:rsidRPr="00C974FD">
        <w:rPr>
          <w:rFonts w:cstheme="minorHAnsi"/>
          <w:color w:val="2F5496" w:themeColor="accent1" w:themeShade="BF"/>
          <w:sz w:val="24"/>
          <w:szCs w:val="24"/>
        </w:rPr>
        <w:tab/>
        <w:t xml:space="preserve">5450392.15 </w:t>
      </w:r>
      <w:r w:rsidRPr="00C974FD">
        <w:rPr>
          <w:rFonts w:cstheme="minorHAnsi"/>
          <w:color w:val="2F5496" w:themeColor="accent1" w:themeShade="BF"/>
          <w:sz w:val="24"/>
          <w:szCs w:val="24"/>
        </w:rPr>
        <w:tab/>
        <w:t xml:space="preserve">H: </w:t>
      </w:r>
      <w:r w:rsidRPr="00C974FD">
        <w:rPr>
          <w:rFonts w:cstheme="minorHAnsi"/>
          <w:color w:val="2F5496" w:themeColor="accent1" w:themeShade="BF"/>
          <w:sz w:val="24"/>
          <w:szCs w:val="24"/>
        </w:rPr>
        <w:tab/>
        <w:t xml:space="preserve">4.825 </w:t>
      </w:r>
      <w:r w:rsidRPr="00C974FD">
        <w:rPr>
          <w:rFonts w:cstheme="minorHAnsi"/>
          <w:color w:val="2F5496" w:themeColor="accent1" w:themeShade="BF"/>
          <w:sz w:val="24"/>
          <w:szCs w:val="24"/>
        </w:rPr>
        <w:tab/>
        <w:t xml:space="preserve">B: </w:t>
      </w:r>
      <w:r w:rsidRPr="00C974FD">
        <w:rPr>
          <w:rFonts w:cstheme="minorHAnsi"/>
          <w:color w:val="2F5496" w:themeColor="accent1" w:themeShade="BF"/>
          <w:sz w:val="24"/>
          <w:szCs w:val="24"/>
        </w:rPr>
        <w:tab/>
        <w:t xml:space="preserve">53° 52' 37.7859" </w:t>
      </w:r>
      <w:r w:rsidRPr="00C974FD">
        <w:rPr>
          <w:rFonts w:cstheme="minorHAnsi"/>
          <w:color w:val="2F5496" w:themeColor="accent1" w:themeShade="BF"/>
          <w:sz w:val="24"/>
          <w:szCs w:val="24"/>
        </w:rPr>
        <w:tab/>
        <w:t xml:space="preserve">L: </w:t>
      </w:r>
      <w:r w:rsidRPr="00C974FD">
        <w:rPr>
          <w:rFonts w:cstheme="minorHAnsi"/>
          <w:color w:val="2F5496" w:themeColor="accent1" w:themeShade="BF"/>
          <w:sz w:val="24"/>
          <w:szCs w:val="24"/>
        </w:rPr>
        <w:tab/>
        <w:t>14° 14' 44.3669"</w:t>
      </w:r>
    </w:p>
    <w:p w14:paraId="62D40A19"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X: </w:t>
      </w:r>
      <w:r w:rsidRPr="00C974FD">
        <w:rPr>
          <w:rFonts w:cstheme="minorHAnsi"/>
          <w:color w:val="2F5496" w:themeColor="accent1" w:themeShade="BF"/>
          <w:sz w:val="24"/>
          <w:szCs w:val="24"/>
        </w:rPr>
        <w:tab/>
        <w:t xml:space="preserve">6035263.41 </w:t>
      </w:r>
      <w:r w:rsidRPr="00C974FD">
        <w:rPr>
          <w:rFonts w:cstheme="minorHAnsi"/>
          <w:color w:val="2F5496" w:themeColor="accent1" w:themeShade="BF"/>
          <w:sz w:val="24"/>
          <w:szCs w:val="24"/>
        </w:rPr>
        <w:tab/>
        <w:t xml:space="preserve">Y: </w:t>
      </w:r>
      <w:r w:rsidRPr="00C974FD">
        <w:rPr>
          <w:rFonts w:cstheme="minorHAnsi"/>
          <w:color w:val="2F5496" w:themeColor="accent1" w:themeShade="BF"/>
          <w:sz w:val="24"/>
          <w:szCs w:val="24"/>
        </w:rPr>
        <w:tab/>
        <w:t xml:space="preserve">3319496.11 </w:t>
      </w:r>
      <w:r w:rsidRPr="00C974FD">
        <w:rPr>
          <w:rFonts w:cstheme="minorHAnsi"/>
          <w:color w:val="2F5496" w:themeColor="accent1" w:themeShade="BF"/>
          <w:sz w:val="24"/>
          <w:szCs w:val="24"/>
        </w:rPr>
        <w:tab/>
        <w:t xml:space="preserve">H: </w:t>
      </w:r>
      <w:r w:rsidRPr="00C974FD">
        <w:rPr>
          <w:rFonts w:cstheme="minorHAnsi"/>
          <w:color w:val="2F5496" w:themeColor="accent1" w:themeShade="BF"/>
          <w:sz w:val="24"/>
          <w:szCs w:val="24"/>
        </w:rPr>
        <w:tab/>
        <w:t xml:space="preserve">4.825 </w:t>
      </w:r>
      <w:r w:rsidRPr="00C974FD">
        <w:rPr>
          <w:rFonts w:cstheme="minorHAnsi"/>
          <w:color w:val="2F5496" w:themeColor="accent1" w:themeShade="BF"/>
          <w:sz w:val="24"/>
          <w:szCs w:val="24"/>
        </w:rPr>
        <w:tab/>
        <w:t>Układ współrzędnych: 1965_3</w:t>
      </w:r>
    </w:p>
    <w:p w14:paraId="7B943DEA"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Atrybuty:</w:t>
      </w:r>
    </w:p>
    <w:p w14:paraId="01183C3D"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Atrybut </w:t>
      </w:r>
      <w:r w:rsidRPr="00C974FD">
        <w:rPr>
          <w:rFonts w:cstheme="minorHAnsi"/>
          <w:color w:val="2F5496" w:themeColor="accent1" w:themeShade="BF"/>
          <w:sz w:val="24"/>
          <w:szCs w:val="24"/>
        </w:rPr>
        <w:tab/>
        <w:t xml:space="preserve">Wartość </w:t>
      </w:r>
      <w:r w:rsidRPr="00C974FD">
        <w:rPr>
          <w:rFonts w:cstheme="minorHAnsi"/>
          <w:color w:val="2F5496" w:themeColor="accent1" w:themeShade="BF"/>
          <w:sz w:val="24"/>
          <w:szCs w:val="24"/>
        </w:rPr>
        <w:tab/>
        <w:t xml:space="preserve">Atrybut </w:t>
      </w:r>
      <w:r w:rsidRPr="00C974FD">
        <w:rPr>
          <w:rFonts w:cstheme="minorHAnsi"/>
          <w:color w:val="2F5496" w:themeColor="accent1" w:themeShade="BF"/>
          <w:sz w:val="24"/>
          <w:szCs w:val="24"/>
        </w:rPr>
        <w:tab/>
        <w:t>Wartość</w:t>
      </w:r>
    </w:p>
    <w:p w14:paraId="19CB97F3"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Id zgłoszenia lub KERG </w:t>
      </w:r>
      <w:r w:rsidRPr="00C974FD">
        <w:rPr>
          <w:rFonts w:cstheme="minorHAnsi"/>
          <w:color w:val="2F5496" w:themeColor="accent1" w:themeShade="BF"/>
          <w:sz w:val="24"/>
          <w:szCs w:val="24"/>
        </w:rPr>
        <w:tab/>
        <w:t xml:space="preserve">? </w:t>
      </w:r>
      <w:r w:rsidRPr="00C974FD">
        <w:rPr>
          <w:rFonts w:cstheme="minorHAnsi"/>
          <w:color w:val="2F5496" w:themeColor="accent1" w:themeShade="BF"/>
          <w:sz w:val="24"/>
          <w:szCs w:val="24"/>
        </w:rPr>
        <w:tab/>
        <w:t xml:space="preserve">Numer głowicy znaku </w:t>
      </w:r>
      <w:r w:rsidRPr="00C974FD">
        <w:rPr>
          <w:rFonts w:cstheme="minorHAnsi"/>
          <w:color w:val="2F5496" w:themeColor="accent1" w:themeShade="BF"/>
          <w:sz w:val="24"/>
          <w:szCs w:val="24"/>
        </w:rPr>
        <w:tab/>
        <w:t>BA 1260</w:t>
      </w:r>
    </w:p>
    <w:p w14:paraId="32910A10"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Rok aktualności </w:t>
      </w:r>
      <w:r w:rsidRPr="00C974FD">
        <w:rPr>
          <w:rFonts w:cstheme="minorHAnsi"/>
          <w:color w:val="2F5496" w:themeColor="accent1" w:themeShade="BF"/>
          <w:sz w:val="24"/>
          <w:szCs w:val="24"/>
        </w:rPr>
        <w:tab/>
        <w:t xml:space="preserve">  </w:t>
      </w:r>
      <w:r w:rsidRPr="00C974FD">
        <w:rPr>
          <w:rFonts w:cstheme="minorHAnsi"/>
          <w:color w:val="2F5496" w:themeColor="accent1" w:themeShade="BF"/>
          <w:sz w:val="24"/>
          <w:szCs w:val="24"/>
        </w:rPr>
        <w:tab/>
        <w:t xml:space="preserve">Stan stabilizacji znaku </w:t>
      </w:r>
      <w:r w:rsidRPr="00C974FD">
        <w:rPr>
          <w:rFonts w:cstheme="minorHAnsi"/>
          <w:color w:val="2F5496" w:themeColor="accent1" w:themeShade="BF"/>
          <w:sz w:val="24"/>
          <w:szCs w:val="24"/>
        </w:rPr>
        <w:tab/>
        <w:t xml:space="preserve"> </w:t>
      </w:r>
    </w:p>
    <w:p w14:paraId="013BE36B"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Sposób wyznaczenia </w:t>
      </w:r>
      <w:r w:rsidRPr="00C974FD">
        <w:rPr>
          <w:rFonts w:cstheme="minorHAnsi"/>
          <w:color w:val="2F5496" w:themeColor="accent1" w:themeShade="BF"/>
          <w:sz w:val="24"/>
          <w:szCs w:val="24"/>
        </w:rPr>
        <w:tab/>
        <w:t xml:space="preserve">  </w:t>
      </w:r>
      <w:r w:rsidRPr="00C974FD">
        <w:rPr>
          <w:rFonts w:cstheme="minorHAnsi"/>
          <w:color w:val="2F5496" w:themeColor="accent1" w:themeShade="BF"/>
          <w:sz w:val="24"/>
          <w:szCs w:val="24"/>
        </w:rPr>
        <w:tab/>
        <w:t xml:space="preserve">Błąd położenia punktu </w:t>
      </w:r>
      <w:r w:rsidRPr="00C974FD">
        <w:rPr>
          <w:rFonts w:cstheme="minorHAnsi"/>
          <w:color w:val="2F5496" w:themeColor="accent1" w:themeShade="BF"/>
          <w:sz w:val="24"/>
          <w:szCs w:val="24"/>
        </w:rPr>
        <w:tab/>
        <w:t xml:space="preserve"> </w:t>
      </w:r>
    </w:p>
    <w:p w14:paraId="7190224C"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Nazwa punktu </w:t>
      </w:r>
      <w:r w:rsidRPr="00C974FD">
        <w:rPr>
          <w:rFonts w:cstheme="minorHAnsi"/>
          <w:color w:val="2F5496" w:themeColor="accent1" w:themeShade="BF"/>
          <w:sz w:val="24"/>
          <w:szCs w:val="24"/>
        </w:rPr>
        <w:tab/>
        <w:t xml:space="preserve">  </w:t>
      </w:r>
      <w:r w:rsidRPr="00C974FD">
        <w:rPr>
          <w:rFonts w:cstheme="minorHAnsi"/>
          <w:color w:val="2F5496" w:themeColor="accent1" w:themeShade="BF"/>
          <w:sz w:val="24"/>
          <w:szCs w:val="24"/>
        </w:rPr>
        <w:tab/>
        <w:t xml:space="preserve">Miejscowość </w:t>
      </w:r>
      <w:r w:rsidRPr="00C974FD">
        <w:rPr>
          <w:rFonts w:cstheme="minorHAnsi"/>
          <w:color w:val="2F5496" w:themeColor="accent1" w:themeShade="BF"/>
          <w:sz w:val="24"/>
          <w:szCs w:val="24"/>
        </w:rPr>
        <w:tab/>
        <w:t xml:space="preserve"> </w:t>
      </w:r>
    </w:p>
    <w:p w14:paraId="4180BC6D"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Atrybut </w:t>
      </w:r>
      <w:r w:rsidRPr="00C974FD">
        <w:rPr>
          <w:rFonts w:cstheme="minorHAnsi"/>
          <w:color w:val="2F5496" w:themeColor="accent1" w:themeShade="BF"/>
          <w:sz w:val="24"/>
          <w:szCs w:val="24"/>
        </w:rPr>
        <w:tab/>
        <w:t>Wartość</w:t>
      </w:r>
    </w:p>
    <w:p w14:paraId="02C98422" w14:textId="77777777" w:rsidR="004C1DAF" w:rsidRPr="00C974FD" w:rsidRDefault="004C1DAF" w:rsidP="004C1DAF">
      <w:pPr>
        <w:spacing w:after="0" w:line="240" w:lineRule="auto"/>
        <w:rPr>
          <w:rFonts w:cstheme="minorHAnsi"/>
          <w:color w:val="2F5496" w:themeColor="accent1" w:themeShade="BF"/>
          <w:sz w:val="24"/>
          <w:szCs w:val="24"/>
        </w:rPr>
      </w:pPr>
      <w:r w:rsidRPr="00C974FD">
        <w:rPr>
          <w:rFonts w:cstheme="minorHAnsi"/>
          <w:color w:val="2F5496" w:themeColor="accent1" w:themeShade="BF"/>
          <w:sz w:val="24"/>
          <w:szCs w:val="24"/>
        </w:rPr>
        <w:t xml:space="preserve">Źródło pochodzenia </w:t>
      </w:r>
      <w:proofErr w:type="spellStart"/>
      <w:r w:rsidRPr="00C974FD">
        <w:rPr>
          <w:rFonts w:cstheme="minorHAnsi"/>
          <w:color w:val="2F5496" w:themeColor="accent1" w:themeShade="BF"/>
          <w:sz w:val="24"/>
          <w:szCs w:val="24"/>
        </w:rPr>
        <w:t>współrzęd</w:t>
      </w:r>
      <w:proofErr w:type="spellEnd"/>
      <w:r w:rsidRPr="00C974FD">
        <w:rPr>
          <w:rFonts w:cstheme="minorHAnsi"/>
          <w:color w:val="2F5496" w:themeColor="accent1" w:themeShade="BF"/>
          <w:sz w:val="24"/>
          <w:szCs w:val="24"/>
        </w:rPr>
        <w:t xml:space="preserve">. </w:t>
      </w:r>
      <w:r w:rsidRPr="00C974FD">
        <w:rPr>
          <w:rFonts w:cstheme="minorHAnsi"/>
          <w:color w:val="2F5496" w:themeColor="accent1" w:themeShade="BF"/>
          <w:sz w:val="24"/>
          <w:szCs w:val="24"/>
        </w:rPr>
        <w:tab/>
        <w:t>z dokładnego pomiaru metodami klasycznymi</w:t>
      </w:r>
    </w:p>
    <w:p w14:paraId="07DEBA5C" w14:textId="77777777" w:rsidR="004C1DAF" w:rsidRPr="005B222B" w:rsidRDefault="004C1DAF" w:rsidP="004C1DAF">
      <w:pPr>
        <w:spacing w:after="0" w:line="240" w:lineRule="auto"/>
        <w:rPr>
          <w:rFonts w:cstheme="minorHAnsi"/>
          <w:color w:val="2F5496" w:themeColor="accent1" w:themeShade="BF"/>
          <w:sz w:val="24"/>
          <w:szCs w:val="24"/>
        </w:rPr>
      </w:pPr>
      <w:r>
        <w:rPr>
          <w:rFonts w:cstheme="minorHAnsi"/>
          <w:color w:val="2F5496" w:themeColor="accent1" w:themeShade="BF"/>
          <w:sz w:val="24"/>
          <w:szCs w:val="24"/>
        </w:rPr>
        <w:t>----------------------------------------------------------------------------------------------------------</w:t>
      </w:r>
      <w:r w:rsidRPr="00C974FD">
        <w:rPr>
          <w:rFonts w:cstheme="minorHAnsi"/>
          <w:color w:val="2F5496" w:themeColor="accent1" w:themeShade="BF"/>
          <w:sz w:val="24"/>
          <w:szCs w:val="24"/>
        </w:rPr>
        <w:tab/>
      </w:r>
    </w:p>
    <w:p w14:paraId="06A02322" w14:textId="77777777" w:rsidR="004C1DAF" w:rsidRPr="004C1DAF" w:rsidRDefault="004C1DAF" w:rsidP="004C1DAF">
      <w:pPr>
        <w:spacing w:after="0" w:line="240" w:lineRule="auto"/>
        <w:jc w:val="both"/>
        <w:rPr>
          <w:rFonts w:ascii="Arial" w:hAnsi="Arial" w:cs="Arial"/>
          <w:color w:val="2F5496" w:themeColor="accent1" w:themeShade="BF"/>
        </w:rPr>
      </w:pPr>
      <w:r w:rsidRPr="004C1DAF">
        <w:rPr>
          <w:rFonts w:ascii="Arial" w:hAnsi="Arial" w:cs="Arial"/>
          <w:color w:val="2F5496" w:themeColor="accent1" w:themeShade="BF"/>
        </w:rPr>
        <w:t xml:space="preserve">Podanie wysokości umiejscowienia reperów odniesienia, w tym </w:t>
      </w:r>
      <w:proofErr w:type="spellStart"/>
      <w:r w:rsidRPr="004C1DAF">
        <w:rPr>
          <w:rFonts w:ascii="Arial" w:hAnsi="Arial" w:cs="Arial"/>
          <w:color w:val="2F5496" w:themeColor="accent1" w:themeShade="BF"/>
        </w:rPr>
        <w:t>reperu</w:t>
      </w:r>
      <w:proofErr w:type="spellEnd"/>
      <w:r w:rsidRPr="004C1DAF">
        <w:rPr>
          <w:rFonts w:ascii="Arial" w:hAnsi="Arial" w:cs="Arial"/>
          <w:color w:val="2F5496" w:themeColor="accent1" w:themeShade="BF"/>
        </w:rPr>
        <w:t xml:space="preserve"> nr 304 w przedmiotowej opinii geotechnicznej było błędne, jednak dalsze wyniki, podawane w odniesieniu do poziomu terenu są właściwe, dlatego wskazano jak powyżej.</w:t>
      </w:r>
    </w:p>
    <w:p w14:paraId="4870934D"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 xml:space="preserve">Jako dodatkowe źródło informacji nt. poziomu wód gruntowych w terenie przyległym do placu budowy SUW </w:t>
      </w:r>
      <w:proofErr w:type="spellStart"/>
      <w:r w:rsidRPr="004C1DAF">
        <w:rPr>
          <w:rFonts w:ascii="Arial" w:hAnsi="Arial" w:cs="Arial"/>
          <w:color w:val="2F5496" w:themeColor="accent1" w:themeShade="BF"/>
        </w:rPr>
        <w:t>Wydrzany</w:t>
      </w:r>
      <w:proofErr w:type="spellEnd"/>
      <w:r w:rsidRPr="004C1DAF">
        <w:rPr>
          <w:rFonts w:ascii="Arial" w:hAnsi="Arial" w:cs="Arial"/>
          <w:color w:val="2F5496" w:themeColor="accent1" w:themeShade="BF"/>
        </w:rPr>
        <w:t xml:space="preserve"> II, Zamawiający informuje, iż w sąsiedztwie działek 263/13 i 263/15 obrębu 10 znajdują się 2 studnie głębinowe:</w:t>
      </w:r>
    </w:p>
    <w:p w14:paraId="21CFD841" w14:textId="77777777" w:rsidR="004C1DAF" w:rsidRPr="004C1DAF" w:rsidRDefault="004C1DAF" w:rsidP="004C1DAF">
      <w:pPr>
        <w:spacing w:after="0" w:line="240" w:lineRule="auto"/>
        <w:rPr>
          <w:rFonts w:ascii="Arial" w:hAnsi="Arial" w:cs="Arial"/>
          <w:color w:val="2F5496" w:themeColor="accent1" w:themeShade="BF"/>
        </w:rPr>
      </w:pPr>
    </w:p>
    <w:p w14:paraId="3DA7FC0C"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 xml:space="preserve">1b – rzędna terenu 3,59 </w:t>
      </w:r>
      <w:proofErr w:type="spellStart"/>
      <w:r w:rsidRPr="004C1DAF">
        <w:rPr>
          <w:rFonts w:ascii="Arial" w:hAnsi="Arial" w:cs="Arial"/>
          <w:color w:val="2F5496" w:themeColor="accent1" w:themeShade="BF"/>
        </w:rPr>
        <w:t>m.n.p.m</w:t>
      </w:r>
      <w:proofErr w:type="spellEnd"/>
      <w:r w:rsidRPr="004C1DAF">
        <w:rPr>
          <w:rFonts w:ascii="Arial" w:hAnsi="Arial" w:cs="Arial"/>
          <w:color w:val="2F5496" w:themeColor="accent1" w:themeShade="BF"/>
        </w:rPr>
        <w:t xml:space="preserve"> ( wg </w:t>
      </w:r>
      <w:proofErr w:type="spellStart"/>
      <w:r w:rsidRPr="004C1DAF">
        <w:rPr>
          <w:rFonts w:ascii="Arial" w:hAnsi="Arial" w:cs="Arial"/>
          <w:color w:val="2F5496" w:themeColor="accent1" w:themeShade="BF"/>
        </w:rPr>
        <w:t>Krosztad</w:t>
      </w:r>
      <w:proofErr w:type="spellEnd"/>
      <w:r w:rsidRPr="004C1DAF">
        <w:rPr>
          <w:rFonts w:ascii="Arial" w:hAnsi="Arial" w:cs="Arial"/>
          <w:color w:val="2F5496" w:themeColor="accent1" w:themeShade="BF"/>
        </w:rPr>
        <w:t>).</w:t>
      </w:r>
    </w:p>
    <w:p w14:paraId="707D284E"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 xml:space="preserve">20 – rzędna terenu 6,95 </w:t>
      </w:r>
      <w:proofErr w:type="spellStart"/>
      <w:r w:rsidRPr="004C1DAF">
        <w:rPr>
          <w:rFonts w:ascii="Arial" w:hAnsi="Arial" w:cs="Arial"/>
          <w:color w:val="2F5496" w:themeColor="accent1" w:themeShade="BF"/>
        </w:rPr>
        <w:t>m.n.p.m</w:t>
      </w:r>
      <w:proofErr w:type="spellEnd"/>
      <w:r w:rsidRPr="004C1DAF">
        <w:rPr>
          <w:rFonts w:ascii="Arial" w:hAnsi="Arial" w:cs="Arial"/>
          <w:color w:val="2F5496" w:themeColor="accent1" w:themeShade="BF"/>
        </w:rPr>
        <w:t>. ( wg Kronsztad).</w:t>
      </w:r>
    </w:p>
    <w:p w14:paraId="0C803146" w14:textId="77777777" w:rsidR="004C1DAF" w:rsidRPr="004C1DAF" w:rsidRDefault="004C1DAF" w:rsidP="004C1DAF">
      <w:pPr>
        <w:spacing w:after="0" w:line="240" w:lineRule="auto"/>
        <w:rPr>
          <w:rFonts w:ascii="Arial" w:hAnsi="Arial" w:cs="Arial"/>
          <w:color w:val="2F5496" w:themeColor="accent1" w:themeShade="BF"/>
        </w:rPr>
      </w:pPr>
    </w:p>
    <w:p w14:paraId="2CEF0480"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Poziom zwierciadła statycznego w latach 2019-2023 mieścił się w zakresie :</w:t>
      </w:r>
    </w:p>
    <w:p w14:paraId="688C7392" w14:textId="77777777" w:rsidR="004C1DAF" w:rsidRPr="004C1DAF" w:rsidRDefault="004C1DAF" w:rsidP="004C1DAF">
      <w:pPr>
        <w:spacing w:after="0" w:line="240" w:lineRule="auto"/>
        <w:rPr>
          <w:rFonts w:ascii="Arial" w:hAnsi="Arial" w:cs="Arial"/>
          <w:color w:val="2F5496" w:themeColor="accent1" w:themeShade="BF"/>
        </w:rPr>
      </w:pPr>
    </w:p>
    <w:p w14:paraId="6F3A9668"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Studnia 1b -  3,9- 4,95 m.p.p.t</w:t>
      </w:r>
    </w:p>
    <w:p w14:paraId="35A902FA" w14:textId="77777777"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 xml:space="preserve">Studnia 20 – 7,6- 8,3   m.p.p.t. </w:t>
      </w:r>
    </w:p>
    <w:p w14:paraId="2FE3F994" w14:textId="77777777" w:rsidR="004C1DAF" w:rsidRPr="005B222B" w:rsidRDefault="004C1DAF" w:rsidP="004C1DAF">
      <w:pPr>
        <w:spacing w:after="0" w:line="240" w:lineRule="auto"/>
        <w:rPr>
          <w:rFonts w:cstheme="minorHAnsi"/>
          <w:color w:val="2F5496" w:themeColor="accent1" w:themeShade="BF"/>
          <w:sz w:val="24"/>
          <w:szCs w:val="24"/>
        </w:rPr>
      </w:pPr>
    </w:p>
    <w:p w14:paraId="57EA648D" w14:textId="3450C252" w:rsidR="004C1DAF" w:rsidRPr="004C1DAF" w:rsidRDefault="004C1DAF" w:rsidP="004C1DAF">
      <w:pPr>
        <w:spacing w:after="0" w:line="240" w:lineRule="auto"/>
        <w:rPr>
          <w:rFonts w:ascii="Arial" w:hAnsi="Arial" w:cs="Arial"/>
          <w:color w:val="2F5496" w:themeColor="accent1" w:themeShade="BF"/>
        </w:rPr>
      </w:pPr>
      <w:r w:rsidRPr="004C1DAF">
        <w:rPr>
          <w:rFonts w:ascii="Arial" w:hAnsi="Arial" w:cs="Arial"/>
          <w:color w:val="2F5496" w:themeColor="accent1" w:themeShade="BF"/>
        </w:rPr>
        <w:t>Lokalizacje studni zostały zaznaczone na mapce poglądowej, stanowiącej załącznik nr</w:t>
      </w:r>
      <w:r w:rsidRPr="004C1DAF">
        <w:rPr>
          <w:rFonts w:ascii="Arial" w:hAnsi="Arial" w:cs="Arial"/>
          <w:color w:val="2F5496" w:themeColor="accent1" w:themeShade="BF"/>
        </w:rPr>
        <w:t xml:space="preserve"> 2 </w:t>
      </w:r>
      <w:r w:rsidRPr="004C1DAF">
        <w:rPr>
          <w:rFonts w:ascii="Arial" w:hAnsi="Arial" w:cs="Arial"/>
          <w:color w:val="2F5496" w:themeColor="accent1" w:themeShade="BF"/>
        </w:rPr>
        <w:t>do niniejszej odpowiedzi..</w:t>
      </w:r>
    </w:p>
    <w:p w14:paraId="5620617E" w14:textId="77777777" w:rsidR="004C1DAF" w:rsidRPr="004C1DAF" w:rsidRDefault="004C1DAF" w:rsidP="004C1DAF">
      <w:pPr>
        <w:spacing w:after="0" w:line="240" w:lineRule="auto"/>
        <w:rPr>
          <w:rFonts w:ascii="Arial" w:hAnsi="Arial" w:cs="Arial"/>
          <w:color w:val="2F5496" w:themeColor="accent1" w:themeShade="BF"/>
        </w:rPr>
      </w:pPr>
    </w:p>
    <w:p w14:paraId="33490AAC" w14:textId="117E8342" w:rsidR="004C1DAF" w:rsidRPr="004C1DAF" w:rsidRDefault="004C1DAF" w:rsidP="004C1DAF">
      <w:pPr>
        <w:spacing w:after="0" w:line="240" w:lineRule="auto"/>
        <w:jc w:val="both"/>
        <w:rPr>
          <w:rFonts w:ascii="Arial" w:hAnsi="Arial" w:cs="Arial"/>
          <w:color w:val="2F5496" w:themeColor="accent1" w:themeShade="BF"/>
        </w:rPr>
      </w:pPr>
      <w:r w:rsidRPr="004C1DAF">
        <w:rPr>
          <w:rFonts w:ascii="Arial" w:hAnsi="Arial" w:cs="Arial"/>
          <w:color w:val="2F5496" w:themeColor="accent1" w:themeShade="BF"/>
        </w:rPr>
        <w:t>Jednocześnie Zamawiający  przypomina, że zarówno załączona do materiałów przetargowych mapa do  celów projektowych  z 2020 r.  jak i opinia geotechniczna z lutego,2017 r. nie stanowią materiałów do  wykonania dokumentacji  technicznej  przedmiotu  zamówienia,  stanowią jedynie dane wyjściowe na etapie przygotowania oferty. Wykonanie tych  dokumentów na potrzeby  dokumentacji  technicznej  leży  po  stronie Wykonawcy.</w:t>
      </w:r>
    </w:p>
    <w:p w14:paraId="142B318B" w14:textId="77777777" w:rsidR="004C1DAF" w:rsidRPr="004C1DAF" w:rsidRDefault="004C1DAF" w:rsidP="004C1DAF">
      <w:pPr>
        <w:spacing w:after="0" w:line="240" w:lineRule="auto"/>
        <w:jc w:val="both"/>
        <w:rPr>
          <w:rFonts w:ascii="Arial" w:hAnsi="Arial" w:cs="Arial"/>
          <w:color w:val="2F5496" w:themeColor="accent1" w:themeShade="BF"/>
        </w:rPr>
      </w:pPr>
    </w:p>
    <w:p w14:paraId="581858CB" w14:textId="77777777" w:rsidR="004C1DAF" w:rsidRPr="004C1DAF" w:rsidRDefault="004C1DAF" w:rsidP="004C1DAF">
      <w:pPr>
        <w:spacing w:after="0" w:line="240" w:lineRule="auto"/>
        <w:jc w:val="both"/>
        <w:rPr>
          <w:rFonts w:ascii="Arial" w:hAnsi="Arial" w:cs="Arial"/>
          <w:color w:val="2F5496" w:themeColor="accent1" w:themeShade="BF"/>
        </w:rPr>
      </w:pPr>
      <w:r w:rsidRPr="004C1DAF">
        <w:rPr>
          <w:rFonts w:ascii="Arial" w:hAnsi="Arial" w:cs="Arial"/>
          <w:color w:val="2F5496" w:themeColor="accent1" w:themeShade="BF"/>
        </w:rPr>
        <w:t>(Na etapie projektowania i przygotowywania koncepcji należy wziąć pod uwagę, iż od 1 stycznia 2023r. dane wysokościowe map dla terenu Świnoujścia, będą zawierały informacje wg odniesienia Amsterdam 2007, podczas gdy te dane na mapach pobranych do dnia 31 grudnia 2022r. będą odniesione do poziomu Kronsztad, a różnica to ok. 18cm).</w:t>
      </w:r>
    </w:p>
    <w:p w14:paraId="39133F89" w14:textId="77777777" w:rsidR="004C1DAF" w:rsidRDefault="004C1DAF" w:rsidP="004C1DAF">
      <w:pPr>
        <w:spacing w:after="0" w:line="240" w:lineRule="auto"/>
        <w:ind w:left="4956" w:firstLine="708"/>
        <w:rPr>
          <w:rFonts w:cstheme="minorHAnsi"/>
          <w:sz w:val="24"/>
          <w:szCs w:val="24"/>
        </w:rPr>
      </w:pPr>
    </w:p>
    <w:p w14:paraId="21DC3652" w14:textId="77777777" w:rsidR="004C1DAF" w:rsidRPr="00287EC6" w:rsidRDefault="004C1DAF" w:rsidP="004C1DAF">
      <w:pPr>
        <w:spacing w:after="0" w:line="240" w:lineRule="auto"/>
        <w:contextualSpacing/>
        <w:jc w:val="both"/>
        <w:rPr>
          <w:rFonts w:ascii="Arial" w:hAnsi="Arial" w:cs="Arial"/>
          <w:color w:val="2E74B5" w:themeColor="accent5" w:themeShade="BF"/>
        </w:rPr>
      </w:pPr>
    </w:p>
    <w:p w14:paraId="181C9B7E" w14:textId="77777777" w:rsidR="004C1DAF" w:rsidRPr="00287EC6" w:rsidRDefault="004C1DAF" w:rsidP="004C1DAF">
      <w:pPr>
        <w:pStyle w:val="Tekstpodstawowy"/>
        <w:tabs>
          <w:tab w:val="left" w:pos="993"/>
        </w:tabs>
        <w:spacing w:after="0" w:line="240" w:lineRule="auto"/>
        <w:jc w:val="both"/>
        <w:rPr>
          <w:rFonts w:ascii="Arial" w:hAnsi="Arial" w:cs="Arial"/>
          <w:b/>
          <w:bCs/>
        </w:rPr>
      </w:pPr>
      <w:r w:rsidRPr="00287EC6">
        <w:rPr>
          <w:rFonts w:ascii="Arial" w:hAnsi="Arial" w:cs="Arial"/>
          <w:color w:val="2E74B5" w:themeColor="accent5" w:themeShade="BF"/>
        </w:rPr>
        <w:br/>
      </w:r>
    </w:p>
    <w:p w14:paraId="1C85F0FD" w14:textId="77777777" w:rsidR="004C1DAF" w:rsidRPr="00287EC6" w:rsidRDefault="004C1DAF" w:rsidP="004C1DAF">
      <w:pPr>
        <w:pStyle w:val="Tekstpodstawowy"/>
        <w:tabs>
          <w:tab w:val="left" w:pos="993"/>
        </w:tabs>
        <w:spacing w:after="0" w:line="240" w:lineRule="auto"/>
        <w:jc w:val="both"/>
        <w:rPr>
          <w:rFonts w:ascii="Arial" w:hAnsi="Arial" w:cs="Arial"/>
          <w:b/>
          <w:bCs/>
        </w:rPr>
      </w:pPr>
      <w:r w:rsidRPr="00287EC6">
        <w:rPr>
          <w:rFonts w:ascii="Arial" w:hAnsi="Arial" w:cs="Arial"/>
          <w:b/>
          <w:bCs/>
        </w:rPr>
        <w:t>Pozostałe zapisy SWZ pozostają bez zmian.</w:t>
      </w:r>
    </w:p>
    <w:p w14:paraId="597AE6EF" w14:textId="77777777" w:rsidR="004C1DAF" w:rsidRPr="00287EC6" w:rsidRDefault="004C1DAF" w:rsidP="004C1DAF">
      <w:pPr>
        <w:pStyle w:val="Tekstpodstawowy"/>
        <w:tabs>
          <w:tab w:val="left" w:pos="993"/>
        </w:tabs>
        <w:spacing w:after="0" w:line="240" w:lineRule="auto"/>
        <w:jc w:val="both"/>
        <w:rPr>
          <w:rFonts w:ascii="Arial" w:eastAsiaTheme="minorHAnsi" w:hAnsi="Arial" w:cs="Arial"/>
          <w:b/>
          <w:bCs/>
        </w:rPr>
      </w:pPr>
      <w:r w:rsidRPr="00287EC6">
        <w:rPr>
          <w:rFonts w:ascii="Arial" w:hAnsi="Arial" w:cs="Arial"/>
          <w:b/>
          <w:bCs/>
        </w:rPr>
        <w:t>Przedmiotowe wyjaśnienia i zmiany:</w:t>
      </w:r>
    </w:p>
    <w:p w14:paraId="5AFA5489" w14:textId="77777777" w:rsidR="004C1DAF" w:rsidRPr="00287EC6" w:rsidRDefault="004C1DAF" w:rsidP="004C1DAF">
      <w:pPr>
        <w:pStyle w:val="Default"/>
        <w:numPr>
          <w:ilvl w:val="0"/>
          <w:numId w:val="1"/>
        </w:numPr>
        <w:ind w:firstLine="284"/>
        <w:jc w:val="both"/>
        <w:rPr>
          <w:rFonts w:ascii="Arial" w:hAnsi="Arial" w:cs="Arial"/>
          <w:b/>
          <w:bCs/>
          <w:sz w:val="22"/>
          <w:szCs w:val="22"/>
        </w:rPr>
      </w:pPr>
      <w:r w:rsidRPr="00287EC6">
        <w:rPr>
          <w:rFonts w:ascii="Arial" w:hAnsi="Arial" w:cs="Arial"/>
          <w:b/>
          <w:bCs/>
          <w:sz w:val="22"/>
          <w:szCs w:val="22"/>
        </w:rPr>
        <w:t>należy uwzględnić przy sporządzaniu oferty i załączników,</w:t>
      </w:r>
    </w:p>
    <w:p w14:paraId="5089F352" w14:textId="77777777" w:rsidR="004C1DAF" w:rsidRPr="00287EC6" w:rsidRDefault="004C1DAF" w:rsidP="004C1DAF">
      <w:pPr>
        <w:pStyle w:val="Default"/>
        <w:numPr>
          <w:ilvl w:val="0"/>
          <w:numId w:val="1"/>
        </w:numPr>
        <w:ind w:firstLine="284"/>
        <w:jc w:val="both"/>
        <w:rPr>
          <w:rFonts w:ascii="Arial" w:hAnsi="Arial" w:cs="Arial"/>
          <w:sz w:val="22"/>
          <w:szCs w:val="22"/>
        </w:rPr>
      </w:pPr>
      <w:r w:rsidRPr="00287EC6">
        <w:rPr>
          <w:rFonts w:ascii="Arial" w:hAnsi="Arial" w:cs="Arial"/>
          <w:b/>
          <w:bCs/>
          <w:sz w:val="22"/>
          <w:szCs w:val="22"/>
        </w:rPr>
        <w:t>nie prowadzą do zmiany ogłoszenia.</w:t>
      </w:r>
    </w:p>
    <w:p w14:paraId="57486BAD" w14:textId="77777777" w:rsidR="004C1DAF" w:rsidRPr="00287EC6" w:rsidRDefault="004C1DAF" w:rsidP="004C1DAF">
      <w:pPr>
        <w:spacing w:after="0" w:line="240" w:lineRule="auto"/>
        <w:rPr>
          <w:rFonts w:ascii="Arial" w:hAnsi="Arial" w:cs="Arial"/>
        </w:rPr>
      </w:pPr>
    </w:p>
    <w:p w14:paraId="1528BE83" w14:textId="77777777" w:rsidR="00081169" w:rsidRDefault="00081169"/>
    <w:sectPr w:rsidR="00081169">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458796"/>
      <w:docPartObj>
        <w:docPartGallery w:val="Page Numbers (Bottom of Page)"/>
        <w:docPartUnique/>
      </w:docPartObj>
    </w:sdtPr>
    <w:sdtEndPr/>
    <w:sdtContent>
      <w:p w14:paraId="0F61ECC2" w14:textId="77777777" w:rsidR="00931440" w:rsidRDefault="004C1DAF">
        <w:pPr>
          <w:pStyle w:val="Stopka"/>
          <w:jc w:val="center"/>
        </w:pPr>
        <w:r>
          <w:fldChar w:fldCharType="begin"/>
        </w:r>
        <w:r>
          <w:instrText>PAGE   \* MERGEFORMAT</w:instrText>
        </w:r>
        <w:r>
          <w:fldChar w:fldCharType="separate"/>
        </w:r>
        <w:r>
          <w:rPr>
            <w:noProof/>
          </w:rPr>
          <w:t>2</w:t>
        </w:r>
        <w:r>
          <w:fldChar w:fldCharType="end"/>
        </w:r>
      </w:p>
    </w:sdtContent>
  </w:sdt>
  <w:p w14:paraId="3AC47B96" w14:textId="77777777" w:rsidR="00931440" w:rsidRDefault="004C1DAF">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783B"/>
    <w:multiLevelType w:val="multilevel"/>
    <w:tmpl w:val="6F709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10230"/>
    <w:multiLevelType w:val="hybridMultilevel"/>
    <w:tmpl w:val="120CB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700085582">
    <w:abstractNumId w:val="0"/>
  </w:num>
  <w:num w:numId="2" w16cid:durableId="204925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AF"/>
    <w:rsid w:val="00081169"/>
    <w:rsid w:val="004C1DAF"/>
    <w:rsid w:val="00A67671"/>
    <w:rsid w:val="00C44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731D"/>
  <w15:chartTrackingRefBased/>
  <w15:docId w15:val="{5FFD54E6-40B1-4E33-BC55-F2CFFE6D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DAF"/>
    <w:pPr>
      <w:spacing w:after="160"/>
    </w:pPr>
    <w:rPr>
      <w:rFonts w:asciiTheme="minorHAnsi" w:hAnsiTheme="minorHAnsi" w:cstheme="minorBid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C1DAF"/>
    <w:pPr>
      <w:autoSpaceDE w:val="0"/>
      <w:autoSpaceDN w:val="0"/>
      <w:adjustRightInd w:val="0"/>
      <w:spacing w:line="240" w:lineRule="auto"/>
    </w:pPr>
    <w:rPr>
      <w:rFonts w:ascii="Times New Roman" w:hAnsi="Times New Roman" w:cs="Times New Roman"/>
      <w:color w:val="000000"/>
      <w:kern w:val="0"/>
      <w:sz w:val="24"/>
      <w:szCs w:val="24"/>
      <w14:ligatures w14:val="none"/>
    </w:rPr>
  </w:style>
  <w:style w:type="paragraph" w:styleId="Tekstpodstawowy">
    <w:name w:val="Body Text"/>
    <w:basedOn w:val="Normalny"/>
    <w:link w:val="TekstpodstawowyZnak"/>
    <w:uiPriority w:val="99"/>
    <w:unhideWhenUsed/>
    <w:rsid w:val="004C1DAF"/>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4C1DAF"/>
    <w:rPr>
      <w:rFonts w:ascii="Calibri" w:eastAsia="Calibri" w:hAnsi="Calibri" w:cs="Times New Roman"/>
      <w:kern w:val="0"/>
      <w14:ligatures w14:val="none"/>
    </w:rPr>
  </w:style>
  <w:style w:type="paragraph" w:styleId="Stopka">
    <w:name w:val="footer"/>
    <w:basedOn w:val="Normalny"/>
    <w:link w:val="StopkaZnak"/>
    <w:uiPriority w:val="99"/>
    <w:unhideWhenUsed/>
    <w:rsid w:val="004C1D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1DAF"/>
    <w:rPr>
      <w:rFonts w:asciiTheme="minorHAnsi" w:hAnsiTheme="minorHAnsi" w:cstheme="minorBidi"/>
      <w:kern w:val="0"/>
      <w14:ligatures w14:val="none"/>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4C1DAF"/>
    <w:pPr>
      <w:spacing w:after="0" w:line="240" w:lineRule="auto"/>
      <w:ind w:left="720"/>
    </w:pPr>
    <w:rPr>
      <w:rFonts w:ascii="Calibri" w:hAnsi="Calibri" w:cs="Calibri"/>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4C1DAF"/>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D58A-6685-4CD0-BE4D-FAED694C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5187</Characters>
  <Application>Microsoft Office Word</Application>
  <DocSecurity>0</DocSecurity>
  <Lines>43</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cp:revision>
  <dcterms:created xsi:type="dcterms:W3CDTF">2023-04-14T09:06:00Z</dcterms:created>
  <dcterms:modified xsi:type="dcterms:W3CDTF">2023-04-14T09:14:00Z</dcterms:modified>
</cp:coreProperties>
</file>