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6B21699A" w14:textId="27BF5EA9" w:rsidR="00DE5E58" w:rsidRPr="00821087"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821087">
        <w:rPr>
          <w:rFonts w:ascii="Arial" w:eastAsia="Calibri" w:hAnsi="Arial" w:cs="Arial"/>
          <w:color w:val="000000"/>
          <w:lang w:eastAsia="pl-PL"/>
        </w:rPr>
        <w:t xml:space="preserve">wykonanie </w:t>
      </w:r>
      <w:r w:rsidR="00821087">
        <w:rPr>
          <w:rFonts w:ascii="Arial" w:eastAsia="Calibri" w:hAnsi="Arial" w:cs="Arial"/>
          <w:color w:val="000000"/>
          <w:lang w:eastAsia="pl-PL"/>
        </w:rPr>
        <w:t xml:space="preserve"> robót murarskich </w:t>
      </w: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w:t>
      </w:r>
      <w:r w:rsidRPr="00417E9D">
        <w:rPr>
          <w:rFonts w:ascii="Arial" w:eastAsia="Calibri" w:hAnsi="Arial" w:cs="Arial"/>
          <w:color w:val="000000"/>
          <w:lang w:eastAsia="pl-PL"/>
        </w:rPr>
        <w:lastRenderedPageBreak/>
        <w:t xml:space="preserve">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6F5D51"/>
    <w:rsid w:val="00756977"/>
    <w:rsid w:val="00821087"/>
    <w:rsid w:val="00963591"/>
    <w:rsid w:val="00A66073"/>
    <w:rsid w:val="00AA6714"/>
    <w:rsid w:val="00AB65CF"/>
    <w:rsid w:val="00C53C19"/>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7623</Words>
  <Characters>45738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2022-08-19T08:40:00Z</dcterms:created>
  <dcterms:modified xsi:type="dcterms:W3CDTF">2022-08-19T08:40:00Z</dcterms:modified>
</cp:coreProperties>
</file>